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chart3.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charts/chart4.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3.xml" ContentType="application/vnd.openxmlformats-officedocument.themeOverride+xml"/>
  <Override PartName="/word/header1.xml" ContentType="application/vnd.openxmlformats-officedocument.wordprocessingml.header+xml"/>
  <Override PartName="/word/footer1.xml" ContentType="application/vnd.openxmlformats-officedocument.wordprocessingml.footer+xml"/>
  <Override PartName="/word/charts/chart5.xml" ContentType="application/vnd.openxmlformats-officedocument.drawingml.chart+xml"/>
  <Override PartName="/word/charts/style4.xml" ContentType="application/vnd.ms-office.chartstyle+xml"/>
  <Override PartName="/word/charts/colors4.xml" ContentType="application/vnd.ms-office.chartcolorstyle+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587C31B" w14:textId="77777777" w:rsidR="009B10A4" w:rsidRPr="002B4D22" w:rsidRDefault="009B10A4" w:rsidP="00450767">
      <w:pPr>
        <w:spacing w:after="120"/>
        <w:ind w:firstLine="567"/>
        <w:jc w:val="right"/>
        <w:rPr>
          <w:rFonts w:ascii="Times New Roman" w:hAnsi="Times New Roman"/>
          <w:sz w:val="24"/>
          <w:szCs w:val="32"/>
        </w:rPr>
      </w:pPr>
    </w:p>
    <w:p w14:paraId="0454C8CA" w14:textId="77777777" w:rsidR="009B10A4" w:rsidRPr="002B4D22" w:rsidRDefault="009B10A4" w:rsidP="00450767">
      <w:pPr>
        <w:spacing w:after="120"/>
        <w:ind w:firstLine="567"/>
        <w:jc w:val="center"/>
        <w:rPr>
          <w:rFonts w:ascii="Times New Roman" w:hAnsi="Times New Roman"/>
          <w:b/>
          <w:sz w:val="12"/>
          <w:szCs w:val="12"/>
        </w:rPr>
      </w:pPr>
    </w:p>
    <w:p w14:paraId="43A7A907" w14:textId="77777777" w:rsidR="009B10A4" w:rsidRPr="002B4D22" w:rsidRDefault="009B10A4" w:rsidP="00450767">
      <w:pPr>
        <w:spacing w:after="120"/>
        <w:ind w:firstLine="567"/>
        <w:jc w:val="center"/>
        <w:rPr>
          <w:rFonts w:ascii="Times New Roman" w:hAnsi="Times New Roman"/>
          <w:b/>
          <w:sz w:val="12"/>
          <w:szCs w:val="12"/>
        </w:rPr>
      </w:pPr>
    </w:p>
    <w:p w14:paraId="2E27C119" w14:textId="77777777" w:rsidR="008C4F1A" w:rsidRDefault="008C4F1A" w:rsidP="00450767">
      <w:pPr>
        <w:spacing w:after="120"/>
        <w:jc w:val="center"/>
        <w:rPr>
          <w:rFonts w:ascii="Times New Roman" w:hAnsi="Times New Roman"/>
          <w:b/>
          <w:sz w:val="28"/>
          <w:szCs w:val="28"/>
        </w:rPr>
      </w:pPr>
    </w:p>
    <w:p w14:paraId="7A78678D" w14:textId="77777777" w:rsidR="008C4F1A" w:rsidRDefault="008C4F1A" w:rsidP="00450767">
      <w:pPr>
        <w:spacing w:after="120"/>
        <w:jc w:val="center"/>
        <w:rPr>
          <w:rFonts w:ascii="Times New Roman" w:hAnsi="Times New Roman"/>
          <w:b/>
          <w:sz w:val="28"/>
          <w:szCs w:val="28"/>
        </w:rPr>
      </w:pPr>
    </w:p>
    <w:p w14:paraId="6E3C1510" w14:textId="77777777" w:rsidR="008C4F1A" w:rsidRDefault="008C4F1A" w:rsidP="00450767">
      <w:pPr>
        <w:spacing w:after="120"/>
        <w:jc w:val="center"/>
        <w:rPr>
          <w:rFonts w:ascii="Times New Roman" w:hAnsi="Times New Roman"/>
          <w:b/>
          <w:sz w:val="28"/>
          <w:szCs w:val="28"/>
        </w:rPr>
      </w:pPr>
    </w:p>
    <w:p w14:paraId="120C3B80" w14:textId="782994BD" w:rsidR="009B10A4" w:rsidRPr="00A648E1" w:rsidRDefault="00111B8B" w:rsidP="00450767">
      <w:pPr>
        <w:spacing w:after="120"/>
        <w:jc w:val="center"/>
        <w:rPr>
          <w:rFonts w:ascii="Times New Roman" w:hAnsi="Times New Roman"/>
          <w:b/>
          <w:sz w:val="28"/>
          <w:szCs w:val="28"/>
        </w:rPr>
      </w:pPr>
      <w:r w:rsidRPr="00A648E1">
        <w:rPr>
          <w:rFonts w:ascii="Times New Roman" w:hAnsi="Times New Roman"/>
          <w:b/>
          <w:sz w:val="28"/>
          <w:szCs w:val="28"/>
        </w:rPr>
        <w:t>Informatīvais z</w:t>
      </w:r>
      <w:r w:rsidR="009B10A4" w:rsidRPr="00A648E1">
        <w:rPr>
          <w:rFonts w:ascii="Times New Roman" w:hAnsi="Times New Roman"/>
          <w:b/>
          <w:sz w:val="28"/>
          <w:szCs w:val="28"/>
        </w:rPr>
        <w:t>iņojums</w:t>
      </w:r>
    </w:p>
    <w:p w14:paraId="7A535BB0" w14:textId="77777777" w:rsidR="009B10A4" w:rsidRPr="00A648E1" w:rsidRDefault="009B10A4" w:rsidP="00450767">
      <w:pPr>
        <w:spacing w:after="120"/>
        <w:jc w:val="center"/>
        <w:rPr>
          <w:rFonts w:ascii="Times New Roman" w:hAnsi="Times New Roman"/>
          <w:b/>
          <w:sz w:val="28"/>
          <w:szCs w:val="28"/>
        </w:rPr>
      </w:pPr>
      <w:r w:rsidRPr="00A648E1">
        <w:rPr>
          <w:rFonts w:ascii="Times New Roman" w:hAnsi="Times New Roman"/>
          <w:b/>
          <w:sz w:val="28"/>
          <w:szCs w:val="28"/>
        </w:rPr>
        <w:t>par Imigrācijas likuma 23.panta pirmās daļas 3., 28., 29.</w:t>
      </w:r>
      <w:r w:rsidR="00B47F1D" w:rsidRPr="00A648E1">
        <w:rPr>
          <w:rFonts w:ascii="Times New Roman" w:hAnsi="Times New Roman"/>
          <w:b/>
          <w:sz w:val="28"/>
          <w:szCs w:val="28"/>
        </w:rPr>
        <w:t>,</w:t>
      </w:r>
      <w:r w:rsidRPr="00A648E1">
        <w:rPr>
          <w:rFonts w:ascii="Times New Roman" w:hAnsi="Times New Roman"/>
          <w:b/>
          <w:sz w:val="28"/>
          <w:szCs w:val="28"/>
        </w:rPr>
        <w:t xml:space="preserve"> 30.</w:t>
      </w:r>
      <w:r w:rsidR="00B47F1D" w:rsidRPr="00A648E1">
        <w:rPr>
          <w:rFonts w:ascii="Times New Roman" w:hAnsi="Times New Roman"/>
          <w:b/>
          <w:sz w:val="28"/>
          <w:szCs w:val="28"/>
        </w:rPr>
        <w:t xml:space="preserve"> un 31.</w:t>
      </w:r>
      <w:r w:rsidRPr="00A648E1">
        <w:rPr>
          <w:rFonts w:ascii="Times New Roman" w:hAnsi="Times New Roman"/>
          <w:b/>
          <w:sz w:val="28"/>
          <w:szCs w:val="28"/>
        </w:rPr>
        <w:t xml:space="preserve">punktā </w:t>
      </w:r>
    </w:p>
    <w:p w14:paraId="6AF165FF" w14:textId="2F9AFEBB" w:rsidR="008C4F1A" w:rsidRPr="00A648E1" w:rsidRDefault="009B10A4" w:rsidP="00450767">
      <w:pPr>
        <w:spacing w:after="120"/>
        <w:jc w:val="center"/>
        <w:rPr>
          <w:rFonts w:ascii="Times New Roman" w:hAnsi="Times New Roman"/>
          <w:b/>
          <w:sz w:val="28"/>
          <w:szCs w:val="28"/>
        </w:rPr>
      </w:pPr>
      <w:r w:rsidRPr="00A648E1">
        <w:rPr>
          <w:rFonts w:ascii="Times New Roman" w:hAnsi="Times New Roman"/>
          <w:b/>
          <w:sz w:val="28"/>
          <w:szCs w:val="28"/>
        </w:rPr>
        <w:t>paredzēto noteikumu īstenošanas gaitu un rezultātiem</w:t>
      </w:r>
    </w:p>
    <w:p w14:paraId="682B1F8D" w14:textId="59665956" w:rsidR="008C4F1A" w:rsidRPr="00A648E1" w:rsidRDefault="008C4F1A" w:rsidP="00450767">
      <w:pPr>
        <w:spacing w:after="120"/>
        <w:jc w:val="center"/>
        <w:rPr>
          <w:rFonts w:ascii="Times New Roman" w:hAnsi="Times New Roman"/>
          <w:b/>
          <w:sz w:val="28"/>
          <w:szCs w:val="28"/>
        </w:rPr>
      </w:pPr>
    </w:p>
    <w:p w14:paraId="467E0E69" w14:textId="6CFBA7A3" w:rsidR="008C4F1A" w:rsidRPr="007320CD" w:rsidRDefault="008C4F1A" w:rsidP="00450767">
      <w:pPr>
        <w:spacing w:after="120"/>
        <w:jc w:val="center"/>
        <w:rPr>
          <w:rFonts w:ascii="Times New Roman" w:hAnsi="Times New Roman"/>
          <w:b/>
          <w:sz w:val="28"/>
          <w:szCs w:val="28"/>
          <w:highlight w:val="yellow"/>
        </w:rPr>
      </w:pPr>
    </w:p>
    <w:p w14:paraId="0D5AFBB9" w14:textId="7677A412" w:rsidR="008C4F1A" w:rsidRPr="007320CD" w:rsidRDefault="008C4F1A" w:rsidP="00450767">
      <w:pPr>
        <w:spacing w:after="120"/>
        <w:jc w:val="center"/>
        <w:rPr>
          <w:rFonts w:ascii="Times New Roman" w:hAnsi="Times New Roman"/>
          <w:b/>
          <w:sz w:val="28"/>
          <w:szCs w:val="28"/>
          <w:highlight w:val="yellow"/>
        </w:rPr>
      </w:pPr>
    </w:p>
    <w:p w14:paraId="66DE4BC2" w14:textId="790D502D" w:rsidR="008C4F1A" w:rsidRPr="007320CD" w:rsidRDefault="008C4F1A" w:rsidP="00450767">
      <w:pPr>
        <w:spacing w:after="120"/>
        <w:jc w:val="center"/>
        <w:rPr>
          <w:rFonts w:ascii="Times New Roman" w:hAnsi="Times New Roman"/>
          <w:b/>
          <w:sz w:val="28"/>
          <w:szCs w:val="28"/>
          <w:highlight w:val="yellow"/>
        </w:rPr>
      </w:pPr>
    </w:p>
    <w:p w14:paraId="0EC9D479" w14:textId="6FE8DED3" w:rsidR="008C4F1A" w:rsidRPr="007320CD" w:rsidRDefault="008C4F1A" w:rsidP="00450767">
      <w:pPr>
        <w:spacing w:after="120"/>
        <w:jc w:val="center"/>
        <w:rPr>
          <w:rFonts w:ascii="Times New Roman" w:hAnsi="Times New Roman"/>
          <w:b/>
          <w:sz w:val="28"/>
          <w:szCs w:val="28"/>
          <w:highlight w:val="yellow"/>
        </w:rPr>
      </w:pPr>
    </w:p>
    <w:p w14:paraId="53B93FAF" w14:textId="04CD004F" w:rsidR="008C4F1A" w:rsidRPr="007320CD" w:rsidRDefault="008C4F1A" w:rsidP="00450767">
      <w:pPr>
        <w:spacing w:after="120"/>
        <w:jc w:val="center"/>
        <w:rPr>
          <w:rFonts w:ascii="Times New Roman" w:hAnsi="Times New Roman"/>
          <w:b/>
          <w:sz w:val="28"/>
          <w:szCs w:val="28"/>
          <w:highlight w:val="yellow"/>
        </w:rPr>
      </w:pPr>
    </w:p>
    <w:p w14:paraId="4791811C" w14:textId="3412E1AB" w:rsidR="008C4F1A" w:rsidRPr="007320CD" w:rsidRDefault="008C4F1A" w:rsidP="00450767">
      <w:pPr>
        <w:spacing w:after="120"/>
        <w:jc w:val="center"/>
        <w:rPr>
          <w:rFonts w:ascii="Times New Roman" w:hAnsi="Times New Roman"/>
          <w:b/>
          <w:sz w:val="28"/>
          <w:szCs w:val="28"/>
          <w:highlight w:val="yellow"/>
        </w:rPr>
      </w:pPr>
    </w:p>
    <w:p w14:paraId="5368366F" w14:textId="5FFD2DF1" w:rsidR="008C4F1A" w:rsidRPr="007320CD" w:rsidRDefault="008C4F1A" w:rsidP="00450767">
      <w:pPr>
        <w:spacing w:after="120"/>
        <w:jc w:val="center"/>
        <w:rPr>
          <w:rFonts w:ascii="Times New Roman" w:hAnsi="Times New Roman"/>
          <w:b/>
          <w:sz w:val="28"/>
          <w:szCs w:val="28"/>
          <w:highlight w:val="yellow"/>
        </w:rPr>
      </w:pPr>
    </w:p>
    <w:p w14:paraId="0ED86CCA" w14:textId="046E5C6D" w:rsidR="008C4F1A" w:rsidRPr="007320CD" w:rsidRDefault="008C4F1A" w:rsidP="00450767">
      <w:pPr>
        <w:spacing w:after="120"/>
        <w:jc w:val="center"/>
        <w:rPr>
          <w:rFonts w:ascii="Times New Roman" w:hAnsi="Times New Roman"/>
          <w:b/>
          <w:sz w:val="28"/>
          <w:szCs w:val="28"/>
          <w:highlight w:val="yellow"/>
        </w:rPr>
      </w:pPr>
    </w:p>
    <w:p w14:paraId="18DC7B12" w14:textId="5D6A213A" w:rsidR="008C4F1A" w:rsidRPr="007320CD" w:rsidRDefault="008C4F1A" w:rsidP="00450767">
      <w:pPr>
        <w:spacing w:after="120"/>
        <w:jc w:val="center"/>
        <w:rPr>
          <w:rFonts w:ascii="Times New Roman" w:hAnsi="Times New Roman"/>
          <w:b/>
          <w:sz w:val="28"/>
          <w:szCs w:val="28"/>
          <w:highlight w:val="yellow"/>
        </w:rPr>
      </w:pPr>
    </w:p>
    <w:p w14:paraId="4B89970B" w14:textId="78746D30" w:rsidR="008C4F1A" w:rsidRPr="007320CD" w:rsidRDefault="008C4F1A" w:rsidP="00450767">
      <w:pPr>
        <w:spacing w:after="120"/>
        <w:jc w:val="center"/>
        <w:rPr>
          <w:rFonts w:ascii="Times New Roman" w:hAnsi="Times New Roman"/>
          <w:b/>
          <w:sz w:val="28"/>
          <w:szCs w:val="28"/>
          <w:highlight w:val="yellow"/>
        </w:rPr>
      </w:pPr>
    </w:p>
    <w:p w14:paraId="258DD5BB" w14:textId="4D4D342F" w:rsidR="008C4F1A" w:rsidRPr="007320CD" w:rsidRDefault="008C4F1A" w:rsidP="00450767">
      <w:pPr>
        <w:spacing w:after="120"/>
        <w:jc w:val="center"/>
        <w:rPr>
          <w:rFonts w:ascii="Times New Roman" w:hAnsi="Times New Roman"/>
          <w:b/>
          <w:sz w:val="28"/>
          <w:szCs w:val="28"/>
          <w:highlight w:val="yellow"/>
        </w:rPr>
      </w:pPr>
    </w:p>
    <w:p w14:paraId="25D7D355" w14:textId="63D318B4" w:rsidR="008C4F1A" w:rsidRPr="007320CD" w:rsidRDefault="008C4F1A" w:rsidP="00450767">
      <w:pPr>
        <w:spacing w:after="120"/>
        <w:jc w:val="center"/>
        <w:rPr>
          <w:rFonts w:ascii="Times New Roman" w:hAnsi="Times New Roman"/>
          <w:b/>
          <w:sz w:val="28"/>
          <w:szCs w:val="28"/>
          <w:highlight w:val="yellow"/>
        </w:rPr>
      </w:pPr>
    </w:p>
    <w:p w14:paraId="34678D67" w14:textId="03A8845C" w:rsidR="008C4F1A" w:rsidRPr="007320CD" w:rsidRDefault="008C4F1A" w:rsidP="00450767">
      <w:pPr>
        <w:spacing w:after="120"/>
        <w:jc w:val="center"/>
        <w:rPr>
          <w:rFonts w:ascii="Times New Roman" w:hAnsi="Times New Roman"/>
          <w:b/>
          <w:sz w:val="28"/>
          <w:szCs w:val="28"/>
          <w:highlight w:val="yellow"/>
        </w:rPr>
      </w:pPr>
    </w:p>
    <w:p w14:paraId="72EA6C06" w14:textId="263F21A2" w:rsidR="008C4F1A" w:rsidRPr="007320CD" w:rsidRDefault="008C4F1A" w:rsidP="00450767">
      <w:pPr>
        <w:spacing w:after="120"/>
        <w:jc w:val="center"/>
        <w:rPr>
          <w:rFonts w:ascii="Times New Roman" w:hAnsi="Times New Roman"/>
          <w:b/>
          <w:sz w:val="28"/>
          <w:szCs w:val="28"/>
          <w:highlight w:val="yellow"/>
        </w:rPr>
      </w:pPr>
    </w:p>
    <w:p w14:paraId="5EFA1CA4" w14:textId="3C29A2C9" w:rsidR="008C4F1A" w:rsidRPr="007320CD" w:rsidRDefault="008C4F1A" w:rsidP="00450767">
      <w:pPr>
        <w:spacing w:after="120"/>
        <w:jc w:val="center"/>
        <w:rPr>
          <w:rFonts w:ascii="Times New Roman" w:hAnsi="Times New Roman"/>
          <w:b/>
          <w:sz w:val="28"/>
          <w:szCs w:val="28"/>
          <w:highlight w:val="yellow"/>
        </w:rPr>
      </w:pPr>
    </w:p>
    <w:p w14:paraId="2456BF61" w14:textId="2EF8B538" w:rsidR="008C4F1A" w:rsidRPr="007320CD" w:rsidRDefault="008C4F1A" w:rsidP="00450767">
      <w:pPr>
        <w:spacing w:after="120"/>
        <w:jc w:val="center"/>
        <w:rPr>
          <w:rFonts w:ascii="Times New Roman" w:hAnsi="Times New Roman"/>
          <w:b/>
          <w:sz w:val="28"/>
          <w:szCs w:val="28"/>
          <w:highlight w:val="yellow"/>
        </w:rPr>
      </w:pPr>
    </w:p>
    <w:p w14:paraId="164CFC0A" w14:textId="226DC52E" w:rsidR="008C4F1A" w:rsidRPr="007320CD" w:rsidRDefault="008C4F1A" w:rsidP="00450767">
      <w:pPr>
        <w:spacing w:after="120"/>
        <w:jc w:val="center"/>
        <w:rPr>
          <w:rFonts w:ascii="Times New Roman" w:hAnsi="Times New Roman"/>
          <w:b/>
          <w:sz w:val="28"/>
          <w:szCs w:val="28"/>
          <w:highlight w:val="yellow"/>
        </w:rPr>
      </w:pPr>
    </w:p>
    <w:p w14:paraId="68323C5E" w14:textId="6A42C700" w:rsidR="008C4F1A" w:rsidRPr="007320CD" w:rsidRDefault="008C4F1A" w:rsidP="00450767">
      <w:pPr>
        <w:spacing w:after="120"/>
        <w:jc w:val="center"/>
        <w:rPr>
          <w:rFonts w:ascii="Times New Roman" w:hAnsi="Times New Roman"/>
          <w:b/>
          <w:sz w:val="28"/>
          <w:szCs w:val="28"/>
          <w:highlight w:val="yellow"/>
        </w:rPr>
      </w:pPr>
    </w:p>
    <w:p w14:paraId="1ED93793" w14:textId="0E35BD73" w:rsidR="008C4F1A" w:rsidRPr="007320CD" w:rsidRDefault="008C4F1A" w:rsidP="00450767">
      <w:pPr>
        <w:spacing w:after="120"/>
        <w:jc w:val="center"/>
        <w:rPr>
          <w:rFonts w:ascii="Times New Roman" w:hAnsi="Times New Roman"/>
          <w:b/>
          <w:sz w:val="28"/>
          <w:szCs w:val="28"/>
          <w:highlight w:val="yellow"/>
        </w:rPr>
      </w:pPr>
    </w:p>
    <w:p w14:paraId="3EB19D59" w14:textId="0D3B3747" w:rsidR="008C4F1A" w:rsidRPr="00A648E1" w:rsidRDefault="008C4F1A" w:rsidP="00450767">
      <w:pPr>
        <w:spacing w:after="120"/>
        <w:jc w:val="center"/>
        <w:rPr>
          <w:rFonts w:ascii="Times New Roman" w:hAnsi="Times New Roman"/>
          <w:b/>
          <w:sz w:val="28"/>
          <w:szCs w:val="28"/>
        </w:rPr>
      </w:pPr>
      <w:r w:rsidRPr="00A648E1">
        <w:rPr>
          <w:rFonts w:ascii="Times New Roman" w:hAnsi="Times New Roman"/>
          <w:b/>
          <w:sz w:val="28"/>
          <w:szCs w:val="28"/>
        </w:rPr>
        <w:t>20</w:t>
      </w:r>
      <w:r w:rsidR="00C83B49" w:rsidRPr="00A648E1">
        <w:rPr>
          <w:rFonts w:ascii="Times New Roman" w:hAnsi="Times New Roman"/>
          <w:b/>
          <w:sz w:val="28"/>
          <w:szCs w:val="28"/>
        </w:rPr>
        <w:t>2</w:t>
      </w:r>
      <w:r w:rsidR="00A648E1" w:rsidRPr="00A648E1">
        <w:rPr>
          <w:rFonts w:ascii="Times New Roman" w:hAnsi="Times New Roman"/>
          <w:b/>
          <w:sz w:val="28"/>
          <w:szCs w:val="28"/>
        </w:rPr>
        <w:t>3</w:t>
      </w:r>
    </w:p>
    <w:p w14:paraId="08FF7DC5" w14:textId="4C889A79" w:rsidR="008C4F1A" w:rsidRPr="007320CD" w:rsidRDefault="008C4F1A">
      <w:pPr>
        <w:rPr>
          <w:rFonts w:ascii="Times New Roman" w:hAnsi="Times New Roman"/>
          <w:b/>
          <w:sz w:val="28"/>
          <w:szCs w:val="28"/>
          <w:highlight w:val="yellow"/>
        </w:rPr>
      </w:pPr>
      <w:r w:rsidRPr="007320CD">
        <w:rPr>
          <w:rFonts w:ascii="Times New Roman" w:hAnsi="Times New Roman"/>
          <w:b/>
          <w:sz w:val="28"/>
          <w:szCs w:val="28"/>
          <w:highlight w:val="yellow"/>
        </w:rPr>
        <w:br w:type="page"/>
      </w:r>
    </w:p>
    <w:p w14:paraId="7B6D517D" w14:textId="77777777" w:rsidR="00AE7F31" w:rsidRPr="007320CD" w:rsidRDefault="00AE7F31" w:rsidP="008C4F1A">
      <w:pPr>
        <w:spacing w:before="120"/>
        <w:jc w:val="both"/>
        <w:rPr>
          <w:rFonts w:ascii="Times New Roman" w:eastAsiaTheme="minorHAnsi" w:hAnsi="Times New Roman"/>
          <w:b/>
          <w:sz w:val="24"/>
          <w:szCs w:val="24"/>
          <w:highlight w:val="yellow"/>
        </w:rPr>
      </w:pPr>
    </w:p>
    <w:p w14:paraId="52EA7A4D" w14:textId="64EBD419" w:rsidR="008C4F1A" w:rsidRPr="00926C7D" w:rsidRDefault="008C4F1A" w:rsidP="008C4F1A">
      <w:pPr>
        <w:spacing w:before="120"/>
        <w:jc w:val="both"/>
        <w:rPr>
          <w:rFonts w:ascii="Times New Roman" w:eastAsiaTheme="minorHAnsi" w:hAnsi="Times New Roman"/>
          <w:b/>
          <w:sz w:val="26"/>
          <w:szCs w:val="26"/>
        </w:rPr>
      </w:pPr>
      <w:r w:rsidRPr="00926C7D">
        <w:rPr>
          <w:rFonts w:ascii="Times New Roman" w:eastAsiaTheme="minorHAnsi" w:hAnsi="Times New Roman"/>
          <w:b/>
          <w:sz w:val="26"/>
          <w:szCs w:val="26"/>
        </w:rPr>
        <w:t>L</w:t>
      </w:r>
      <w:r w:rsidR="00896E81" w:rsidRPr="00926C7D">
        <w:rPr>
          <w:rFonts w:ascii="Times New Roman" w:eastAsiaTheme="minorHAnsi" w:hAnsi="Times New Roman"/>
          <w:b/>
          <w:sz w:val="26"/>
          <w:szCs w:val="26"/>
        </w:rPr>
        <w:t>ietotie saīsinājumi</w:t>
      </w:r>
    </w:p>
    <w:p w14:paraId="2DCC0458" w14:textId="0F60FE8C" w:rsidR="00DB3ECE" w:rsidRPr="00926C7D" w:rsidRDefault="00DB3ECE" w:rsidP="008C4F1A">
      <w:pPr>
        <w:spacing w:before="120"/>
        <w:jc w:val="both"/>
        <w:rPr>
          <w:rFonts w:ascii="Times New Roman" w:eastAsiaTheme="minorHAnsi" w:hAnsi="Times New Roman"/>
          <w:b/>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2"/>
        <w:gridCol w:w="7099"/>
      </w:tblGrid>
      <w:tr w:rsidR="00DB3ECE" w:rsidRPr="00926C7D" w14:paraId="2A7CE572" w14:textId="77777777" w:rsidTr="00AE7F31">
        <w:tc>
          <w:tcPr>
            <w:tcW w:w="1980" w:type="dxa"/>
          </w:tcPr>
          <w:p w14:paraId="18A9475A" w14:textId="147B0B20" w:rsidR="00DB3ECE" w:rsidRPr="00926C7D" w:rsidRDefault="00DB3ECE" w:rsidP="008C4F1A">
            <w:pPr>
              <w:spacing w:before="120"/>
              <w:jc w:val="both"/>
              <w:rPr>
                <w:rFonts w:ascii="Times New Roman" w:eastAsiaTheme="minorHAnsi" w:hAnsi="Times New Roman"/>
                <w:sz w:val="26"/>
                <w:szCs w:val="26"/>
              </w:rPr>
            </w:pPr>
            <w:r w:rsidRPr="00926C7D">
              <w:rPr>
                <w:rFonts w:ascii="Times New Roman" w:hAnsi="Times New Roman"/>
                <w:sz w:val="26"/>
                <w:szCs w:val="26"/>
              </w:rPr>
              <w:t>ALTUM</w:t>
            </w:r>
          </w:p>
        </w:tc>
        <w:tc>
          <w:tcPr>
            <w:tcW w:w="7268" w:type="dxa"/>
          </w:tcPr>
          <w:p w14:paraId="312318D8" w14:textId="68DECC4C" w:rsidR="00DB3ECE" w:rsidRPr="00926C7D" w:rsidRDefault="00DB3ECE" w:rsidP="008C4F1A">
            <w:pPr>
              <w:spacing w:before="120"/>
              <w:jc w:val="both"/>
              <w:rPr>
                <w:rFonts w:ascii="Times New Roman" w:eastAsiaTheme="minorHAnsi" w:hAnsi="Times New Roman"/>
                <w:sz w:val="26"/>
                <w:szCs w:val="26"/>
              </w:rPr>
            </w:pPr>
            <w:bookmarkStart w:id="0" w:name="_Hlk25684141"/>
            <w:r w:rsidRPr="00926C7D">
              <w:rPr>
                <w:rFonts w:ascii="Times New Roman" w:eastAsiaTheme="minorHAnsi" w:hAnsi="Times New Roman"/>
                <w:sz w:val="26"/>
                <w:szCs w:val="26"/>
              </w:rPr>
              <w:t>akciju sabiedrība “Attīstības finanšu institūcija Altum”</w:t>
            </w:r>
            <w:bookmarkEnd w:id="0"/>
          </w:p>
        </w:tc>
      </w:tr>
      <w:tr w:rsidR="00DB3ECE" w:rsidRPr="00926C7D" w14:paraId="759D098C" w14:textId="77777777" w:rsidTr="00AE7F31">
        <w:tc>
          <w:tcPr>
            <w:tcW w:w="1980" w:type="dxa"/>
          </w:tcPr>
          <w:p w14:paraId="145321A4" w14:textId="2FB93C76" w:rsidR="00DB3ECE" w:rsidRPr="00926C7D" w:rsidRDefault="00DB3ECE" w:rsidP="008C4F1A">
            <w:pPr>
              <w:spacing w:before="120"/>
              <w:jc w:val="both"/>
              <w:rPr>
                <w:rFonts w:ascii="Times New Roman" w:eastAsiaTheme="minorHAnsi" w:hAnsi="Times New Roman"/>
                <w:b/>
                <w:sz w:val="26"/>
                <w:szCs w:val="26"/>
              </w:rPr>
            </w:pPr>
            <w:r w:rsidRPr="00926C7D">
              <w:rPr>
                <w:rFonts w:ascii="Times New Roman" w:eastAsiaTheme="minorHAnsi" w:hAnsi="Times New Roman"/>
                <w:sz w:val="26"/>
                <w:szCs w:val="26"/>
              </w:rPr>
              <w:t>EM</w:t>
            </w:r>
            <w:r w:rsidRPr="00926C7D">
              <w:rPr>
                <w:rFonts w:ascii="Times New Roman" w:eastAsiaTheme="minorHAnsi" w:hAnsi="Times New Roman"/>
                <w:sz w:val="26"/>
                <w:szCs w:val="26"/>
              </w:rPr>
              <w:tab/>
            </w:r>
          </w:p>
        </w:tc>
        <w:tc>
          <w:tcPr>
            <w:tcW w:w="7268" w:type="dxa"/>
          </w:tcPr>
          <w:p w14:paraId="543E5057" w14:textId="69703FD9" w:rsidR="00DB3ECE" w:rsidRPr="00926C7D" w:rsidRDefault="00DB3ECE" w:rsidP="008C4F1A">
            <w:pPr>
              <w:spacing w:before="120"/>
              <w:jc w:val="both"/>
              <w:rPr>
                <w:rFonts w:ascii="Times New Roman" w:eastAsiaTheme="minorHAnsi" w:hAnsi="Times New Roman"/>
                <w:b/>
                <w:sz w:val="26"/>
                <w:szCs w:val="26"/>
              </w:rPr>
            </w:pPr>
            <w:r w:rsidRPr="00926C7D">
              <w:rPr>
                <w:rFonts w:ascii="Times New Roman" w:eastAsiaTheme="minorHAnsi" w:hAnsi="Times New Roman"/>
                <w:sz w:val="26"/>
                <w:szCs w:val="26"/>
              </w:rPr>
              <w:t>Ekonomikas ministrija</w:t>
            </w:r>
          </w:p>
        </w:tc>
      </w:tr>
      <w:tr w:rsidR="00DB3ECE" w:rsidRPr="00926C7D" w14:paraId="0C585884" w14:textId="77777777" w:rsidTr="00AE7F31">
        <w:tc>
          <w:tcPr>
            <w:tcW w:w="1980" w:type="dxa"/>
          </w:tcPr>
          <w:p w14:paraId="248427F0" w14:textId="3083FEA6" w:rsidR="00DB3ECE" w:rsidRPr="00926C7D" w:rsidRDefault="00DB3ECE" w:rsidP="008C4F1A">
            <w:pPr>
              <w:spacing w:before="120"/>
              <w:jc w:val="both"/>
              <w:rPr>
                <w:rFonts w:ascii="Times New Roman" w:eastAsiaTheme="minorHAnsi" w:hAnsi="Times New Roman"/>
                <w:b/>
                <w:sz w:val="26"/>
                <w:szCs w:val="26"/>
              </w:rPr>
            </w:pPr>
            <w:r w:rsidRPr="00926C7D">
              <w:rPr>
                <w:rFonts w:ascii="Times New Roman" w:eastAsiaTheme="minorHAnsi" w:hAnsi="Times New Roman"/>
                <w:sz w:val="26"/>
                <w:szCs w:val="26"/>
              </w:rPr>
              <w:t>IeM</w:t>
            </w:r>
          </w:p>
        </w:tc>
        <w:tc>
          <w:tcPr>
            <w:tcW w:w="7268" w:type="dxa"/>
          </w:tcPr>
          <w:p w14:paraId="7CFCE133" w14:textId="7E0619D9" w:rsidR="00DB3ECE" w:rsidRPr="00926C7D" w:rsidRDefault="00DB3ECE" w:rsidP="008C4F1A">
            <w:pPr>
              <w:spacing w:before="120"/>
              <w:jc w:val="both"/>
              <w:rPr>
                <w:rFonts w:ascii="Times New Roman" w:eastAsiaTheme="minorHAnsi" w:hAnsi="Times New Roman"/>
                <w:b/>
                <w:sz w:val="26"/>
                <w:szCs w:val="26"/>
              </w:rPr>
            </w:pPr>
            <w:r w:rsidRPr="00926C7D">
              <w:rPr>
                <w:rFonts w:ascii="Times New Roman" w:eastAsiaTheme="minorHAnsi" w:hAnsi="Times New Roman"/>
                <w:sz w:val="26"/>
                <w:szCs w:val="26"/>
              </w:rPr>
              <w:t>Iekšlietu ministrija</w:t>
            </w:r>
          </w:p>
        </w:tc>
      </w:tr>
      <w:tr w:rsidR="00DB3ECE" w:rsidRPr="00926C7D" w14:paraId="570B3082" w14:textId="77777777" w:rsidTr="00AE7F31">
        <w:tc>
          <w:tcPr>
            <w:tcW w:w="1980" w:type="dxa"/>
          </w:tcPr>
          <w:p w14:paraId="3166DAFB" w14:textId="4D92A58D" w:rsidR="00DB3ECE" w:rsidRPr="00926C7D" w:rsidRDefault="00DB3ECE" w:rsidP="008C4F1A">
            <w:pPr>
              <w:spacing w:before="120"/>
              <w:jc w:val="both"/>
              <w:rPr>
                <w:rFonts w:ascii="Times New Roman" w:eastAsiaTheme="minorHAnsi" w:hAnsi="Times New Roman"/>
                <w:b/>
                <w:sz w:val="26"/>
                <w:szCs w:val="26"/>
              </w:rPr>
            </w:pPr>
            <w:r w:rsidRPr="00926C7D">
              <w:rPr>
                <w:rFonts w:ascii="Times New Roman" w:eastAsiaTheme="minorHAnsi" w:hAnsi="Times New Roman"/>
                <w:sz w:val="26"/>
                <w:szCs w:val="26"/>
              </w:rPr>
              <w:t>LB</w:t>
            </w:r>
            <w:r w:rsidRPr="00926C7D">
              <w:rPr>
                <w:rFonts w:ascii="Times New Roman" w:eastAsiaTheme="minorHAnsi" w:hAnsi="Times New Roman"/>
                <w:sz w:val="26"/>
                <w:szCs w:val="26"/>
              </w:rPr>
              <w:tab/>
            </w:r>
          </w:p>
        </w:tc>
        <w:tc>
          <w:tcPr>
            <w:tcW w:w="7268" w:type="dxa"/>
          </w:tcPr>
          <w:p w14:paraId="51EB9DA2" w14:textId="6998BFAB" w:rsidR="00DB3ECE" w:rsidRPr="00926C7D" w:rsidRDefault="00DB3ECE" w:rsidP="008C4F1A">
            <w:pPr>
              <w:spacing w:before="120"/>
              <w:jc w:val="both"/>
              <w:rPr>
                <w:rFonts w:ascii="Times New Roman" w:eastAsiaTheme="minorHAnsi" w:hAnsi="Times New Roman"/>
                <w:b/>
                <w:sz w:val="26"/>
                <w:szCs w:val="26"/>
              </w:rPr>
            </w:pPr>
            <w:r w:rsidRPr="00926C7D">
              <w:rPr>
                <w:rFonts w:ascii="Times New Roman" w:eastAsiaTheme="minorHAnsi" w:hAnsi="Times New Roman"/>
                <w:sz w:val="26"/>
                <w:szCs w:val="26"/>
              </w:rPr>
              <w:t>Latvijas Banka</w:t>
            </w:r>
          </w:p>
        </w:tc>
      </w:tr>
      <w:tr w:rsidR="00DB3ECE" w:rsidRPr="00926C7D" w14:paraId="16FAD683" w14:textId="77777777" w:rsidTr="00AE7F31">
        <w:tc>
          <w:tcPr>
            <w:tcW w:w="1980" w:type="dxa"/>
          </w:tcPr>
          <w:p w14:paraId="6350D134" w14:textId="3446912E" w:rsidR="00DB3ECE" w:rsidRPr="00926C7D" w:rsidRDefault="00DB3ECE" w:rsidP="008C4F1A">
            <w:pPr>
              <w:spacing w:before="120"/>
              <w:jc w:val="both"/>
              <w:rPr>
                <w:rFonts w:ascii="Times New Roman" w:eastAsiaTheme="minorHAnsi" w:hAnsi="Times New Roman"/>
                <w:b/>
                <w:sz w:val="26"/>
                <w:szCs w:val="26"/>
              </w:rPr>
            </w:pPr>
            <w:r w:rsidRPr="00926C7D">
              <w:rPr>
                <w:rFonts w:ascii="Times New Roman" w:eastAsiaTheme="minorHAnsi" w:hAnsi="Times New Roman"/>
                <w:sz w:val="26"/>
                <w:szCs w:val="26"/>
              </w:rPr>
              <w:t>MK</w:t>
            </w:r>
            <w:r w:rsidRPr="00926C7D">
              <w:rPr>
                <w:rFonts w:ascii="Times New Roman" w:eastAsiaTheme="minorHAnsi" w:hAnsi="Times New Roman"/>
                <w:sz w:val="26"/>
                <w:szCs w:val="26"/>
              </w:rPr>
              <w:tab/>
            </w:r>
          </w:p>
        </w:tc>
        <w:tc>
          <w:tcPr>
            <w:tcW w:w="7268" w:type="dxa"/>
          </w:tcPr>
          <w:p w14:paraId="2E7699E6" w14:textId="1043FAD6" w:rsidR="00DB3ECE" w:rsidRPr="00926C7D" w:rsidRDefault="00DB3ECE" w:rsidP="008C4F1A">
            <w:pPr>
              <w:spacing w:before="120"/>
              <w:jc w:val="both"/>
              <w:rPr>
                <w:rFonts w:ascii="Times New Roman" w:eastAsiaTheme="minorHAnsi" w:hAnsi="Times New Roman"/>
                <w:b/>
                <w:sz w:val="26"/>
                <w:szCs w:val="26"/>
              </w:rPr>
            </w:pPr>
            <w:r w:rsidRPr="00926C7D">
              <w:rPr>
                <w:rFonts w:ascii="Times New Roman" w:eastAsiaTheme="minorHAnsi" w:hAnsi="Times New Roman"/>
                <w:sz w:val="26"/>
                <w:szCs w:val="26"/>
              </w:rPr>
              <w:t>Ministru kabinets</w:t>
            </w:r>
          </w:p>
        </w:tc>
      </w:tr>
      <w:tr w:rsidR="00DB3ECE" w:rsidRPr="00926C7D" w14:paraId="331F3896" w14:textId="77777777" w:rsidTr="00AE7F31">
        <w:tc>
          <w:tcPr>
            <w:tcW w:w="1980" w:type="dxa"/>
          </w:tcPr>
          <w:p w14:paraId="30041DC8" w14:textId="407CF2F4" w:rsidR="00DB3ECE" w:rsidRPr="00926C7D" w:rsidRDefault="00DB3ECE" w:rsidP="008C4F1A">
            <w:pPr>
              <w:spacing w:before="120"/>
              <w:jc w:val="both"/>
              <w:rPr>
                <w:rFonts w:ascii="Times New Roman" w:eastAsiaTheme="minorHAnsi" w:hAnsi="Times New Roman"/>
                <w:b/>
                <w:sz w:val="26"/>
                <w:szCs w:val="26"/>
              </w:rPr>
            </w:pPr>
            <w:r w:rsidRPr="00926C7D">
              <w:rPr>
                <w:rFonts w:ascii="Times New Roman" w:eastAsiaTheme="minorHAnsi" w:hAnsi="Times New Roman"/>
                <w:sz w:val="26"/>
                <w:szCs w:val="26"/>
              </w:rPr>
              <w:t>PMLP</w:t>
            </w:r>
          </w:p>
        </w:tc>
        <w:tc>
          <w:tcPr>
            <w:tcW w:w="7268" w:type="dxa"/>
          </w:tcPr>
          <w:p w14:paraId="28F7525B" w14:textId="411FBEA9" w:rsidR="00DB3ECE" w:rsidRPr="00926C7D" w:rsidRDefault="00DB3ECE" w:rsidP="008C4F1A">
            <w:pPr>
              <w:spacing w:before="120"/>
              <w:jc w:val="both"/>
              <w:rPr>
                <w:rFonts w:ascii="Times New Roman" w:eastAsiaTheme="minorHAnsi" w:hAnsi="Times New Roman"/>
                <w:b/>
                <w:sz w:val="26"/>
                <w:szCs w:val="26"/>
              </w:rPr>
            </w:pPr>
            <w:r w:rsidRPr="00926C7D">
              <w:rPr>
                <w:rFonts w:ascii="Times New Roman" w:eastAsiaTheme="minorHAnsi" w:hAnsi="Times New Roman"/>
                <w:sz w:val="26"/>
                <w:szCs w:val="26"/>
              </w:rPr>
              <w:t>Pilsonības un migrācijas lietu pārvalde</w:t>
            </w:r>
          </w:p>
        </w:tc>
      </w:tr>
      <w:tr w:rsidR="00E12105" w:rsidRPr="00926C7D" w14:paraId="402EBF1D" w14:textId="77777777" w:rsidTr="00AE7F31">
        <w:tc>
          <w:tcPr>
            <w:tcW w:w="1980" w:type="dxa"/>
          </w:tcPr>
          <w:p w14:paraId="4515E733" w14:textId="112B538F" w:rsidR="00E12105" w:rsidRPr="00926C7D" w:rsidRDefault="00E12105" w:rsidP="008C4F1A">
            <w:pPr>
              <w:spacing w:before="120"/>
              <w:jc w:val="both"/>
              <w:rPr>
                <w:rFonts w:ascii="Times New Roman" w:eastAsiaTheme="minorHAnsi" w:hAnsi="Times New Roman"/>
                <w:sz w:val="26"/>
                <w:szCs w:val="26"/>
              </w:rPr>
            </w:pPr>
            <w:r w:rsidRPr="00926C7D">
              <w:rPr>
                <w:rFonts w:ascii="Times New Roman" w:eastAsiaTheme="minorHAnsi" w:hAnsi="Times New Roman"/>
                <w:sz w:val="26"/>
                <w:szCs w:val="26"/>
              </w:rPr>
              <w:t>PUA</w:t>
            </w:r>
          </w:p>
        </w:tc>
        <w:tc>
          <w:tcPr>
            <w:tcW w:w="7268" w:type="dxa"/>
          </w:tcPr>
          <w:p w14:paraId="7453714E" w14:textId="7A3A4925" w:rsidR="00E12105" w:rsidRPr="00926C7D" w:rsidRDefault="00E12105" w:rsidP="008C4F1A">
            <w:pPr>
              <w:spacing w:before="120"/>
              <w:jc w:val="both"/>
              <w:rPr>
                <w:rFonts w:ascii="Times New Roman" w:eastAsiaTheme="minorHAnsi" w:hAnsi="Times New Roman"/>
                <w:sz w:val="26"/>
                <w:szCs w:val="26"/>
              </w:rPr>
            </w:pPr>
            <w:r w:rsidRPr="00926C7D">
              <w:rPr>
                <w:rFonts w:ascii="Times New Roman" w:eastAsiaTheme="minorHAnsi" w:hAnsi="Times New Roman"/>
                <w:sz w:val="26"/>
                <w:szCs w:val="26"/>
              </w:rPr>
              <w:t>pastāvīgās uzturēšanās atļauja</w:t>
            </w:r>
          </w:p>
        </w:tc>
      </w:tr>
      <w:tr w:rsidR="00DB3ECE" w:rsidRPr="00926C7D" w14:paraId="7F80A8B7" w14:textId="77777777" w:rsidTr="00AE7F31">
        <w:tc>
          <w:tcPr>
            <w:tcW w:w="1980" w:type="dxa"/>
          </w:tcPr>
          <w:p w14:paraId="739EDCF2" w14:textId="22C768B0" w:rsidR="00DB3ECE" w:rsidRPr="00926C7D" w:rsidRDefault="00DB3ECE" w:rsidP="008C4F1A">
            <w:pPr>
              <w:spacing w:before="120"/>
              <w:jc w:val="both"/>
              <w:rPr>
                <w:rFonts w:ascii="Times New Roman" w:eastAsiaTheme="minorHAnsi" w:hAnsi="Times New Roman"/>
                <w:sz w:val="26"/>
                <w:szCs w:val="26"/>
              </w:rPr>
            </w:pPr>
            <w:r w:rsidRPr="00926C7D">
              <w:rPr>
                <w:rFonts w:ascii="Times New Roman" w:eastAsiaTheme="minorHAnsi" w:hAnsi="Times New Roman"/>
                <w:sz w:val="26"/>
                <w:szCs w:val="26"/>
              </w:rPr>
              <w:t>TUA</w:t>
            </w:r>
          </w:p>
        </w:tc>
        <w:tc>
          <w:tcPr>
            <w:tcW w:w="7268" w:type="dxa"/>
          </w:tcPr>
          <w:p w14:paraId="308F2B66" w14:textId="70EAC952" w:rsidR="00DB3ECE" w:rsidRPr="00926C7D" w:rsidRDefault="00DB3ECE" w:rsidP="008C4F1A">
            <w:pPr>
              <w:spacing w:before="120"/>
              <w:jc w:val="both"/>
              <w:rPr>
                <w:rFonts w:ascii="Times New Roman" w:eastAsiaTheme="minorHAnsi" w:hAnsi="Times New Roman"/>
                <w:sz w:val="26"/>
                <w:szCs w:val="26"/>
              </w:rPr>
            </w:pPr>
            <w:r w:rsidRPr="00926C7D">
              <w:rPr>
                <w:rFonts w:ascii="Times New Roman" w:eastAsiaTheme="minorHAnsi" w:hAnsi="Times New Roman"/>
                <w:sz w:val="26"/>
                <w:szCs w:val="26"/>
              </w:rPr>
              <w:t>termiņuzturēšanās atļauja</w:t>
            </w:r>
          </w:p>
        </w:tc>
      </w:tr>
      <w:tr w:rsidR="00AE7F31" w:rsidRPr="00926C7D" w14:paraId="4028F771" w14:textId="77777777" w:rsidTr="00AE7F31">
        <w:tc>
          <w:tcPr>
            <w:tcW w:w="1980" w:type="dxa"/>
          </w:tcPr>
          <w:p w14:paraId="502495C0" w14:textId="4C4F531A" w:rsidR="00AE7F31" w:rsidRPr="00926C7D" w:rsidRDefault="00AE7F31" w:rsidP="008C4F1A">
            <w:pPr>
              <w:spacing w:before="120"/>
              <w:jc w:val="both"/>
              <w:rPr>
                <w:rFonts w:ascii="Times New Roman" w:eastAsiaTheme="minorHAnsi" w:hAnsi="Times New Roman"/>
                <w:sz w:val="26"/>
                <w:szCs w:val="26"/>
              </w:rPr>
            </w:pPr>
            <w:r w:rsidRPr="00926C7D">
              <w:rPr>
                <w:rFonts w:ascii="Times New Roman" w:eastAsiaTheme="minorHAnsi" w:hAnsi="Times New Roman"/>
                <w:sz w:val="26"/>
                <w:szCs w:val="26"/>
              </w:rPr>
              <w:t>VDD</w:t>
            </w:r>
          </w:p>
        </w:tc>
        <w:tc>
          <w:tcPr>
            <w:tcW w:w="7268" w:type="dxa"/>
          </w:tcPr>
          <w:p w14:paraId="2691BDBE" w14:textId="37AE1F2B" w:rsidR="00AE7F31" w:rsidRPr="00926C7D" w:rsidRDefault="00AE7F31" w:rsidP="008C4F1A">
            <w:pPr>
              <w:spacing w:before="120"/>
              <w:jc w:val="both"/>
              <w:rPr>
                <w:rFonts w:ascii="Times New Roman" w:eastAsiaTheme="minorHAnsi" w:hAnsi="Times New Roman"/>
                <w:sz w:val="26"/>
                <w:szCs w:val="26"/>
              </w:rPr>
            </w:pPr>
            <w:r w:rsidRPr="00926C7D">
              <w:rPr>
                <w:rFonts w:ascii="Times New Roman" w:eastAsiaTheme="minorHAnsi" w:hAnsi="Times New Roman"/>
                <w:sz w:val="26"/>
                <w:szCs w:val="26"/>
              </w:rPr>
              <w:t>Valsts drošības dienests</w:t>
            </w:r>
          </w:p>
        </w:tc>
      </w:tr>
      <w:tr w:rsidR="00DB3ECE" w:rsidRPr="00926C7D" w14:paraId="42B9905D" w14:textId="77777777" w:rsidTr="00AE7F31">
        <w:tc>
          <w:tcPr>
            <w:tcW w:w="1980" w:type="dxa"/>
          </w:tcPr>
          <w:p w14:paraId="55520F4A" w14:textId="344165AA" w:rsidR="00DB3ECE" w:rsidRPr="00926C7D" w:rsidRDefault="00DB3ECE" w:rsidP="008C4F1A">
            <w:pPr>
              <w:spacing w:before="120"/>
              <w:jc w:val="both"/>
              <w:rPr>
                <w:rFonts w:ascii="Times New Roman" w:eastAsiaTheme="minorHAnsi" w:hAnsi="Times New Roman"/>
                <w:b/>
                <w:sz w:val="26"/>
                <w:szCs w:val="26"/>
              </w:rPr>
            </w:pPr>
            <w:r w:rsidRPr="00926C7D">
              <w:rPr>
                <w:rFonts w:ascii="Times New Roman" w:eastAsiaTheme="minorHAnsi" w:hAnsi="Times New Roman"/>
                <w:sz w:val="26"/>
                <w:szCs w:val="26"/>
              </w:rPr>
              <w:t>Zemesgrāmata</w:t>
            </w:r>
          </w:p>
        </w:tc>
        <w:tc>
          <w:tcPr>
            <w:tcW w:w="7268" w:type="dxa"/>
          </w:tcPr>
          <w:p w14:paraId="48215B54" w14:textId="577B9526" w:rsidR="00DB3ECE" w:rsidRPr="00926C7D" w:rsidRDefault="00DB3ECE" w:rsidP="008C4F1A">
            <w:pPr>
              <w:spacing w:before="120"/>
              <w:jc w:val="both"/>
              <w:rPr>
                <w:rFonts w:ascii="Times New Roman" w:eastAsiaTheme="minorHAnsi" w:hAnsi="Times New Roman"/>
                <w:sz w:val="26"/>
                <w:szCs w:val="26"/>
              </w:rPr>
            </w:pPr>
            <w:r w:rsidRPr="00926C7D">
              <w:rPr>
                <w:rFonts w:ascii="Times New Roman" w:eastAsiaTheme="minorHAnsi" w:hAnsi="Times New Roman"/>
                <w:sz w:val="26"/>
                <w:szCs w:val="26"/>
              </w:rPr>
              <w:t>Valsts vienotā datorizētā zemesgrāmata</w:t>
            </w:r>
          </w:p>
        </w:tc>
      </w:tr>
    </w:tbl>
    <w:p w14:paraId="474C90B4" w14:textId="77777777" w:rsidR="00DB3ECE" w:rsidRPr="007320CD" w:rsidRDefault="00DB3ECE" w:rsidP="008C4F1A">
      <w:pPr>
        <w:spacing w:before="120"/>
        <w:jc w:val="both"/>
        <w:rPr>
          <w:rFonts w:ascii="Times New Roman" w:eastAsiaTheme="minorHAnsi" w:hAnsi="Times New Roman"/>
          <w:b/>
          <w:sz w:val="24"/>
          <w:szCs w:val="24"/>
          <w:highlight w:val="yellow"/>
        </w:rPr>
      </w:pPr>
    </w:p>
    <w:p w14:paraId="29E91E6E" w14:textId="0447E1C2" w:rsidR="00DB3ECE" w:rsidRPr="007320CD" w:rsidRDefault="00DB3ECE">
      <w:pPr>
        <w:rPr>
          <w:rFonts w:ascii="Times New Roman" w:hAnsi="Times New Roman"/>
          <w:b/>
          <w:sz w:val="28"/>
          <w:szCs w:val="28"/>
          <w:highlight w:val="yellow"/>
        </w:rPr>
      </w:pPr>
      <w:r w:rsidRPr="007320CD">
        <w:rPr>
          <w:rFonts w:ascii="Times New Roman" w:hAnsi="Times New Roman"/>
          <w:b/>
          <w:sz w:val="28"/>
          <w:szCs w:val="28"/>
          <w:highlight w:val="yellow"/>
        </w:rPr>
        <w:br w:type="page"/>
      </w:r>
    </w:p>
    <w:p w14:paraId="49E2D99A" w14:textId="77777777" w:rsidR="009B10A4" w:rsidRPr="007320CD" w:rsidRDefault="009B10A4" w:rsidP="00450767">
      <w:pPr>
        <w:spacing w:after="120"/>
        <w:rPr>
          <w:rFonts w:ascii="Times New Roman" w:hAnsi="Times New Roman"/>
          <w:b/>
          <w:sz w:val="26"/>
          <w:szCs w:val="26"/>
          <w:highlight w:val="yellow"/>
        </w:rPr>
      </w:pPr>
    </w:p>
    <w:p w14:paraId="1EC2CD6D" w14:textId="6D494A8E" w:rsidR="00806ECC" w:rsidRPr="006F3276" w:rsidRDefault="00806ECC" w:rsidP="00450767">
      <w:pPr>
        <w:spacing w:after="120"/>
        <w:ind w:firstLine="567"/>
        <w:jc w:val="both"/>
        <w:rPr>
          <w:rFonts w:ascii="Times New Roman" w:hAnsi="Times New Roman"/>
          <w:sz w:val="26"/>
          <w:szCs w:val="26"/>
        </w:rPr>
      </w:pPr>
      <w:r w:rsidRPr="006F3276">
        <w:rPr>
          <w:rFonts w:ascii="Times New Roman" w:hAnsi="Times New Roman"/>
          <w:sz w:val="26"/>
          <w:szCs w:val="26"/>
        </w:rPr>
        <w:t>Informatīvais ziņojums (turpmāk – ziņojums) ietver ziņojumu, secinājumus</w:t>
      </w:r>
      <w:r w:rsidR="005D57AB" w:rsidRPr="006F3276">
        <w:rPr>
          <w:rFonts w:ascii="Times New Roman" w:hAnsi="Times New Roman"/>
          <w:sz w:val="26"/>
          <w:szCs w:val="26"/>
        </w:rPr>
        <w:t xml:space="preserve"> un </w:t>
      </w:r>
      <w:r w:rsidRPr="006F3276">
        <w:rPr>
          <w:rFonts w:ascii="Times New Roman" w:hAnsi="Times New Roman"/>
          <w:sz w:val="26"/>
          <w:szCs w:val="26"/>
        </w:rPr>
        <w:t>pielikumu</w:t>
      </w:r>
      <w:r w:rsidR="005D57AB" w:rsidRPr="006F3276">
        <w:rPr>
          <w:rFonts w:ascii="Times New Roman" w:hAnsi="Times New Roman"/>
          <w:sz w:val="26"/>
          <w:szCs w:val="26"/>
        </w:rPr>
        <w:t xml:space="preserve">, kurā analizēta </w:t>
      </w:r>
      <w:r w:rsidR="006F3276">
        <w:rPr>
          <w:rFonts w:ascii="Times New Roman" w:hAnsi="Times New Roman"/>
          <w:sz w:val="26"/>
          <w:szCs w:val="26"/>
        </w:rPr>
        <w:t>TUA</w:t>
      </w:r>
      <w:r w:rsidR="00AE1ADE" w:rsidRPr="006F3276">
        <w:rPr>
          <w:rFonts w:ascii="Times New Roman" w:hAnsi="Times New Roman"/>
          <w:sz w:val="26"/>
          <w:szCs w:val="26"/>
        </w:rPr>
        <w:t xml:space="preserve"> dinamika 20</w:t>
      </w:r>
      <w:r w:rsidR="00C83B49" w:rsidRPr="006F3276">
        <w:rPr>
          <w:rFonts w:ascii="Times New Roman" w:hAnsi="Times New Roman"/>
          <w:sz w:val="26"/>
          <w:szCs w:val="26"/>
        </w:rPr>
        <w:t>10</w:t>
      </w:r>
      <w:r w:rsidR="00AE1ADE" w:rsidRPr="006F3276">
        <w:rPr>
          <w:rFonts w:ascii="Times New Roman" w:hAnsi="Times New Roman"/>
          <w:sz w:val="26"/>
          <w:szCs w:val="26"/>
        </w:rPr>
        <w:t>.-20</w:t>
      </w:r>
      <w:r w:rsidR="00C83B49" w:rsidRPr="006F3276">
        <w:rPr>
          <w:rFonts w:ascii="Times New Roman" w:hAnsi="Times New Roman"/>
          <w:sz w:val="26"/>
          <w:szCs w:val="26"/>
        </w:rPr>
        <w:t>2</w:t>
      </w:r>
      <w:r w:rsidR="006F3276" w:rsidRPr="006F3276">
        <w:rPr>
          <w:rFonts w:ascii="Times New Roman" w:hAnsi="Times New Roman"/>
          <w:sz w:val="26"/>
          <w:szCs w:val="26"/>
        </w:rPr>
        <w:t>2</w:t>
      </w:r>
      <w:r w:rsidRPr="006F3276">
        <w:rPr>
          <w:rFonts w:ascii="Times New Roman" w:hAnsi="Times New Roman"/>
          <w:sz w:val="26"/>
          <w:szCs w:val="26"/>
        </w:rPr>
        <w:t>.gadā</w:t>
      </w:r>
      <w:r w:rsidR="005D57AB" w:rsidRPr="006F3276">
        <w:rPr>
          <w:rFonts w:ascii="Times New Roman" w:hAnsi="Times New Roman"/>
          <w:sz w:val="26"/>
          <w:szCs w:val="26"/>
        </w:rPr>
        <w:t xml:space="preserve">. </w:t>
      </w:r>
    </w:p>
    <w:p w14:paraId="324F9854" w14:textId="417A0C36" w:rsidR="009B10A4" w:rsidRPr="00926C7D" w:rsidRDefault="008C4A16" w:rsidP="00450767">
      <w:pPr>
        <w:spacing w:after="120"/>
        <w:ind w:firstLine="567"/>
        <w:jc w:val="both"/>
        <w:rPr>
          <w:rFonts w:ascii="Times New Roman" w:hAnsi="Times New Roman"/>
          <w:sz w:val="26"/>
          <w:szCs w:val="26"/>
        </w:rPr>
      </w:pPr>
      <w:r w:rsidRPr="006F3276">
        <w:rPr>
          <w:rFonts w:ascii="Times New Roman" w:hAnsi="Times New Roman"/>
          <w:sz w:val="26"/>
          <w:szCs w:val="26"/>
        </w:rPr>
        <w:t xml:space="preserve">Ziņojumā aplūkota </w:t>
      </w:r>
      <w:r w:rsidR="00DB3ECE" w:rsidRPr="006F3276">
        <w:rPr>
          <w:rFonts w:ascii="Times New Roman" w:hAnsi="Times New Roman"/>
          <w:sz w:val="26"/>
          <w:szCs w:val="26"/>
        </w:rPr>
        <w:t>TUA</w:t>
      </w:r>
      <w:r w:rsidRPr="006F3276">
        <w:rPr>
          <w:rFonts w:ascii="Times New Roman" w:hAnsi="Times New Roman"/>
          <w:sz w:val="26"/>
          <w:szCs w:val="26"/>
        </w:rPr>
        <w:t xml:space="preserve"> piešķiršanas dinamika un ar TUA saistīto ārvalstu investīciju loma kopējā ārvalstu investīciju ieplūdē, kā arī ārvalstu investoru sadalījums pēc valstiskās piederības, sevišķu uzmanību pievērošot pēdējam ziņojuma pārskata periodam no 201</w:t>
      </w:r>
      <w:r w:rsidR="00C83B49" w:rsidRPr="006F3276">
        <w:rPr>
          <w:rFonts w:ascii="Times New Roman" w:hAnsi="Times New Roman"/>
          <w:sz w:val="26"/>
          <w:szCs w:val="26"/>
        </w:rPr>
        <w:t>9</w:t>
      </w:r>
      <w:r w:rsidRPr="006F3276">
        <w:rPr>
          <w:rFonts w:ascii="Times New Roman" w:hAnsi="Times New Roman"/>
          <w:sz w:val="26"/>
          <w:szCs w:val="26"/>
        </w:rPr>
        <w:t xml:space="preserve">.gada 1.jūlija līdz </w:t>
      </w:r>
      <w:r w:rsidR="00C83B49" w:rsidRPr="006F3276">
        <w:rPr>
          <w:rFonts w:ascii="Times New Roman" w:hAnsi="Times New Roman"/>
          <w:sz w:val="26"/>
          <w:szCs w:val="26"/>
        </w:rPr>
        <w:t>202</w:t>
      </w:r>
      <w:r w:rsidR="006F3276" w:rsidRPr="006F3276">
        <w:rPr>
          <w:rFonts w:ascii="Times New Roman" w:hAnsi="Times New Roman"/>
          <w:sz w:val="26"/>
          <w:szCs w:val="26"/>
        </w:rPr>
        <w:t>2</w:t>
      </w:r>
      <w:r w:rsidR="00C83B49" w:rsidRPr="006F3276">
        <w:rPr>
          <w:rFonts w:ascii="Times New Roman" w:hAnsi="Times New Roman"/>
          <w:sz w:val="26"/>
          <w:szCs w:val="26"/>
        </w:rPr>
        <w:t>.gada 31.decembrim</w:t>
      </w:r>
      <w:r w:rsidRPr="006F3276">
        <w:rPr>
          <w:rFonts w:ascii="Times New Roman" w:hAnsi="Times New Roman"/>
          <w:sz w:val="26"/>
          <w:szCs w:val="26"/>
        </w:rPr>
        <w:t xml:space="preserve">. Detalizēti analizēts katrs no TUA saņemšanas veidiem – ieguldījumi kapitālsabiedrību pamatkapitālā, investīcijas nekustamajos īpašumos, finanšu investīcijas kredītiestādē un valsts vērtspapīru iegāde. Ziņojumā sniegts attiecīgo Imigrācijas likuma normu ietekmes izvērtējums uz tautsaimniecības reālo sektoru, finanšu sektoru, valsts budžetu un sabiedrības attīstību kopumā, sniegta informācija arī par atkārtotu TUA un </w:t>
      </w:r>
      <w:r w:rsidR="00C55003" w:rsidRPr="006F3276">
        <w:rPr>
          <w:rFonts w:ascii="Times New Roman" w:hAnsi="Times New Roman"/>
          <w:sz w:val="26"/>
          <w:szCs w:val="26"/>
        </w:rPr>
        <w:t>PUA</w:t>
      </w:r>
      <w:r w:rsidRPr="006F3276">
        <w:rPr>
          <w:rFonts w:ascii="Times New Roman" w:hAnsi="Times New Roman"/>
          <w:sz w:val="26"/>
          <w:szCs w:val="26"/>
        </w:rPr>
        <w:t xml:space="preserve"> pieprasīšanas tendencēm tiem </w:t>
      </w:r>
      <w:r w:rsidRPr="00926C7D">
        <w:rPr>
          <w:rFonts w:ascii="Times New Roman" w:hAnsi="Times New Roman"/>
          <w:sz w:val="26"/>
          <w:szCs w:val="26"/>
        </w:rPr>
        <w:t>ārzemniekiem, kuri Latvijas Republikā ar TUA atļauju uzturējušies jau piecus gadus.</w:t>
      </w:r>
    </w:p>
    <w:p w14:paraId="2021EF4E" w14:textId="55D3B8FF" w:rsidR="0022212B" w:rsidRPr="00926C7D" w:rsidRDefault="0022212B" w:rsidP="00FB4946">
      <w:pPr>
        <w:spacing w:after="120"/>
        <w:ind w:firstLine="567"/>
        <w:jc w:val="both"/>
        <w:rPr>
          <w:rFonts w:ascii="Times New Roman" w:hAnsi="Times New Roman"/>
          <w:sz w:val="26"/>
          <w:szCs w:val="26"/>
        </w:rPr>
      </w:pPr>
      <w:r w:rsidRPr="00926C7D">
        <w:rPr>
          <w:rFonts w:ascii="Times New Roman" w:hAnsi="Times New Roman"/>
          <w:sz w:val="26"/>
          <w:szCs w:val="26"/>
        </w:rPr>
        <w:t xml:space="preserve">Ziņojuma sagatavošanā izmantoti Pilsonības un migrācijas lietu pārvaldes, Ekonomikas ministrijas, Latvijas Bankas, </w:t>
      </w:r>
      <w:r w:rsidR="004104DB" w:rsidRPr="00926C7D">
        <w:rPr>
          <w:rFonts w:ascii="Times New Roman" w:hAnsi="Times New Roman"/>
          <w:sz w:val="26"/>
          <w:szCs w:val="26"/>
        </w:rPr>
        <w:t>SIA “Lursoft IT” dati.</w:t>
      </w:r>
      <w:r w:rsidRPr="00926C7D">
        <w:rPr>
          <w:rFonts w:ascii="Times New Roman" w:hAnsi="Times New Roman"/>
          <w:sz w:val="26"/>
          <w:szCs w:val="26"/>
        </w:rPr>
        <w:t xml:space="preserve"> </w:t>
      </w:r>
    </w:p>
    <w:p w14:paraId="750D01CC" w14:textId="74A3B67A" w:rsidR="00FF58A0" w:rsidRPr="007320CD" w:rsidRDefault="00FB4946" w:rsidP="005B14E0">
      <w:pPr>
        <w:spacing w:after="120"/>
        <w:jc w:val="both"/>
        <w:rPr>
          <w:rFonts w:ascii="Times New Roman" w:hAnsi="Times New Roman"/>
          <w:sz w:val="26"/>
          <w:szCs w:val="26"/>
          <w:highlight w:val="yellow"/>
        </w:rPr>
      </w:pPr>
      <w:r w:rsidRPr="007320CD">
        <w:rPr>
          <w:rFonts w:ascii="Times New Roman" w:hAnsi="Times New Roman"/>
          <w:sz w:val="26"/>
          <w:szCs w:val="26"/>
          <w:highlight w:val="yellow"/>
        </w:rPr>
        <w:br w:type="page"/>
      </w:r>
      <w:bookmarkStart w:id="1" w:name="_Toc340050953"/>
    </w:p>
    <w:p w14:paraId="0F0AF3D0" w14:textId="5BB6DDA9" w:rsidR="00FF58A0" w:rsidRPr="00A648E1" w:rsidRDefault="00457F17" w:rsidP="000E0613">
      <w:pPr>
        <w:spacing w:after="120"/>
        <w:jc w:val="center"/>
        <w:rPr>
          <w:rFonts w:ascii="Times New Roman" w:hAnsi="Times New Roman"/>
          <w:b/>
          <w:sz w:val="26"/>
          <w:szCs w:val="26"/>
        </w:rPr>
      </w:pPr>
      <w:r w:rsidRPr="00A648E1">
        <w:rPr>
          <w:rFonts w:ascii="Times New Roman" w:hAnsi="Times New Roman"/>
          <w:b/>
          <w:sz w:val="26"/>
          <w:szCs w:val="26"/>
        </w:rPr>
        <w:lastRenderedPageBreak/>
        <w:t>TUA izsniegšanas ietvaros piesaistīto investīciju dinamika</w:t>
      </w:r>
    </w:p>
    <w:p w14:paraId="0B052593" w14:textId="77777777" w:rsidR="00A41BAA" w:rsidRPr="00A648E1" w:rsidRDefault="00A41BAA" w:rsidP="000E0613">
      <w:pPr>
        <w:spacing w:after="120"/>
        <w:jc w:val="center"/>
        <w:rPr>
          <w:rFonts w:ascii="Times New Roman" w:hAnsi="Times New Roman"/>
          <w:b/>
          <w:sz w:val="26"/>
          <w:szCs w:val="26"/>
        </w:rPr>
      </w:pPr>
    </w:p>
    <w:p w14:paraId="278F9331" w14:textId="7094D781" w:rsidR="0088300F" w:rsidRPr="00A648E1" w:rsidRDefault="00875B13" w:rsidP="0088300F">
      <w:pPr>
        <w:spacing w:after="120"/>
        <w:ind w:firstLine="567"/>
        <w:jc w:val="both"/>
        <w:rPr>
          <w:rFonts w:ascii="Times New Roman" w:hAnsi="Times New Roman"/>
          <w:sz w:val="26"/>
          <w:szCs w:val="26"/>
        </w:rPr>
      </w:pPr>
      <w:bookmarkStart w:id="2" w:name="_Hlk25684015"/>
      <w:r w:rsidRPr="00A648E1">
        <w:rPr>
          <w:rFonts w:ascii="Times New Roman" w:hAnsi="Times New Roman"/>
          <w:sz w:val="26"/>
          <w:szCs w:val="26"/>
        </w:rPr>
        <w:t xml:space="preserve">Imigrācijas likuma 23.panta pirmās daļas 28., 29., 30. un 31.punkts paredz TUA izsniegšanu gadījumos, kad ārzemnieks veic investīcijas Latvijas tautsaimniecībā – investīcijas nekustamajā īpašumā, uzņēmējdarbībā (kapitālsabiedrības pamatkapitālā) vai arī Latvijā reģistrētas kredītiestādes pakārtotajās saistībās (turpmāk – investīciju programma). No 2015.gada 1.janvāra uz investīciju programmu tiek attiecināts vēl viens investīciju veids – īpašam mērķim noteiktu bezprocentu valsts vērtspapīru iegāde par nominālvērtību 250 000 </w:t>
      </w:r>
      <w:r w:rsidRPr="00A648E1">
        <w:rPr>
          <w:rFonts w:ascii="Times New Roman" w:hAnsi="Times New Roman"/>
          <w:i/>
          <w:sz w:val="26"/>
          <w:szCs w:val="26"/>
        </w:rPr>
        <w:t>euro</w:t>
      </w:r>
      <w:r w:rsidRPr="00A648E1">
        <w:rPr>
          <w:rFonts w:ascii="Times New Roman" w:hAnsi="Times New Roman"/>
          <w:sz w:val="26"/>
          <w:szCs w:val="26"/>
        </w:rPr>
        <w:t xml:space="preserve"> (Imigrācijas likuma 23.panta pirmās daļas 31.punkts).</w:t>
      </w:r>
    </w:p>
    <w:bookmarkEnd w:id="2"/>
    <w:p w14:paraId="2D4C3400" w14:textId="30909AB3" w:rsidR="00457F17" w:rsidRPr="00A648E1" w:rsidRDefault="00457F17" w:rsidP="009A7D5E">
      <w:pPr>
        <w:spacing w:after="120"/>
        <w:ind w:firstLine="567"/>
        <w:jc w:val="both"/>
        <w:rPr>
          <w:rFonts w:ascii="Times New Roman" w:hAnsi="Times New Roman"/>
          <w:sz w:val="26"/>
          <w:szCs w:val="26"/>
        </w:rPr>
      </w:pPr>
      <w:r w:rsidRPr="00A648E1">
        <w:rPr>
          <w:rFonts w:ascii="Times New Roman" w:hAnsi="Times New Roman"/>
          <w:sz w:val="26"/>
          <w:szCs w:val="26"/>
        </w:rPr>
        <w:t xml:space="preserve">Ziņojuma pielikumā ir sniegta detalizētāka informācija par investoru un viņu ģimenes locekļu iesniegto pieteikumu skaitu, izsniegtajām un anulētajām </w:t>
      </w:r>
      <w:r w:rsidR="00531B66" w:rsidRPr="00A648E1">
        <w:rPr>
          <w:rFonts w:ascii="Times New Roman" w:hAnsi="Times New Roman"/>
          <w:sz w:val="26"/>
          <w:szCs w:val="26"/>
        </w:rPr>
        <w:t>TUA</w:t>
      </w:r>
      <w:r w:rsidRPr="00A648E1">
        <w:rPr>
          <w:rFonts w:ascii="Times New Roman" w:hAnsi="Times New Roman"/>
          <w:sz w:val="26"/>
          <w:szCs w:val="26"/>
        </w:rPr>
        <w:t xml:space="preserve"> un personu pilsonības valstīm.</w:t>
      </w:r>
    </w:p>
    <w:p w14:paraId="5F739E38" w14:textId="05F30F36" w:rsidR="00D91D92" w:rsidRPr="003A497C" w:rsidRDefault="00AB3AEF" w:rsidP="00AD2B50">
      <w:pPr>
        <w:spacing w:after="120"/>
        <w:ind w:firstLine="567"/>
        <w:jc w:val="both"/>
        <w:rPr>
          <w:rFonts w:ascii="Times New Roman" w:hAnsi="Times New Roman"/>
          <w:sz w:val="26"/>
          <w:szCs w:val="26"/>
        </w:rPr>
      </w:pPr>
      <w:r w:rsidRPr="00A648E1">
        <w:rPr>
          <w:rFonts w:ascii="Times New Roman" w:hAnsi="Times New Roman"/>
          <w:sz w:val="26"/>
          <w:szCs w:val="26"/>
        </w:rPr>
        <w:t>No 2010.gada 1.jūlija līdz 20</w:t>
      </w:r>
      <w:r w:rsidR="009E4566" w:rsidRPr="00A648E1">
        <w:rPr>
          <w:rFonts w:ascii="Times New Roman" w:hAnsi="Times New Roman"/>
          <w:sz w:val="26"/>
          <w:szCs w:val="26"/>
        </w:rPr>
        <w:t>2</w:t>
      </w:r>
      <w:r w:rsidR="00A648E1" w:rsidRPr="00A648E1">
        <w:rPr>
          <w:rFonts w:ascii="Times New Roman" w:hAnsi="Times New Roman"/>
          <w:sz w:val="26"/>
          <w:szCs w:val="26"/>
        </w:rPr>
        <w:t>2</w:t>
      </w:r>
      <w:r w:rsidRPr="00A648E1">
        <w:rPr>
          <w:rFonts w:ascii="Times New Roman" w:hAnsi="Times New Roman"/>
          <w:sz w:val="26"/>
          <w:szCs w:val="26"/>
        </w:rPr>
        <w:t>.gada 3</w:t>
      </w:r>
      <w:r w:rsidR="009E4566" w:rsidRPr="00A648E1">
        <w:rPr>
          <w:rFonts w:ascii="Times New Roman" w:hAnsi="Times New Roman"/>
          <w:sz w:val="26"/>
          <w:szCs w:val="26"/>
        </w:rPr>
        <w:t>1.decembrim</w:t>
      </w:r>
      <w:r w:rsidRPr="00A648E1">
        <w:rPr>
          <w:rFonts w:ascii="Times New Roman" w:hAnsi="Times New Roman"/>
          <w:sz w:val="26"/>
          <w:szCs w:val="26"/>
        </w:rPr>
        <w:t xml:space="preserve"> investīciju programmas ietvaros PMLP ir saņēmusi </w:t>
      </w:r>
      <w:r w:rsidR="00A02883" w:rsidRPr="00A648E1">
        <w:rPr>
          <w:rFonts w:ascii="Times New Roman" w:hAnsi="Times New Roman"/>
          <w:sz w:val="26"/>
          <w:szCs w:val="26"/>
        </w:rPr>
        <w:t xml:space="preserve">20 </w:t>
      </w:r>
      <w:r w:rsidR="00A648E1" w:rsidRPr="00A648E1">
        <w:rPr>
          <w:rFonts w:ascii="Times New Roman" w:hAnsi="Times New Roman"/>
          <w:sz w:val="26"/>
          <w:szCs w:val="26"/>
        </w:rPr>
        <w:t>632</w:t>
      </w:r>
      <w:r w:rsidR="009E4566" w:rsidRPr="00A648E1">
        <w:rPr>
          <w:rFonts w:ascii="Times New Roman" w:hAnsi="Times New Roman"/>
          <w:sz w:val="26"/>
          <w:szCs w:val="26"/>
        </w:rPr>
        <w:t xml:space="preserve"> personu</w:t>
      </w:r>
      <w:r w:rsidRPr="00A648E1">
        <w:rPr>
          <w:rFonts w:ascii="Times New Roman" w:hAnsi="Times New Roman"/>
          <w:sz w:val="26"/>
          <w:szCs w:val="26"/>
        </w:rPr>
        <w:t xml:space="preserve">, </w:t>
      </w:r>
      <w:r w:rsidRPr="003A497C">
        <w:rPr>
          <w:rFonts w:ascii="Times New Roman" w:hAnsi="Times New Roman"/>
          <w:sz w:val="26"/>
          <w:szCs w:val="26"/>
        </w:rPr>
        <w:t xml:space="preserve">tajā skaitā </w:t>
      </w:r>
      <w:r w:rsidR="00EF776E" w:rsidRPr="003A497C">
        <w:rPr>
          <w:rFonts w:ascii="Times New Roman" w:hAnsi="Times New Roman"/>
          <w:sz w:val="26"/>
          <w:szCs w:val="26"/>
        </w:rPr>
        <w:t xml:space="preserve">8 </w:t>
      </w:r>
      <w:r w:rsidR="003A497C" w:rsidRPr="003A497C">
        <w:rPr>
          <w:rFonts w:ascii="Times New Roman" w:hAnsi="Times New Roman"/>
          <w:sz w:val="26"/>
          <w:szCs w:val="26"/>
        </w:rPr>
        <w:t>197</w:t>
      </w:r>
      <w:r w:rsidR="0057383F" w:rsidRPr="003A497C">
        <w:rPr>
          <w:rFonts w:ascii="Times New Roman" w:hAnsi="Times New Roman"/>
          <w:sz w:val="26"/>
          <w:szCs w:val="26"/>
        </w:rPr>
        <w:t xml:space="preserve"> </w:t>
      </w:r>
      <w:r w:rsidRPr="003A497C">
        <w:rPr>
          <w:rFonts w:ascii="Times New Roman" w:hAnsi="Times New Roman"/>
          <w:sz w:val="26"/>
          <w:szCs w:val="26"/>
        </w:rPr>
        <w:t>investoru</w:t>
      </w:r>
      <w:r w:rsidR="0088300F" w:rsidRPr="003A497C">
        <w:rPr>
          <w:rFonts w:ascii="Times New Roman" w:hAnsi="Times New Roman"/>
          <w:sz w:val="26"/>
          <w:szCs w:val="26"/>
        </w:rPr>
        <w:t xml:space="preserve"> </w:t>
      </w:r>
      <w:r w:rsidRPr="003A497C">
        <w:rPr>
          <w:rFonts w:ascii="Times New Roman" w:hAnsi="Times New Roman"/>
          <w:sz w:val="26"/>
          <w:szCs w:val="26"/>
        </w:rPr>
        <w:t xml:space="preserve">un </w:t>
      </w:r>
      <w:r w:rsidR="00A02883" w:rsidRPr="003A497C">
        <w:rPr>
          <w:rFonts w:ascii="Times New Roman" w:hAnsi="Times New Roman"/>
          <w:sz w:val="26"/>
          <w:szCs w:val="26"/>
        </w:rPr>
        <w:t xml:space="preserve">12 </w:t>
      </w:r>
      <w:r w:rsidR="003A497C" w:rsidRPr="003A497C">
        <w:rPr>
          <w:rFonts w:ascii="Times New Roman" w:hAnsi="Times New Roman"/>
          <w:sz w:val="26"/>
          <w:szCs w:val="26"/>
        </w:rPr>
        <w:t>435</w:t>
      </w:r>
      <w:r w:rsidRPr="003A497C">
        <w:rPr>
          <w:rFonts w:ascii="Times New Roman" w:hAnsi="Times New Roman"/>
          <w:sz w:val="26"/>
          <w:szCs w:val="26"/>
        </w:rPr>
        <w:t xml:space="preserve"> viņu ģimenes locekļu, iesniegumus TUA pieprasīša</w:t>
      </w:r>
      <w:r w:rsidR="0063254D" w:rsidRPr="003A497C">
        <w:rPr>
          <w:rFonts w:ascii="Times New Roman" w:hAnsi="Times New Roman"/>
          <w:sz w:val="26"/>
          <w:szCs w:val="26"/>
        </w:rPr>
        <w:t>nai. Šajā laika posmā izsniegta</w:t>
      </w:r>
      <w:r w:rsidRPr="003A497C">
        <w:rPr>
          <w:rFonts w:ascii="Times New Roman" w:hAnsi="Times New Roman"/>
          <w:sz w:val="26"/>
          <w:szCs w:val="26"/>
        </w:rPr>
        <w:t xml:space="preserve"> 1</w:t>
      </w:r>
      <w:r w:rsidR="009E4566" w:rsidRPr="003A497C">
        <w:rPr>
          <w:rFonts w:ascii="Times New Roman" w:hAnsi="Times New Roman"/>
          <w:sz w:val="26"/>
          <w:szCs w:val="26"/>
        </w:rPr>
        <w:t xml:space="preserve">9 </w:t>
      </w:r>
      <w:r w:rsidR="003A497C" w:rsidRPr="003A497C">
        <w:rPr>
          <w:rFonts w:ascii="Times New Roman" w:hAnsi="Times New Roman"/>
          <w:sz w:val="26"/>
          <w:szCs w:val="26"/>
        </w:rPr>
        <w:t>610</w:t>
      </w:r>
      <w:r w:rsidRPr="003A497C">
        <w:rPr>
          <w:rFonts w:ascii="Times New Roman" w:hAnsi="Times New Roman"/>
          <w:sz w:val="26"/>
          <w:szCs w:val="26"/>
        </w:rPr>
        <w:t xml:space="preserve"> TUA</w:t>
      </w:r>
      <w:r w:rsidR="00AD2B50" w:rsidRPr="003A497C">
        <w:rPr>
          <w:rFonts w:ascii="Times New Roman" w:hAnsi="Times New Roman"/>
          <w:sz w:val="26"/>
          <w:szCs w:val="26"/>
        </w:rPr>
        <w:t xml:space="preserve">. No 2010.gada 1.jūlija </w:t>
      </w:r>
      <w:r w:rsidR="003A497C" w:rsidRPr="003A497C">
        <w:rPr>
          <w:rFonts w:ascii="Times New Roman" w:hAnsi="Times New Roman"/>
          <w:sz w:val="26"/>
          <w:szCs w:val="26"/>
        </w:rPr>
        <w:t>251</w:t>
      </w:r>
      <w:r w:rsidR="0040449E" w:rsidRPr="003A497C">
        <w:rPr>
          <w:rFonts w:ascii="Times New Roman" w:hAnsi="Times New Roman"/>
          <w:sz w:val="26"/>
          <w:szCs w:val="26"/>
        </w:rPr>
        <w:t xml:space="preserve"> investo</w:t>
      </w:r>
      <w:r w:rsidR="003A497C" w:rsidRPr="003A497C">
        <w:rPr>
          <w:rFonts w:ascii="Times New Roman" w:hAnsi="Times New Roman"/>
          <w:sz w:val="26"/>
          <w:szCs w:val="26"/>
        </w:rPr>
        <w:t>ram</w:t>
      </w:r>
      <w:r w:rsidRPr="003A497C">
        <w:rPr>
          <w:rFonts w:ascii="Times New Roman" w:hAnsi="Times New Roman"/>
          <w:sz w:val="26"/>
          <w:szCs w:val="26"/>
        </w:rPr>
        <w:t xml:space="preserve"> TUA izsniegšana atteikta, bet anulētas </w:t>
      </w:r>
      <w:r w:rsidR="003A497C" w:rsidRPr="003A497C">
        <w:rPr>
          <w:rFonts w:ascii="Times New Roman" w:hAnsi="Times New Roman"/>
          <w:sz w:val="26"/>
          <w:szCs w:val="26"/>
        </w:rPr>
        <w:t>3110</w:t>
      </w:r>
      <w:r w:rsidR="00EF776E" w:rsidRPr="003A497C">
        <w:rPr>
          <w:rFonts w:ascii="Times New Roman" w:hAnsi="Times New Roman"/>
          <w:sz w:val="26"/>
          <w:szCs w:val="26"/>
        </w:rPr>
        <w:t xml:space="preserve"> </w:t>
      </w:r>
      <w:r w:rsidR="0040449E" w:rsidRPr="003A497C">
        <w:rPr>
          <w:rFonts w:ascii="Times New Roman" w:hAnsi="Times New Roman"/>
          <w:sz w:val="26"/>
          <w:szCs w:val="26"/>
        </w:rPr>
        <w:t>izsniegtās</w:t>
      </w:r>
      <w:r w:rsidRPr="003A497C">
        <w:rPr>
          <w:rFonts w:ascii="Times New Roman" w:hAnsi="Times New Roman"/>
          <w:sz w:val="26"/>
          <w:szCs w:val="26"/>
        </w:rPr>
        <w:t xml:space="preserve"> TUA</w:t>
      </w:r>
      <w:r w:rsidR="00D91D92" w:rsidRPr="003A497C">
        <w:rPr>
          <w:rFonts w:ascii="Times New Roman" w:hAnsi="Times New Roman"/>
          <w:sz w:val="26"/>
          <w:szCs w:val="26"/>
        </w:rPr>
        <w:t>.</w:t>
      </w:r>
    </w:p>
    <w:p w14:paraId="7189A95A" w14:textId="0C0C9CC3" w:rsidR="00AB3AEF" w:rsidRPr="003A497C" w:rsidRDefault="00AB3AEF" w:rsidP="00AD2B50">
      <w:pPr>
        <w:spacing w:after="120"/>
        <w:ind w:firstLine="567"/>
        <w:jc w:val="both"/>
        <w:rPr>
          <w:rFonts w:ascii="Times New Roman" w:hAnsi="Times New Roman"/>
          <w:sz w:val="26"/>
          <w:szCs w:val="26"/>
        </w:rPr>
      </w:pPr>
      <w:r w:rsidRPr="003A497C">
        <w:rPr>
          <w:rFonts w:ascii="Times New Roman" w:hAnsi="Times New Roman"/>
          <w:sz w:val="26"/>
          <w:szCs w:val="26"/>
        </w:rPr>
        <w:t xml:space="preserve">Nerezidentu ieguldījumi, kas saistīti ar TUA saņemšanu, no 2010.gada 1.jūlija līdz </w:t>
      </w:r>
      <w:r w:rsidR="003A497C">
        <w:rPr>
          <w:rFonts w:ascii="Times New Roman" w:hAnsi="Times New Roman"/>
          <w:sz w:val="26"/>
          <w:szCs w:val="26"/>
        </w:rPr>
        <w:t>2022</w:t>
      </w:r>
      <w:r w:rsidRPr="003A497C">
        <w:rPr>
          <w:rFonts w:ascii="Times New Roman" w:hAnsi="Times New Roman"/>
          <w:sz w:val="26"/>
          <w:szCs w:val="26"/>
        </w:rPr>
        <w:t xml:space="preserve">.gada </w:t>
      </w:r>
      <w:r w:rsidR="00AD2B50" w:rsidRPr="003A497C">
        <w:rPr>
          <w:rFonts w:ascii="Times New Roman" w:hAnsi="Times New Roman"/>
          <w:sz w:val="26"/>
          <w:szCs w:val="26"/>
        </w:rPr>
        <w:t>3</w:t>
      </w:r>
      <w:r w:rsidR="00F63E80" w:rsidRPr="003A497C">
        <w:rPr>
          <w:rFonts w:ascii="Times New Roman" w:hAnsi="Times New Roman"/>
          <w:sz w:val="26"/>
          <w:szCs w:val="26"/>
        </w:rPr>
        <w:t>1</w:t>
      </w:r>
      <w:r w:rsidRPr="003A497C">
        <w:rPr>
          <w:rFonts w:ascii="Times New Roman" w:hAnsi="Times New Roman"/>
          <w:sz w:val="26"/>
          <w:szCs w:val="26"/>
        </w:rPr>
        <w:t>.</w:t>
      </w:r>
      <w:r w:rsidR="00F63E80" w:rsidRPr="003A497C">
        <w:rPr>
          <w:rFonts w:ascii="Times New Roman" w:hAnsi="Times New Roman"/>
          <w:sz w:val="26"/>
          <w:szCs w:val="26"/>
        </w:rPr>
        <w:t>decembrim</w:t>
      </w:r>
      <w:r w:rsidRPr="003A497C">
        <w:rPr>
          <w:rFonts w:ascii="Times New Roman" w:hAnsi="Times New Roman"/>
          <w:sz w:val="26"/>
          <w:szCs w:val="26"/>
        </w:rPr>
        <w:t xml:space="preserve"> bija 1,</w:t>
      </w:r>
      <w:r w:rsidR="006F3276">
        <w:rPr>
          <w:rFonts w:ascii="Times New Roman" w:hAnsi="Times New Roman"/>
          <w:sz w:val="26"/>
          <w:szCs w:val="26"/>
        </w:rPr>
        <w:t>61</w:t>
      </w:r>
      <w:r w:rsidR="00604477" w:rsidRPr="003A497C">
        <w:rPr>
          <w:rFonts w:ascii="Times New Roman" w:hAnsi="Times New Roman"/>
          <w:sz w:val="26"/>
          <w:szCs w:val="26"/>
        </w:rPr>
        <w:t xml:space="preserve"> </w:t>
      </w:r>
      <w:r w:rsidRPr="003A497C">
        <w:rPr>
          <w:rFonts w:ascii="Times New Roman" w:hAnsi="Times New Roman"/>
          <w:sz w:val="26"/>
          <w:szCs w:val="26"/>
        </w:rPr>
        <w:t xml:space="preserve">mljrd. </w:t>
      </w:r>
      <w:r w:rsidRPr="003A497C">
        <w:rPr>
          <w:rFonts w:ascii="Times New Roman" w:hAnsi="Times New Roman"/>
          <w:i/>
          <w:sz w:val="26"/>
          <w:szCs w:val="26"/>
        </w:rPr>
        <w:t>euro</w:t>
      </w:r>
      <w:r w:rsidR="00457F17" w:rsidRPr="003A497C">
        <w:rPr>
          <w:rFonts w:ascii="Times New Roman" w:hAnsi="Times New Roman"/>
          <w:i/>
          <w:sz w:val="26"/>
          <w:szCs w:val="26"/>
        </w:rPr>
        <w:t xml:space="preserve"> </w:t>
      </w:r>
      <w:r w:rsidR="00457F17" w:rsidRPr="003A497C">
        <w:rPr>
          <w:rFonts w:ascii="Times New Roman" w:hAnsi="Times New Roman"/>
          <w:sz w:val="26"/>
          <w:szCs w:val="26"/>
        </w:rPr>
        <w:t>(skatīt 1.tabulu)</w:t>
      </w:r>
      <w:r w:rsidRPr="003A497C">
        <w:rPr>
          <w:rFonts w:ascii="Times New Roman" w:hAnsi="Times New Roman"/>
          <w:sz w:val="26"/>
          <w:szCs w:val="26"/>
        </w:rPr>
        <w:t xml:space="preserve">. </w:t>
      </w:r>
    </w:p>
    <w:p w14:paraId="6FC2B86B" w14:textId="77777777" w:rsidR="004D0520" w:rsidRPr="006F3276" w:rsidRDefault="004D0520" w:rsidP="00593F91">
      <w:pPr>
        <w:spacing w:before="120" w:after="120"/>
        <w:jc w:val="right"/>
        <w:rPr>
          <w:rFonts w:ascii="Times New Roman" w:hAnsi="Times New Roman"/>
          <w:sz w:val="24"/>
          <w:szCs w:val="24"/>
        </w:rPr>
      </w:pPr>
      <w:r w:rsidRPr="006F3276">
        <w:rPr>
          <w:rFonts w:ascii="Times New Roman" w:hAnsi="Times New Roman"/>
          <w:sz w:val="24"/>
          <w:szCs w:val="24"/>
        </w:rPr>
        <w:t>1.tabula</w:t>
      </w:r>
    </w:p>
    <w:p w14:paraId="5A8445C1" w14:textId="77777777" w:rsidR="003A497C" w:rsidRPr="007F0AFC" w:rsidRDefault="003A497C" w:rsidP="003A497C">
      <w:pPr>
        <w:spacing w:after="120"/>
        <w:jc w:val="center"/>
        <w:rPr>
          <w:rFonts w:ascii="Times New Roman" w:hAnsi="Times New Roman"/>
          <w:b/>
          <w:sz w:val="24"/>
          <w:szCs w:val="24"/>
        </w:rPr>
      </w:pPr>
      <w:r w:rsidRPr="000B78CF">
        <w:rPr>
          <w:rFonts w:ascii="Times New Roman" w:hAnsi="Times New Roman"/>
          <w:b/>
          <w:sz w:val="24"/>
          <w:szCs w:val="24"/>
        </w:rPr>
        <w:t xml:space="preserve">Kopējais investīciju apjoms (tūkst., </w:t>
      </w:r>
      <w:r w:rsidRPr="000B78CF">
        <w:rPr>
          <w:rFonts w:ascii="Times New Roman" w:hAnsi="Times New Roman"/>
          <w:b/>
          <w:i/>
          <w:sz w:val="24"/>
          <w:szCs w:val="24"/>
        </w:rPr>
        <w:t>euro</w:t>
      </w:r>
      <w:r w:rsidRPr="000B78CF">
        <w:rPr>
          <w:rFonts w:ascii="Times New Roman" w:hAnsi="Times New Roman"/>
          <w:b/>
          <w:sz w:val="24"/>
          <w:szCs w:val="24"/>
        </w:rPr>
        <w:t>)</w:t>
      </w:r>
    </w:p>
    <w:tbl>
      <w:tblPr>
        <w:tblW w:w="9214" w:type="dxa"/>
        <w:tblLayout w:type="fixed"/>
        <w:tblCellMar>
          <w:left w:w="0" w:type="dxa"/>
          <w:right w:w="0" w:type="dxa"/>
        </w:tblCellMar>
        <w:tblLook w:val="04A0" w:firstRow="1" w:lastRow="0" w:firstColumn="1" w:lastColumn="0" w:noHBand="0" w:noVBand="1"/>
      </w:tblPr>
      <w:tblGrid>
        <w:gridCol w:w="1701"/>
        <w:gridCol w:w="1536"/>
        <w:gridCol w:w="1607"/>
        <w:gridCol w:w="1535"/>
        <w:gridCol w:w="1655"/>
        <w:gridCol w:w="1180"/>
      </w:tblGrid>
      <w:tr w:rsidR="003A497C" w:rsidRPr="007F0AFC" w14:paraId="5E84D180" w14:textId="77777777" w:rsidTr="00EB3B24">
        <w:trPr>
          <w:trHeight w:val="565"/>
        </w:trPr>
        <w:tc>
          <w:tcPr>
            <w:tcW w:w="1701" w:type="dxa"/>
            <w:tcBorders>
              <w:top w:val="single" w:sz="8" w:space="0" w:color="000000"/>
              <w:left w:val="nil"/>
              <w:bottom w:val="single" w:sz="8" w:space="0" w:color="000000"/>
              <w:right w:val="nil"/>
            </w:tcBorders>
            <w:tcMar>
              <w:top w:w="0" w:type="dxa"/>
              <w:left w:w="108" w:type="dxa"/>
              <w:bottom w:w="0" w:type="dxa"/>
              <w:right w:w="108" w:type="dxa"/>
            </w:tcMar>
            <w:vAlign w:val="center"/>
            <w:hideMark/>
          </w:tcPr>
          <w:p w14:paraId="1F74EC16" w14:textId="77777777" w:rsidR="003A497C" w:rsidRPr="007F0AFC" w:rsidRDefault="003A497C" w:rsidP="00EB3B24">
            <w:pPr>
              <w:jc w:val="center"/>
              <w:rPr>
                <w:rFonts w:ascii="Times New Roman" w:hAnsi="Times New Roman"/>
                <w:color w:val="000000"/>
                <w:sz w:val="24"/>
                <w:szCs w:val="24"/>
                <w:lang w:eastAsia="lv-LV"/>
              </w:rPr>
            </w:pPr>
            <w:r w:rsidRPr="007F0AFC">
              <w:rPr>
                <w:rFonts w:ascii="Times New Roman" w:hAnsi="Times New Roman"/>
                <w:color w:val="000000"/>
                <w:sz w:val="24"/>
                <w:szCs w:val="24"/>
                <w:lang w:eastAsia="lv-LV"/>
              </w:rPr>
              <w:t>Gads</w:t>
            </w:r>
          </w:p>
        </w:tc>
        <w:tc>
          <w:tcPr>
            <w:tcW w:w="1536" w:type="dxa"/>
            <w:tcBorders>
              <w:top w:val="single" w:sz="8" w:space="0" w:color="000000"/>
              <w:left w:val="nil"/>
              <w:bottom w:val="single" w:sz="8" w:space="0" w:color="000000"/>
              <w:right w:val="nil"/>
            </w:tcBorders>
            <w:tcMar>
              <w:top w:w="0" w:type="dxa"/>
              <w:left w:w="108" w:type="dxa"/>
              <w:bottom w:w="0" w:type="dxa"/>
              <w:right w:w="108" w:type="dxa"/>
            </w:tcMar>
            <w:vAlign w:val="center"/>
            <w:hideMark/>
          </w:tcPr>
          <w:p w14:paraId="6391BBD7" w14:textId="77777777" w:rsidR="003A497C" w:rsidRPr="007F0AFC" w:rsidRDefault="003A497C" w:rsidP="00EB3B24">
            <w:pPr>
              <w:jc w:val="center"/>
              <w:rPr>
                <w:rFonts w:ascii="Times New Roman" w:hAnsi="Times New Roman"/>
                <w:color w:val="000000"/>
                <w:sz w:val="24"/>
                <w:szCs w:val="24"/>
                <w:lang w:eastAsia="lv-LV"/>
              </w:rPr>
            </w:pPr>
            <w:r w:rsidRPr="007F0AFC">
              <w:rPr>
                <w:rFonts w:ascii="Times New Roman" w:hAnsi="Times New Roman"/>
                <w:color w:val="000000"/>
                <w:sz w:val="24"/>
                <w:szCs w:val="24"/>
                <w:lang w:eastAsia="lv-LV"/>
              </w:rPr>
              <w:t>Nekustamie īpašumi</w:t>
            </w:r>
          </w:p>
        </w:tc>
        <w:tc>
          <w:tcPr>
            <w:tcW w:w="1607" w:type="dxa"/>
            <w:tcBorders>
              <w:top w:val="single" w:sz="8" w:space="0" w:color="000000"/>
              <w:left w:val="nil"/>
              <w:bottom w:val="single" w:sz="8" w:space="0" w:color="000000"/>
              <w:right w:val="nil"/>
            </w:tcBorders>
            <w:tcMar>
              <w:top w:w="0" w:type="dxa"/>
              <w:left w:w="108" w:type="dxa"/>
              <w:bottom w:w="0" w:type="dxa"/>
              <w:right w:w="108" w:type="dxa"/>
            </w:tcMar>
            <w:vAlign w:val="center"/>
            <w:hideMark/>
          </w:tcPr>
          <w:p w14:paraId="68E01B9E" w14:textId="77777777" w:rsidR="003A497C" w:rsidRPr="007F0AFC" w:rsidRDefault="003A497C" w:rsidP="00EB3B24">
            <w:pPr>
              <w:jc w:val="center"/>
              <w:rPr>
                <w:rFonts w:ascii="Times New Roman" w:hAnsi="Times New Roman"/>
                <w:color w:val="000000"/>
                <w:sz w:val="24"/>
                <w:szCs w:val="24"/>
                <w:lang w:eastAsia="lv-LV"/>
              </w:rPr>
            </w:pPr>
            <w:r w:rsidRPr="007F0AFC">
              <w:rPr>
                <w:rFonts w:ascii="Times New Roman" w:hAnsi="Times New Roman"/>
                <w:color w:val="000000"/>
                <w:sz w:val="24"/>
                <w:szCs w:val="24"/>
                <w:lang w:eastAsia="lv-LV"/>
              </w:rPr>
              <w:t>Kredītiestādes</w:t>
            </w:r>
          </w:p>
        </w:tc>
        <w:tc>
          <w:tcPr>
            <w:tcW w:w="1535" w:type="dxa"/>
            <w:tcBorders>
              <w:top w:val="single" w:sz="8" w:space="0" w:color="000000"/>
              <w:left w:val="nil"/>
              <w:bottom w:val="single" w:sz="8" w:space="0" w:color="000000"/>
              <w:right w:val="nil"/>
            </w:tcBorders>
            <w:tcMar>
              <w:top w:w="0" w:type="dxa"/>
              <w:left w:w="108" w:type="dxa"/>
              <w:bottom w:w="0" w:type="dxa"/>
              <w:right w:w="108" w:type="dxa"/>
            </w:tcMar>
            <w:vAlign w:val="center"/>
            <w:hideMark/>
          </w:tcPr>
          <w:p w14:paraId="7890678B" w14:textId="77777777" w:rsidR="003A497C" w:rsidRPr="007F0AFC" w:rsidRDefault="003A497C" w:rsidP="00EB3B24">
            <w:pPr>
              <w:jc w:val="center"/>
              <w:rPr>
                <w:rFonts w:ascii="Times New Roman" w:hAnsi="Times New Roman"/>
                <w:color w:val="000000"/>
                <w:sz w:val="24"/>
                <w:szCs w:val="24"/>
                <w:lang w:eastAsia="lv-LV"/>
              </w:rPr>
            </w:pPr>
            <w:r w:rsidRPr="007F0AFC">
              <w:rPr>
                <w:rFonts w:ascii="Times New Roman" w:hAnsi="Times New Roman"/>
                <w:color w:val="000000"/>
                <w:sz w:val="24"/>
                <w:szCs w:val="24"/>
                <w:lang w:eastAsia="lv-LV"/>
              </w:rPr>
              <w:t>Kapitāl- sabiedrības</w:t>
            </w:r>
          </w:p>
        </w:tc>
        <w:tc>
          <w:tcPr>
            <w:tcW w:w="1655" w:type="dxa"/>
            <w:tcBorders>
              <w:top w:val="single" w:sz="8" w:space="0" w:color="000000"/>
              <w:left w:val="nil"/>
              <w:bottom w:val="single" w:sz="8" w:space="0" w:color="000000"/>
              <w:right w:val="nil"/>
            </w:tcBorders>
            <w:tcMar>
              <w:top w:w="0" w:type="dxa"/>
              <w:left w:w="108" w:type="dxa"/>
              <w:bottom w:w="0" w:type="dxa"/>
              <w:right w:w="108" w:type="dxa"/>
            </w:tcMar>
            <w:vAlign w:val="center"/>
            <w:hideMark/>
          </w:tcPr>
          <w:p w14:paraId="56E135F5" w14:textId="77777777" w:rsidR="003A497C" w:rsidRPr="007F0AFC" w:rsidRDefault="003A497C" w:rsidP="00EB3B24">
            <w:pPr>
              <w:jc w:val="center"/>
              <w:rPr>
                <w:rFonts w:ascii="Times New Roman" w:hAnsi="Times New Roman"/>
                <w:color w:val="000000"/>
                <w:sz w:val="24"/>
                <w:szCs w:val="24"/>
                <w:lang w:eastAsia="lv-LV"/>
              </w:rPr>
            </w:pPr>
            <w:r w:rsidRPr="007F0AFC">
              <w:rPr>
                <w:rFonts w:ascii="Times New Roman" w:hAnsi="Times New Roman"/>
                <w:color w:val="000000"/>
                <w:sz w:val="24"/>
                <w:szCs w:val="24"/>
                <w:lang w:eastAsia="lv-LV"/>
              </w:rPr>
              <w:t>Valsts vērtspapīri</w:t>
            </w:r>
          </w:p>
        </w:tc>
        <w:tc>
          <w:tcPr>
            <w:tcW w:w="1180" w:type="dxa"/>
            <w:tcBorders>
              <w:top w:val="single" w:sz="8" w:space="0" w:color="000000"/>
              <w:left w:val="nil"/>
              <w:bottom w:val="single" w:sz="8" w:space="0" w:color="000000"/>
              <w:right w:val="nil"/>
            </w:tcBorders>
            <w:tcMar>
              <w:top w:w="0" w:type="dxa"/>
              <w:left w:w="108" w:type="dxa"/>
              <w:bottom w:w="0" w:type="dxa"/>
              <w:right w:w="108" w:type="dxa"/>
            </w:tcMar>
            <w:vAlign w:val="center"/>
            <w:hideMark/>
          </w:tcPr>
          <w:p w14:paraId="18DFD897" w14:textId="77777777" w:rsidR="003A497C" w:rsidRPr="007F0AFC" w:rsidRDefault="003A497C" w:rsidP="00EB3B24">
            <w:pPr>
              <w:jc w:val="center"/>
              <w:rPr>
                <w:rFonts w:ascii="Times New Roman" w:hAnsi="Times New Roman"/>
                <w:b/>
                <w:bCs/>
                <w:color w:val="000000"/>
                <w:sz w:val="24"/>
                <w:szCs w:val="24"/>
                <w:lang w:eastAsia="lv-LV"/>
              </w:rPr>
            </w:pPr>
            <w:r w:rsidRPr="007F0AFC">
              <w:rPr>
                <w:rFonts w:ascii="Times New Roman" w:hAnsi="Times New Roman"/>
                <w:b/>
                <w:bCs/>
                <w:color w:val="000000"/>
                <w:sz w:val="24"/>
                <w:szCs w:val="24"/>
                <w:lang w:eastAsia="lv-LV"/>
              </w:rPr>
              <w:t>Kopā</w:t>
            </w:r>
          </w:p>
        </w:tc>
      </w:tr>
      <w:tr w:rsidR="003A497C" w:rsidRPr="007F0AFC" w14:paraId="1BE91747" w14:textId="77777777" w:rsidTr="00EB3B24">
        <w:trPr>
          <w:trHeight w:val="310"/>
        </w:trPr>
        <w:tc>
          <w:tcPr>
            <w:tcW w:w="1701" w:type="dxa"/>
            <w:shd w:val="clear" w:color="auto" w:fill="C0C0C0"/>
            <w:tcMar>
              <w:top w:w="0" w:type="dxa"/>
              <w:left w:w="108" w:type="dxa"/>
              <w:bottom w:w="0" w:type="dxa"/>
              <w:right w:w="108" w:type="dxa"/>
            </w:tcMar>
            <w:vAlign w:val="center"/>
            <w:hideMark/>
          </w:tcPr>
          <w:p w14:paraId="286601A1" w14:textId="77777777" w:rsidR="003A497C" w:rsidRPr="007F0AFC" w:rsidRDefault="003A497C" w:rsidP="00EB3B24">
            <w:pPr>
              <w:jc w:val="center"/>
              <w:rPr>
                <w:rFonts w:ascii="Times New Roman" w:hAnsi="Times New Roman"/>
                <w:b/>
                <w:bCs/>
                <w:color w:val="000000"/>
                <w:sz w:val="24"/>
                <w:szCs w:val="24"/>
                <w:lang w:eastAsia="lv-LV"/>
              </w:rPr>
            </w:pPr>
            <w:r w:rsidRPr="007F0AFC">
              <w:rPr>
                <w:rFonts w:ascii="Times New Roman" w:hAnsi="Times New Roman"/>
                <w:b/>
                <w:bCs/>
                <w:color w:val="000000"/>
                <w:sz w:val="24"/>
                <w:szCs w:val="24"/>
                <w:lang w:eastAsia="lv-LV"/>
              </w:rPr>
              <w:t>2010 II pusg.</w:t>
            </w:r>
          </w:p>
        </w:tc>
        <w:tc>
          <w:tcPr>
            <w:tcW w:w="1536" w:type="dxa"/>
            <w:shd w:val="clear" w:color="auto" w:fill="C0C0C0"/>
            <w:tcMar>
              <w:top w:w="0" w:type="dxa"/>
              <w:left w:w="108" w:type="dxa"/>
              <w:bottom w:w="0" w:type="dxa"/>
              <w:right w:w="108" w:type="dxa"/>
            </w:tcMar>
            <w:vAlign w:val="center"/>
            <w:hideMark/>
          </w:tcPr>
          <w:p w14:paraId="6C594711" w14:textId="77777777" w:rsidR="003A497C" w:rsidRPr="007F0AFC" w:rsidRDefault="003A497C" w:rsidP="00EB3B24">
            <w:pPr>
              <w:jc w:val="center"/>
              <w:rPr>
                <w:rFonts w:ascii="Times New Roman" w:hAnsi="Times New Roman"/>
                <w:color w:val="000000"/>
                <w:sz w:val="24"/>
                <w:szCs w:val="24"/>
                <w:lang w:eastAsia="lv-LV"/>
              </w:rPr>
            </w:pPr>
            <w:r w:rsidRPr="007F0AFC">
              <w:rPr>
                <w:rFonts w:ascii="Times New Roman" w:hAnsi="Times New Roman"/>
                <w:color w:val="000000"/>
                <w:sz w:val="24"/>
                <w:szCs w:val="24"/>
                <w:lang w:eastAsia="lv-LV"/>
              </w:rPr>
              <w:t>15 843</w:t>
            </w:r>
          </w:p>
        </w:tc>
        <w:tc>
          <w:tcPr>
            <w:tcW w:w="1607" w:type="dxa"/>
            <w:shd w:val="clear" w:color="auto" w:fill="C0C0C0"/>
            <w:tcMar>
              <w:top w:w="0" w:type="dxa"/>
              <w:left w:w="108" w:type="dxa"/>
              <w:bottom w:w="0" w:type="dxa"/>
              <w:right w:w="108" w:type="dxa"/>
            </w:tcMar>
            <w:vAlign w:val="center"/>
            <w:hideMark/>
          </w:tcPr>
          <w:p w14:paraId="38083F41" w14:textId="77777777" w:rsidR="003A497C" w:rsidRPr="007F0AFC" w:rsidRDefault="003A497C" w:rsidP="00EB3B24">
            <w:pPr>
              <w:jc w:val="center"/>
              <w:rPr>
                <w:rFonts w:ascii="Times New Roman" w:hAnsi="Times New Roman"/>
                <w:color w:val="000000"/>
                <w:sz w:val="24"/>
                <w:szCs w:val="24"/>
                <w:lang w:eastAsia="lv-LV"/>
              </w:rPr>
            </w:pPr>
            <w:r w:rsidRPr="007F0AFC">
              <w:rPr>
                <w:rFonts w:ascii="Times New Roman" w:hAnsi="Times New Roman"/>
                <w:color w:val="000000"/>
                <w:sz w:val="24"/>
                <w:szCs w:val="24"/>
                <w:lang w:eastAsia="lv-LV"/>
              </w:rPr>
              <w:t>12 283</w:t>
            </w:r>
          </w:p>
        </w:tc>
        <w:tc>
          <w:tcPr>
            <w:tcW w:w="1535" w:type="dxa"/>
            <w:shd w:val="clear" w:color="auto" w:fill="C0C0C0"/>
            <w:tcMar>
              <w:top w:w="0" w:type="dxa"/>
              <w:left w:w="108" w:type="dxa"/>
              <w:bottom w:w="0" w:type="dxa"/>
              <w:right w:w="108" w:type="dxa"/>
            </w:tcMar>
            <w:vAlign w:val="center"/>
            <w:hideMark/>
          </w:tcPr>
          <w:p w14:paraId="2F6F5FA1" w14:textId="77777777" w:rsidR="003A497C" w:rsidRPr="007F0AFC" w:rsidRDefault="003A497C" w:rsidP="00EB3B24">
            <w:pPr>
              <w:jc w:val="center"/>
              <w:rPr>
                <w:rFonts w:ascii="Times New Roman" w:hAnsi="Times New Roman"/>
                <w:color w:val="000000"/>
                <w:sz w:val="24"/>
                <w:szCs w:val="24"/>
                <w:lang w:eastAsia="lv-LV"/>
              </w:rPr>
            </w:pPr>
            <w:r w:rsidRPr="007F0AFC">
              <w:rPr>
                <w:rFonts w:ascii="Times New Roman" w:hAnsi="Times New Roman"/>
                <w:color w:val="000000"/>
                <w:sz w:val="24"/>
                <w:szCs w:val="24"/>
                <w:lang w:eastAsia="lv-LV"/>
              </w:rPr>
              <w:t>305</w:t>
            </w:r>
          </w:p>
        </w:tc>
        <w:tc>
          <w:tcPr>
            <w:tcW w:w="1655" w:type="dxa"/>
            <w:shd w:val="clear" w:color="auto" w:fill="C0C0C0"/>
            <w:tcMar>
              <w:top w:w="0" w:type="dxa"/>
              <w:left w:w="108" w:type="dxa"/>
              <w:bottom w:w="0" w:type="dxa"/>
              <w:right w:w="108" w:type="dxa"/>
            </w:tcMar>
            <w:vAlign w:val="center"/>
            <w:hideMark/>
          </w:tcPr>
          <w:p w14:paraId="5EB4741C" w14:textId="77777777" w:rsidR="003A497C" w:rsidRPr="007F0AFC" w:rsidRDefault="003A497C" w:rsidP="00EB3B24">
            <w:pPr>
              <w:jc w:val="center"/>
              <w:rPr>
                <w:rFonts w:ascii="Times New Roman" w:hAnsi="Times New Roman"/>
                <w:color w:val="000000"/>
                <w:sz w:val="24"/>
                <w:szCs w:val="24"/>
                <w:lang w:eastAsia="lv-LV"/>
              </w:rPr>
            </w:pPr>
            <w:r w:rsidRPr="007F0AFC">
              <w:rPr>
                <w:rFonts w:ascii="Times New Roman" w:hAnsi="Times New Roman"/>
                <w:color w:val="000000"/>
                <w:sz w:val="24"/>
                <w:szCs w:val="24"/>
                <w:lang w:eastAsia="lv-LV"/>
              </w:rPr>
              <w:t>-</w:t>
            </w:r>
          </w:p>
        </w:tc>
        <w:tc>
          <w:tcPr>
            <w:tcW w:w="1180" w:type="dxa"/>
            <w:shd w:val="clear" w:color="auto" w:fill="C0C0C0"/>
            <w:tcMar>
              <w:top w:w="0" w:type="dxa"/>
              <w:left w:w="108" w:type="dxa"/>
              <w:bottom w:w="0" w:type="dxa"/>
              <w:right w:w="108" w:type="dxa"/>
            </w:tcMar>
            <w:vAlign w:val="center"/>
            <w:hideMark/>
          </w:tcPr>
          <w:p w14:paraId="4BD74118" w14:textId="77777777" w:rsidR="003A497C" w:rsidRPr="007F0AFC" w:rsidRDefault="003A497C" w:rsidP="00EB3B24">
            <w:pPr>
              <w:jc w:val="center"/>
              <w:rPr>
                <w:rFonts w:ascii="Times New Roman" w:hAnsi="Times New Roman"/>
                <w:b/>
                <w:bCs/>
                <w:color w:val="000000"/>
                <w:sz w:val="24"/>
                <w:szCs w:val="24"/>
                <w:lang w:eastAsia="lv-LV"/>
              </w:rPr>
            </w:pPr>
            <w:r w:rsidRPr="007F0AFC">
              <w:rPr>
                <w:rFonts w:ascii="Times New Roman" w:hAnsi="Times New Roman"/>
                <w:b/>
                <w:bCs/>
                <w:color w:val="000000"/>
                <w:sz w:val="24"/>
                <w:szCs w:val="24"/>
                <w:lang w:eastAsia="lv-LV"/>
              </w:rPr>
              <w:t>28 431</w:t>
            </w:r>
          </w:p>
        </w:tc>
      </w:tr>
      <w:tr w:rsidR="003A497C" w:rsidRPr="007F0AFC" w14:paraId="71AD0815" w14:textId="77777777" w:rsidTr="00EB3B24">
        <w:trPr>
          <w:trHeight w:val="310"/>
        </w:trPr>
        <w:tc>
          <w:tcPr>
            <w:tcW w:w="1701" w:type="dxa"/>
            <w:tcMar>
              <w:top w:w="0" w:type="dxa"/>
              <w:left w:w="108" w:type="dxa"/>
              <w:bottom w:w="0" w:type="dxa"/>
              <w:right w:w="108" w:type="dxa"/>
            </w:tcMar>
            <w:vAlign w:val="center"/>
            <w:hideMark/>
          </w:tcPr>
          <w:p w14:paraId="582EC54D" w14:textId="77777777" w:rsidR="003A497C" w:rsidRPr="007F0AFC" w:rsidRDefault="003A497C" w:rsidP="00EB3B24">
            <w:pPr>
              <w:jc w:val="center"/>
              <w:rPr>
                <w:rFonts w:ascii="Times New Roman" w:hAnsi="Times New Roman"/>
                <w:b/>
                <w:bCs/>
                <w:color w:val="000000"/>
                <w:sz w:val="24"/>
                <w:szCs w:val="24"/>
                <w:lang w:eastAsia="lv-LV"/>
              </w:rPr>
            </w:pPr>
            <w:r w:rsidRPr="007F0AFC">
              <w:rPr>
                <w:rFonts w:ascii="Times New Roman" w:hAnsi="Times New Roman"/>
                <w:b/>
                <w:bCs/>
                <w:color w:val="000000"/>
                <w:sz w:val="24"/>
                <w:szCs w:val="24"/>
                <w:lang w:eastAsia="lv-LV"/>
              </w:rPr>
              <w:t>2011</w:t>
            </w:r>
          </w:p>
        </w:tc>
        <w:tc>
          <w:tcPr>
            <w:tcW w:w="1536" w:type="dxa"/>
            <w:tcMar>
              <w:top w:w="0" w:type="dxa"/>
              <w:left w:w="108" w:type="dxa"/>
              <w:bottom w:w="0" w:type="dxa"/>
              <w:right w:w="108" w:type="dxa"/>
            </w:tcMar>
            <w:vAlign w:val="center"/>
            <w:hideMark/>
          </w:tcPr>
          <w:p w14:paraId="1553F1E4" w14:textId="77777777" w:rsidR="003A497C" w:rsidRPr="007F0AFC" w:rsidRDefault="003A497C" w:rsidP="00EB3B24">
            <w:pPr>
              <w:jc w:val="center"/>
              <w:rPr>
                <w:rFonts w:ascii="Times New Roman" w:hAnsi="Times New Roman"/>
                <w:color w:val="000000"/>
                <w:sz w:val="24"/>
                <w:szCs w:val="24"/>
                <w:lang w:eastAsia="lv-LV"/>
              </w:rPr>
            </w:pPr>
            <w:r w:rsidRPr="007F0AFC">
              <w:rPr>
                <w:rFonts w:ascii="Times New Roman" w:hAnsi="Times New Roman"/>
                <w:color w:val="000000"/>
                <w:sz w:val="24"/>
                <w:szCs w:val="24"/>
                <w:lang w:eastAsia="lv-LV"/>
              </w:rPr>
              <w:t>138 138</w:t>
            </w:r>
          </w:p>
        </w:tc>
        <w:tc>
          <w:tcPr>
            <w:tcW w:w="1607" w:type="dxa"/>
            <w:tcMar>
              <w:top w:w="0" w:type="dxa"/>
              <w:left w:w="108" w:type="dxa"/>
              <w:bottom w:w="0" w:type="dxa"/>
              <w:right w:w="108" w:type="dxa"/>
            </w:tcMar>
            <w:vAlign w:val="center"/>
            <w:hideMark/>
          </w:tcPr>
          <w:p w14:paraId="50738647" w14:textId="77777777" w:rsidR="003A497C" w:rsidRPr="007F0AFC" w:rsidRDefault="003A497C" w:rsidP="00EB3B24">
            <w:pPr>
              <w:jc w:val="center"/>
              <w:rPr>
                <w:rFonts w:ascii="Times New Roman" w:hAnsi="Times New Roman"/>
                <w:color w:val="000000"/>
                <w:sz w:val="24"/>
                <w:szCs w:val="24"/>
                <w:lang w:eastAsia="lv-LV"/>
              </w:rPr>
            </w:pPr>
            <w:r w:rsidRPr="007F0AFC">
              <w:rPr>
                <w:rFonts w:ascii="Times New Roman" w:hAnsi="Times New Roman"/>
                <w:color w:val="000000"/>
                <w:sz w:val="24"/>
                <w:szCs w:val="24"/>
                <w:lang w:eastAsia="lv-LV"/>
              </w:rPr>
              <w:t>35 064</w:t>
            </w:r>
          </w:p>
        </w:tc>
        <w:tc>
          <w:tcPr>
            <w:tcW w:w="1535" w:type="dxa"/>
            <w:tcMar>
              <w:top w:w="0" w:type="dxa"/>
              <w:left w:w="108" w:type="dxa"/>
              <w:bottom w:w="0" w:type="dxa"/>
              <w:right w:w="108" w:type="dxa"/>
            </w:tcMar>
            <w:vAlign w:val="center"/>
            <w:hideMark/>
          </w:tcPr>
          <w:p w14:paraId="7AF33272" w14:textId="77777777" w:rsidR="003A497C" w:rsidRPr="007F0AFC" w:rsidRDefault="003A497C" w:rsidP="00EB3B24">
            <w:pPr>
              <w:jc w:val="center"/>
              <w:rPr>
                <w:rFonts w:ascii="Times New Roman" w:hAnsi="Times New Roman"/>
                <w:color w:val="000000"/>
                <w:sz w:val="24"/>
                <w:szCs w:val="24"/>
                <w:lang w:eastAsia="lv-LV"/>
              </w:rPr>
            </w:pPr>
            <w:r w:rsidRPr="007F0AFC">
              <w:rPr>
                <w:rFonts w:ascii="Times New Roman" w:hAnsi="Times New Roman"/>
                <w:color w:val="000000"/>
                <w:sz w:val="24"/>
                <w:szCs w:val="24"/>
                <w:lang w:eastAsia="lv-LV"/>
              </w:rPr>
              <w:t>3 641</w:t>
            </w:r>
          </w:p>
        </w:tc>
        <w:tc>
          <w:tcPr>
            <w:tcW w:w="1655" w:type="dxa"/>
            <w:tcMar>
              <w:top w:w="0" w:type="dxa"/>
              <w:left w:w="108" w:type="dxa"/>
              <w:bottom w:w="0" w:type="dxa"/>
              <w:right w:w="108" w:type="dxa"/>
            </w:tcMar>
            <w:vAlign w:val="center"/>
            <w:hideMark/>
          </w:tcPr>
          <w:p w14:paraId="5EE34BC1" w14:textId="77777777" w:rsidR="003A497C" w:rsidRPr="007F0AFC" w:rsidRDefault="003A497C" w:rsidP="00EB3B24">
            <w:pPr>
              <w:jc w:val="center"/>
              <w:rPr>
                <w:rFonts w:ascii="Times New Roman" w:hAnsi="Times New Roman"/>
                <w:color w:val="000000"/>
                <w:sz w:val="24"/>
                <w:szCs w:val="24"/>
                <w:lang w:eastAsia="lv-LV"/>
              </w:rPr>
            </w:pPr>
            <w:r w:rsidRPr="007F0AFC">
              <w:rPr>
                <w:rFonts w:ascii="Times New Roman" w:hAnsi="Times New Roman"/>
                <w:color w:val="000000"/>
                <w:sz w:val="24"/>
                <w:szCs w:val="24"/>
                <w:lang w:eastAsia="lv-LV"/>
              </w:rPr>
              <w:t>-</w:t>
            </w:r>
          </w:p>
        </w:tc>
        <w:tc>
          <w:tcPr>
            <w:tcW w:w="1180" w:type="dxa"/>
            <w:tcMar>
              <w:top w:w="0" w:type="dxa"/>
              <w:left w:w="108" w:type="dxa"/>
              <w:bottom w:w="0" w:type="dxa"/>
              <w:right w:w="108" w:type="dxa"/>
            </w:tcMar>
            <w:vAlign w:val="center"/>
            <w:hideMark/>
          </w:tcPr>
          <w:p w14:paraId="50DE0D32" w14:textId="77777777" w:rsidR="003A497C" w:rsidRPr="007F0AFC" w:rsidRDefault="003A497C" w:rsidP="00EB3B24">
            <w:pPr>
              <w:jc w:val="center"/>
              <w:rPr>
                <w:rFonts w:ascii="Times New Roman" w:hAnsi="Times New Roman"/>
                <w:b/>
                <w:bCs/>
                <w:color w:val="000000"/>
                <w:sz w:val="24"/>
                <w:szCs w:val="24"/>
                <w:lang w:eastAsia="lv-LV"/>
              </w:rPr>
            </w:pPr>
            <w:r w:rsidRPr="007F0AFC">
              <w:rPr>
                <w:rFonts w:ascii="Times New Roman" w:hAnsi="Times New Roman"/>
                <w:b/>
                <w:bCs/>
                <w:color w:val="000000"/>
                <w:sz w:val="24"/>
                <w:szCs w:val="24"/>
                <w:lang w:eastAsia="lv-LV"/>
              </w:rPr>
              <w:t>176 843</w:t>
            </w:r>
          </w:p>
        </w:tc>
      </w:tr>
      <w:tr w:rsidR="003A497C" w:rsidRPr="007F0AFC" w14:paraId="22FEC28C" w14:textId="77777777" w:rsidTr="00EB3B24">
        <w:trPr>
          <w:trHeight w:val="310"/>
        </w:trPr>
        <w:tc>
          <w:tcPr>
            <w:tcW w:w="1701" w:type="dxa"/>
            <w:shd w:val="clear" w:color="auto" w:fill="C0C0C0"/>
            <w:tcMar>
              <w:top w:w="0" w:type="dxa"/>
              <w:left w:w="108" w:type="dxa"/>
              <w:bottom w:w="0" w:type="dxa"/>
              <w:right w:w="108" w:type="dxa"/>
            </w:tcMar>
            <w:vAlign w:val="center"/>
            <w:hideMark/>
          </w:tcPr>
          <w:p w14:paraId="161C146E" w14:textId="77777777" w:rsidR="003A497C" w:rsidRPr="007F0AFC" w:rsidRDefault="003A497C" w:rsidP="00EB3B24">
            <w:pPr>
              <w:jc w:val="center"/>
              <w:rPr>
                <w:rFonts w:ascii="Times New Roman" w:hAnsi="Times New Roman"/>
                <w:b/>
                <w:bCs/>
                <w:color w:val="000000"/>
                <w:sz w:val="24"/>
                <w:szCs w:val="24"/>
                <w:lang w:eastAsia="lv-LV"/>
              </w:rPr>
            </w:pPr>
            <w:r w:rsidRPr="007F0AFC">
              <w:rPr>
                <w:rFonts w:ascii="Times New Roman" w:hAnsi="Times New Roman"/>
                <w:b/>
                <w:bCs/>
                <w:color w:val="000000"/>
                <w:sz w:val="24"/>
                <w:szCs w:val="24"/>
                <w:lang w:eastAsia="lv-LV"/>
              </w:rPr>
              <w:t>2012</w:t>
            </w:r>
          </w:p>
        </w:tc>
        <w:tc>
          <w:tcPr>
            <w:tcW w:w="1536" w:type="dxa"/>
            <w:shd w:val="clear" w:color="auto" w:fill="C0C0C0"/>
            <w:tcMar>
              <w:top w:w="0" w:type="dxa"/>
              <w:left w:w="108" w:type="dxa"/>
              <w:bottom w:w="0" w:type="dxa"/>
              <w:right w:w="108" w:type="dxa"/>
            </w:tcMar>
            <w:vAlign w:val="center"/>
            <w:hideMark/>
          </w:tcPr>
          <w:p w14:paraId="4E486ABF" w14:textId="77777777" w:rsidR="003A497C" w:rsidRPr="007F0AFC" w:rsidRDefault="003A497C" w:rsidP="00EB3B24">
            <w:pPr>
              <w:jc w:val="center"/>
              <w:rPr>
                <w:rFonts w:ascii="Times New Roman" w:hAnsi="Times New Roman"/>
                <w:color w:val="000000"/>
                <w:sz w:val="24"/>
                <w:szCs w:val="24"/>
                <w:lang w:eastAsia="lv-LV"/>
              </w:rPr>
            </w:pPr>
            <w:r w:rsidRPr="007F0AFC">
              <w:rPr>
                <w:rFonts w:ascii="Times New Roman" w:hAnsi="Times New Roman"/>
                <w:color w:val="000000"/>
                <w:sz w:val="24"/>
                <w:szCs w:val="24"/>
                <w:lang w:eastAsia="lv-LV"/>
              </w:rPr>
              <w:t>207 650</w:t>
            </w:r>
          </w:p>
        </w:tc>
        <w:tc>
          <w:tcPr>
            <w:tcW w:w="1607" w:type="dxa"/>
            <w:shd w:val="clear" w:color="auto" w:fill="C0C0C0"/>
            <w:tcMar>
              <w:top w:w="0" w:type="dxa"/>
              <w:left w:w="108" w:type="dxa"/>
              <w:bottom w:w="0" w:type="dxa"/>
              <w:right w:w="108" w:type="dxa"/>
            </w:tcMar>
            <w:vAlign w:val="center"/>
            <w:hideMark/>
          </w:tcPr>
          <w:p w14:paraId="4B33F05C" w14:textId="77777777" w:rsidR="003A497C" w:rsidRPr="007F0AFC" w:rsidRDefault="003A497C" w:rsidP="00EB3B24">
            <w:pPr>
              <w:jc w:val="center"/>
              <w:rPr>
                <w:rFonts w:ascii="Times New Roman" w:hAnsi="Times New Roman"/>
                <w:color w:val="000000"/>
                <w:sz w:val="24"/>
                <w:szCs w:val="24"/>
                <w:lang w:eastAsia="lv-LV"/>
              </w:rPr>
            </w:pPr>
            <w:r w:rsidRPr="007F0AFC">
              <w:rPr>
                <w:rFonts w:ascii="Times New Roman" w:hAnsi="Times New Roman"/>
                <w:color w:val="000000"/>
                <w:sz w:val="24"/>
                <w:szCs w:val="24"/>
                <w:lang w:eastAsia="lv-LV"/>
              </w:rPr>
              <w:t>28 474</w:t>
            </w:r>
          </w:p>
        </w:tc>
        <w:tc>
          <w:tcPr>
            <w:tcW w:w="1535" w:type="dxa"/>
            <w:shd w:val="clear" w:color="auto" w:fill="C0C0C0"/>
            <w:tcMar>
              <w:top w:w="0" w:type="dxa"/>
              <w:left w:w="108" w:type="dxa"/>
              <w:bottom w:w="0" w:type="dxa"/>
              <w:right w:w="108" w:type="dxa"/>
            </w:tcMar>
            <w:vAlign w:val="center"/>
            <w:hideMark/>
          </w:tcPr>
          <w:p w14:paraId="2298E47F" w14:textId="77777777" w:rsidR="003A497C" w:rsidRPr="007F0AFC" w:rsidRDefault="003A497C" w:rsidP="00EB3B24">
            <w:pPr>
              <w:jc w:val="center"/>
              <w:rPr>
                <w:rFonts w:ascii="Times New Roman" w:hAnsi="Times New Roman"/>
                <w:color w:val="000000"/>
                <w:sz w:val="24"/>
                <w:szCs w:val="24"/>
                <w:lang w:eastAsia="lv-LV"/>
              </w:rPr>
            </w:pPr>
            <w:r w:rsidRPr="007F0AFC">
              <w:rPr>
                <w:rFonts w:ascii="Times New Roman" w:hAnsi="Times New Roman"/>
                <w:color w:val="000000"/>
                <w:sz w:val="24"/>
                <w:szCs w:val="24"/>
                <w:lang w:eastAsia="lv-LV"/>
              </w:rPr>
              <w:t>13 335</w:t>
            </w:r>
          </w:p>
        </w:tc>
        <w:tc>
          <w:tcPr>
            <w:tcW w:w="1655" w:type="dxa"/>
            <w:shd w:val="clear" w:color="auto" w:fill="C0C0C0"/>
            <w:tcMar>
              <w:top w:w="0" w:type="dxa"/>
              <w:left w:w="108" w:type="dxa"/>
              <w:bottom w:w="0" w:type="dxa"/>
              <w:right w:w="108" w:type="dxa"/>
            </w:tcMar>
            <w:vAlign w:val="center"/>
            <w:hideMark/>
          </w:tcPr>
          <w:p w14:paraId="5E82A544" w14:textId="77777777" w:rsidR="003A497C" w:rsidRPr="007F0AFC" w:rsidRDefault="003A497C" w:rsidP="00EB3B24">
            <w:pPr>
              <w:jc w:val="center"/>
              <w:rPr>
                <w:rFonts w:ascii="Times New Roman" w:hAnsi="Times New Roman"/>
                <w:color w:val="000000"/>
                <w:sz w:val="24"/>
                <w:szCs w:val="24"/>
                <w:lang w:eastAsia="lv-LV"/>
              </w:rPr>
            </w:pPr>
            <w:r w:rsidRPr="007F0AFC">
              <w:rPr>
                <w:rFonts w:ascii="Times New Roman" w:hAnsi="Times New Roman"/>
                <w:color w:val="000000"/>
                <w:sz w:val="24"/>
                <w:szCs w:val="24"/>
                <w:lang w:eastAsia="lv-LV"/>
              </w:rPr>
              <w:t>-</w:t>
            </w:r>
          </w:p>
        </w:tc>
        <w:tc>
          <w:tcPr>
            <w:tcW w:w="1180" w:type="dxa"/>
            <w:shd w:val="clear" w:color="auto" w:fill="C0C0C0"/>
            <w:tcMar>
              <w:top w:w="0" w:type="dxa"/>
              <w:left w:w="108" w:type="dxa"/>
              <w:bottom w:w="0" w:type="dxa"/>
              <w:right w:w="108" w:type="dxa"/>
            </w:tcMar>
            <w:vAlign w:val="center"/>
            <w:hideMark/>
          </w:tcPr>
          <w:p w14:paraId="550B0655" w14:textId="77777777" w:rsidR="003A497C" w:rsidRPr="007F0AFC" w:rsidRDefault="003A497C" w:rsidP="00EB3B24">
            <w:pPr>
              <w:jc w:val="center"/>
              <w:rPr>
                <w:rFonts w:ascii="Times New Roman" w:hAnsi="Times New Roman"/>
                <w:b/>
                <w:bCs/>
                <w:color w:val="000000"/>
                <w:sz w:val="24"/>
                <w:szCs w:val="24"/>
                <w:lang w:eastAsia="lv-LV"/>
              </w:rPr>
            </w:pPr>
            <w:r w:rsidRPr="007F0AFC">
              <w:rPr>
                <w:rFonts w:ascii="Times New Roman" w:hAnsi="Times New Roman"/>
                <w:b/>
                <w:bCs/>
                <w:color w:val="000000"/>
                <w:sz w:val="24"/>
                <w:szCs w:val="24"/>
                <w:lang w:eastAsia="lv-LV"/>
              </w:rPr>
              <w:t>249 459</w:t>
            </w:r>
          </w:p>
        </w:tc>
      </w:tr>
      <w:tr w:rsidR="003A497C" w:rsidRPr="007F0AFC" w14:paraId="07515584" w14:textId="77777777" w:rsidTr="00EB3B24">
        <w:trPr>
          <w:trHeight w:val="310"/>
        </w:trPr>
        <w:tc>
          <w:tcPr>
            <w:tcW w:w="1701" w:type="dxa"/>
            <w:tcMar>
              <w:top w:w="0" w:type="dxa"/>
              <w:left w:w="108" w:type="dxa"/>
              <w:bottom w:w="0" w:type="dxa"/>
              <w:right w:w="108" w:type="dxa"/>
            </w:tcMar>
            <w:vAlign w:val="center"/>
            <w:hideMark/>
          </w:tcPr>
          <w:p w14:paraId="227A3C45" w14:textId="77777777" w:rsidR="003A497C" w:rsidRPr="007F0AFC" w:rsidRDefault="003A497C" w:rsidP="00EB3B24">
            <w:pPr>
              <w:jc w:val="center"/>
              <w:rPr>
                <w:rFonts w:ascii="Times New Roman" w:hAnsi="Times New Roman"/>
                <w:b/>
                <w:bCs/>
                <w:color w:val="000000"/>
                <w:sz w:val="24"/>
                <w:szCs w:val="24"/>
                <w:lang w:eastAsia="lv-LV"/>
              </w:rPr>
            </w:pPr>
            <w:r w:rsidRPr="007F0AFC">
              <w:rPr>
                <w:rFonts w:ascii="Times New Roman" w:hAnsi="Times New Roman"/>
                <w:b/>
                <w:bCs/>
                <w:color w:val="000000"/>
                <w:sz w:val="24"/>
                <w:szCs w:val="24"/>
                <w:lang w:eastAsia="lv-LV"/>
              </w:rPr>
              <w:t>2013</w:t>
            </w:r>
          </w:p>
        </w:tc>
        <w:tc>
          <w:tcPr>
            <w:tcW w:w="1536" w:type="dxa"/>
            <w:tcMar>
              <w:top w:w="0" w:type="dxa"/>
              <w:left w:w="108" w:type="dxa"/>
              <w:bottom w:w="0" w:type="dxa"/>
              <w:right w:w="108" w:type="dxa"/>
            </w:tcMar>
            <w:vAlign w:val="center"/>
            <w:hideMark/>
          </w:tcPr>
          <w:p w14:paraId="4666DA83" w14:textId="77777777" w:rsidR="003A497C" w:rsidRPr="007F0AFC" w:rsidRDefault="003A497C" w:rsidP="00EB3B24">
            <w:pPr>
              <w:jc w:val="center"/>
              <w:rPr>
                <w:rFonts w:ascii="Times New Roman" w:hAnsi="Times New Roman"/>
                <w:color w:val="000000"/>
                <w:sz w:val="24"/>
                <w:szCs w:val="24"/>
                <w:lang w:eastAsia="lv-LV"/>
              </w:rPr>
            </w:pPr>
            <w:r w:rsidRPr="007F0AFC">
              <w:rPr>
                <w:rFonts w:ascii="Times New Roman" w:hAnsi="Times New Roman"/>
                <w:color w:val="000000"/>
                <w:sz w:val="24"/>
                <w:szCs w:val="24"/>
                <w:lang w:eastAsia="lv-LV"/>
              </w:rPr>
              <w:t>296 583</w:t>
            </w:r>
          </w:p>
        </w:tc>
        <w:tc>
          <w:tcPr>
            <w:tcW w:w="1607" w:type="dxa"/>
            <w:tcMar>
              <w:top w:w="0" w:type="dxa"/>
              <w:left w:w="108" w:type="dxa"/>
              <w:bottom w:w="0" w:type="dxa"/>
              <w:right w:w="108" w:type="dxa"/>
            </w:tcMar>
            <w:vAlign w:val="center"/>
            <w:hideMark/>
          </w:tcPr>
          <w:p w14:paraId="72D9BD50" w14:textId="77777777" w:rsidR="003A497C" w:rsidRPr="007F0AFC" w:rsidRDefault="003A497C" w:rsidP="00EB3B24">
            <w:pPr>
              <w:jc w:val="center"/>
              <w:rPr>
                <w:rFonts w:ascii="Times New Roman" w:hAnsi="Times New Roman"/>
                <w:color w:val="000000"/>
                <w:sz w:val="24"/>
                <w:szCs w:val="24"/>
                <w:lang w:eastAsia="lv-LV"/>
              </w:rPr>
            </w:pPr>
            <w:r w:rsidRPr="007F0AFC">
              <w:rPr>
                <w:rFonts w:ascii="Times New Roman" w:hAnsi="Times New Roman"/>
                <w:color w:val="000000"/>
                <w:sz w:val="24"/>
                <w:szCs w:val="24"/>
                <w:lang w:eastAsia="lv-LV"/>
              </w:rPr>
              <w:t>34 106</w:t>
            </w:r>
          </w:p>
        </w:tc>
        <w:tc>
          <w:tcPr>
            <w:tcW w:w="1535" w:type="dxa"/>
            <w:tcMar>
              <w:top w:w="0" w:type="dxa"/>
              <w:left w:w="108" w:type="dxa"/>
              <w:bottom w:w="0" w:type="dxa"/>
              <w:right w:w="108" w:type="dxa"/>
            </w:tcMar>
            <w:vAlign w:val="center"/>
            <w:hideMark/>
          </w:tcPr>
          <w:p w14:paraId="26408B38" w14:textId="77777777" w:rsidR="003A497C" w:rsidRPr="007F0AFC" w:rsidRDefault="003A497C" w:rsidP="00EB3B24">
            <w:pPr>
              <w:jc w:val="center"/>
              <w:rPr>
                <w:rFonts w:ascii="Times New Roman" w:hAnsi="Times New Roman"/>
                <w:color w:val="000000"/>
                <w:sz w:val="24"/>
                <w:szCs w:val="24"/>
                <w:lang w:eastAsia="lv-LV"/>
              </w:rPr>
            </w:pPr>
            <w:r w:rsidRPr="007F0AFC">
              <w:rPr>
                <w:rFonts w:ascii="Times New Roman" w:hAnsi="Times New Roman"/>
                <w:color w:val="000000"/>
                <w:sz w:val="24"/>
                <w:szCs w:val="24"/>
                <w:lang w:eastAsia="lv-LV"/>
              </w:rPr>
              <w:t>29 300</w:t>
            </w:r>
          </w:p>
        </w:tc>
        <w:tc>
          <w:tcPr>
            <w:tcW w:w="1655" w:type="dxa"/>
            <w:tcMar>
              <w:top w:w="0" w:type="dxa"/>
              <w:left w:w="108" w:type="dxa"/>
              <w:bottom w:w="0" w:type="dxa"/>
              <w:right w:w="108" w:type="dxa"/>
            </w:tcMar>
            <w:vAlign w:val="center"/>
            <w:hideMark/>
          </w:tcPr>
          <w:p w14:paraId="15299F37" w14:textId="77777777" w:rsidR="003A497C" w:rsidRPr="007F0AFC" w:rsidRDefault="003A497C" w:rsidP="00EB3B24">
            <w:pPr>
              <w:jc w:val="center"/>
              <w:rPr>
                <w:rFonts w:ascii="Times New Roman" w:hAnsi="Times New Roman"/>
                <w:color w:val="000000"/>
                <w:sz w:val="24"/>
                <w:szCs w:val="24"/>
                <w:lang w:eastAsia="lv-LV"/>
              </w:rPr>
            </w:pPr>
            <w:r w:rsidRPr="007F0AFC">
              <w:rPr>
                <w:rFonts w:ascii="Times New Roman" w:hAnsi="Times New Roman"/>
                <w:color w:val="000000"/>
                <w:sz w:val="24"/>
                <w:szCs w:val="24"/>
                <w:lang w:eastAsia="lv-LV"/>
              </w:rPr>
              <w:t>-</w:t>
            </w:r>
          </w:p>
        </w:tc>
        <w:tc>
          <w:tcPr>
            <w:tcW w:w="1180" w:type="dxa"/>
            <w:tcMar>
              <w:top w:w="0" w:type="dxa"/>
              <w:left w:w="108" w:type="dxa"/>
              <w:bottom w:w="0" w:type="dxa"/>
              <w:right w:w="108" w:type="dxa"/>
            </w:tcMar>
            <w:vAlign w:val="center"/>
            <w:hideMark/>
          </w:tcPr>
          <w:p w14:paraId="78CDB979" w14:textId="77777777" w:rsidR="003A497C" w:rsidRPr="007F0AFC" w:rsidRDefault="003A497C" w:rsidP="00EB3B24">
            <w:pPr>
              <w:jc w:val="center"/>
              <w:rPr>
                <w:rFonts w:ascii="Times New Roman" w:hAnsi="Times New Roman"/>
                <w:b/>
                <w:bCs/>
                <w:color w:val="000000"/>
                <w:sz w:val="24"/>
                <w:szCs w:val="24"/>
                <w:lang w:eastAsia="lv-LV"/>
              </w:rPr>
            </w:pPr>
            <w:r w:rsidRPr="007F0AFC">
              <w:rPr>
                <w:rFonts w:ascii="Times New Roman" w:hAnsi="Times New Roman"/>
                <w:b/>
                <w:bCs/>
                <w:color w:val="000000"/>
                <w:sz w:val="24"/>
                <w:szCs w:val="24"/>
                <w:lang w:eastAsia="lv-LV"/>
              </w:rPr>
              <w:t>359 989</w:t>
            </w:r>
          </w:p>
        </w:tc>
      </w:tr>
      <w:tr w:rsidR="003A497C" w:rsidRPr="007F0AFC" w14:paraId="2C5098B6" w14:textId="77777777" w:rsidTr="00EB3B24">
        <w:trPr>
          <w:trHeight w:val="310"/>
        </w:trPr>
        <w:tc>
          <w:tcPr>
            <w:tcW w:w="1701" w:type="dxa"/>
            <w:shd w:val="clear" w:color="auto" w:fill="C0C0C0"/>
            <w:tcMar>
              <w:top w:w="0" w:type="dxa"/>
              <w:left w:w="108" w:type="dxa"/>
              <w:bottom w:w="0" w:type="dxa"/>
              <w:right w:w="108" w:type="dxa"/>
            </w:tcMar>
            <w:vAlign w:val="center"/>
            <w:hideMark/>
          </w:tcPr>
          <w:p w14:paraId="564A547C" w14:textId="77777777" w:rsidR="003A497C" w:rsidRPr="007F0AFC" w:rsidRDefault="003A497C" w:rsidP="00EB3B24">
            <w:pPr>
              <w:jc w:val="center"/>
              <w:rPr>
                <w:rFonts w:ascii="Times New Roman" w:hAnsi="Times New Roman"/>
                <w:b/>
                <w:bCs/>
                <w:color w:val="000000"/>
                <w:sz w:val="24"/>
                <w:szCs w:val="24"/>
                <w:lang w:eastAsia="lv-LV"/>
              </w:rPr>
            </w:pPr>
            <w:r w:rsidRPr="007F0AFC">
              <w:rPr>
                <w:rFonts w:ascii="Times New Roman" w:hAnsi="Times New Roman"/>
                <w:b/>
                <w:bCs/>
                <w:color w:val="000000"/>
                <w:sz w:val="24"/>
                <w:szCs w:val="24"/>
                <w:lang w:eastAsia="lv-LV"/>
              </w:rPr>
              <w:t>2014</w:t>
            </w:r>
          </w:p>
        </w:tc>
        <w:tc>
          <w:tcPr>
            <w:tcW w:w="1536" w:type="dxa"/>
            <w:shd w:val="clear" w:color="auto" w:fill="C0C0C0"/>
            <w:tcMar>
              <w:top w:w="0" w:type="dxa"/>
              <w:left w:w="108" w:type="dxa"/>
              <w:bottom w:w="0" w:type="dxa"/>
              <w:right w:w="108" w:type="dxa"/>
            </w:tcMar>
            <w:vAlign w:val="center"/>
            <w:hideMark/>
          </w:tcPr>
          <w:p w14:paraId="7C980757" w14:textId="77777777" w:rsidR="003A497C" w:rsidRPr="007F0AFC" w:rsidRDefault="003A497C" w:rsidP="00EB3B24">
            <w:pPr>
              <w:jc w:val="center"/>
              <w:rPr>
                <w:rFonts w:ascii="Times New Roman" w:hAnsi="Times New Roman"/>
                <w:color w:val="000000"/>
                <w:sz w:val="24"/>
                <w:szCs w:val="24"/>
                <w:lang w:eastAsia="lv-LV"/>
              </w:rPr>
            </w:pPr>
            <w:r w:rsidRPr="007F0AFC">
              <w:rPr>
                <w:rFonts w:ascii="Times New Roman" w:hAnsi="Times New Roman"/>
                <w:color w:val="000000"/>
                <w:sz w:val="24"/>
                <w:szCs w:val="24"/>
                <w:lang w:eastAsia="lv-LV"/>
              </w:rPr>
              <w:t>397 315</w:t>
            </w:r>
          </w:p>
        </w:tc>
        <w:tc>
          <w:tcPr>
            <w:tcW w:w="1607" w:type="dxa"/>
            <w:shd w:val="clear" w:color="auto" w:fill="C0C0C0"/>
            <w:tcMar>
              <w:top w:w="0" w:type="dxa"/>
              <w:left w:w="108" w:type="dxa"/>
              <w:bottom w:w="0" w:type="dxa"/>
              <w:right w:w="108" w:type="dxa"/>
            </w:tcMar>
            <w:vAlign w:val="center"/>
            <w:hideMark/>
          </w:tcPr>
          <w:p w14:paraId="6F5E7CD4" w14:textId="77777777" w:rsidR="003A497C" w:rsidRPr="007F0AFC" w:rsidRDefault="003A497C" w:rsidP="00EB3B24">
            <w:pPr>
              <w:jc w:val="center"/>
              <w:rPr>
                <w:rFonts w:ascii="Times New Roman" w:hAnsi="Times New Roman"/>
                <w:color w:val="000000"/>
                <w:sz w:val="24"/>
                <w:szCs w:val="24"/>
                <w:lang w:eastAsia="lv-LV"/>
              </w:rPr>
            </w:pPr>
            <w:r w:rsidRPr="007F0AFC">
              <w:rPr>
                <w:rFonts w:ascii="Times New Roman" w:hAnsi="Times New Roman"/>
                <w:color w:val="000000"/>
                <w:sz w:val="24"/>
                <w:szCs w:val="24"/>
                <w:lang w:eastAsia="lv-LV"/>
              </w:rPr>
              <w:t>31 328</w:t>
            </w:r>
          </w:p>
        </w:tc>
        <w:tc>
          <w:tcPr>
            <w:tcW w:w="1535" w:type="dxa"/>
            <w:shd w:val="clear" w:color="auto" w:fill="C0C0C0"/>
            <w:tcMar>
              <w:top w:w="0" w:type="dxa"/>
              <w:left w:w="108" w:type="dxa"/>
              <w:bottom w:w="0" w:type="dxa"/>
              <w:right w:w="108" w:type="dxa"/>
            </w:tcMar>
            <w:vAlign w:val="center"/>
            <w:hideMark/>
          </w:tcPr>
          <w:p w14:paraId="16E7C455" w14:textId="77777777" w:rsidR="003A497C" w:rsidRPr="007F0AFC" w:rsidRDefault="003A497C" w:rsidP="00EB3B24">
            <w:pPr>
              <w:jc w:val="center"/>
              <w:rPr>
                <w:rFonts w:ascii="Times New Roman" w:hAnsi="Times New Roman"/>
                <w:color w:val="000000"/>
                <w:sz w:val="24"/>
                <w:szCs w:val="24"/>
                <w:lang w:eastAsia="lv-LV"/>
              </w:rPr>
            </w:pPr>
            <w:r w:rsidRPr="007F0AFC">
              <w:rPr>
                <w:rFonts w:ascii="Times New Roman" w:hAnsi="Times New Roman"/>
                <w:color w:val="000000"/>
                <w:sz w:val="24"/>
                <w:szCs w:val="24"/>
                <w:lang w:eastAsia="lv-LV"/>
              </w:rPr>
              <w:t>18 826</w:t>
            </w:r>
          </w:p>
        </w:tc>
        <w:tc>
          <w:tcPr>
            <w:tcW w:w="1655" w:type="dxa"/>
            <w:shd w:val="clear" w:color="auto" w:fill="C0C0C0"/>
            <w:tcMar>
              <w:top w:w="0" w:type="dxa"/>
              <w:left w:w="108" w:type="dxa"/>
              <w:bottom w:w="0" w:type="dxa"/>
              <w:right w:w="108" w:type="dxa"/>
            </w:tcMar>
            <w:vAlign w:val="center"/>
            <w:hideMark/>
          </w:tcPr>
          <w:p w14:paraId="5463B955" w14:textId="77777777" w:rsidR="003A497C" w:rsidRPr="007F0AFC" w:rsidRDefault="003A497C" w:rsidP="00EB3B24">
            <w:pPr>
              <w:jc w:val="center"/>
              <w:rPr>
                <w:rFonts w:ascii="Times New Roman" w:hAnsi="Times New Roman"/>
                <w:color w:val="000000"/>
                <w:sz w:val="24"/>
                <w:szCs w:val="24"/>
                <w:lang w:eastAsia="lv-LV"/>
              </w:rPr>
            </w:pPr>
            <w:r w:rsidRPr="007F0AFC">
              <w:rPr>
                <w:rFonts w:ascii="Times New Roman" w:hAnsi="Times New Roman"/>
                <w:color w:val="000000"/>
                <w:sz w:val="24"/>
                <w:szCs w:val="24"/>
                <w:lang w:eastAsia="lv-LV"/>
              </w:rPr>
              <w:t>-</w:t>
            </w:r>
          </w:p>
        </w:tc>
        <w:tc>
          <w:tcPr>
            <w:tcW w:w="1180" w:type="dxa"/>
            <w:shd w:val="clear" w:color="auto" w:fill="C0C0C0"/>
            <w:tcMar>
              <w:top w:w="0" w:type="dxa"/>
              <w:left w:w="108" w:type="dxa"/>
              <w:bottom w:w="0" w:type="dxa"/>
              <w:right w:w="108" w:type="dxa"/>
            </w:tcMar>
            <w:vAlign w:val="center"/>
            <w:hideMark/>
          </w:tcPr>
          <w:p w14:paraId="10C9E486" w14:textId="77777777" w:rsidR="003A497C" w:rsidRPr="007F0AFC" w:rsidRDefault="003A497C" w:rsidP="00EB3B24">
            <w:pPr>
              <w:jc w:val="center"/>
              <w:rPr>
                <w:rFonts w:ascii="Times New Roman" w:hAnsi="Times New Roman"/>
                <w:b/>
                <w:bCs/>
                <w:color w:val="000000"/>
                <w:sz w:val="24"/>
                <w:szCs w:val="24"/>
                <w:lang w:eastAsia="lv-LV"/>
              </w:rPr>
            </w:pPr>
            <w:r w:rsidRPr="007F0AFC">
              <w:rPr>
                <w:rFonts w:ascii="Times New Roman" w:hAnsi="Times New Roman"/>
                <w:b/>
                <w:bCs/>
                <w:color w:val="000000"/>
                <w:sz w:val="24"/>
                <w:szCs w:val="24"/>
                <w:lang w:eastAsia="lv-LV"/>
              </w:rPr>
              <w:t>447 469</w:t>
            </w:r>
          </w:p>
        </w:tc>
      </w:tr>
      <w:tr w:rsidR="003A497C" w:rsidRPr="007F0AFC" w14:paraId="5BEC4239" w14:textId="77777777" w:rsidTr="00EB3B24">
        <w:trPr>
          <w:trHeight w:val="310"/>
        </w:trPr>
        <w:tc>
          <w:tcPr>
            <w:tcW w:w="1701" w:type="dxa"/>
            <w:tcMar>
              <w:top w:w="0" w:type="dxa"/>
              <w:left w:w="108" w:type="dxa"/>
              <w:bottom w:w="0" w:type="dxa"/>
              <w:right w:w="108" w:type="dxa"/>
            </w:tcMar>
            <w:vAlign w:val="center"/>
            <w:hideMark/>
          </w:tcPr>
          <w:p w14:paraId="2AFF4227" w14:textId="77777777" w:rsidR="003A497C" w:rsidRPr="0039735D" w:rsidRDefault="003A497C" w:rsidP="00EB3B24">
            <w:pPr>
              <w:jc w:val="center"/>
              <w:rPr>
                <w:rFonts w:ascii="Times New Roman" w:hAnsi="Times New Roman"/>
                <w:b/>
                <w:bCs/>
                <w:color w:val="000000"/>
                <w:sz w:val="24"/>
                <w:szCs w:val="24"/>
                <w:lang w:eastAsia="lv-LV"/>
              </w:rPr>
            </w:pPr>
            <w:r w:rsidRPr="0039735D">
              <w:rPr>
                <w:rFonts w:ascii="Times New Roman" w:hAnsi="Times New Roman"/>
                <w:b/>
                <w:bCs/>
                <w:color w:val="000000"/>
                <w:sz w:val="24"/>
                <w:szCs w:val="24"/>
                <w:lang w:eastAsia="lv-LV"/>
              </w:rPr>
              <w:t>2015</w:t>
            </w:r>
          </w:p>
        </w:tc>
        <w:tc>
          <w:tcPr>
            <w:tcW w:w="1536" w:type="dxa"/>
            <w:tcMar>
              <w:top w:w="0" w:type="dxa"/>
              <w:left w:w="108" w:type="dxa"/>
              <w:bottom w:w="0" w:type="dxa"/>
              <w:right w:w="108" w:type="dxa"/>
            </w:tcMar>
            <w:vAlign w:val="center"/>
            <w:hideMark/>
          </w:tcPr>
          <w:p w14:paraId="1D99A950" w14:textId="77777777" w:rsidR="003A497C" w:rsidRPr="0039735D" w:rsidRDefault="003A497C" w:rsidP="00EB3B24">
            <w:pPr>
              <w:jc w:val="center"/>
              <w:rPr>
                <w:rFonts w:ascii="Times New Roman" w:hAnsi="Times New Roman"/>
                <w:color w:val="000000"/>
                <w:sz w:val="24"/>
                <w:szCs w:val="24"/>
                <w:lang w:eastAsia="lv-LV"/>
              </w:rPr>
            </w:pPr>
            <w:r w:rsidRPr="0039735D">
              <w:rPr>
                <w:rFonts w:ascii="Times New Roman" w:hAnsi="Times New Roman"/>
                <w:color w:val="000000"/>
                <w:sz w:val="24"/>
                <w:szCs w:val="24"/>
                <w:lang w:eastAsia="lv-LV"/>
              </w:rPr>
              <w:t>72 844</w:t>
            </w:r>
          </w:p>
        </w:tc>
        <w:tc>
          <w:tcPr>
            <w:tcW w:w="1607" w:type="dxa"/>
            <w:tcMar>
              <w:top w:w="0" w:type="dxa"/>
              <w:left w:w="108" w:type="dxa"/>
              <w:bottom w:w="0" w:type="dxa"/>
              <w:right w:w="108" w:type="dxa"/>
            </w:tcMar>
            <w:vAlign w:val="center"/>
            <w:hideMark/>
          </w:tcPr>
          <w:p w14:paraId="2B011F0E" w14:textId="77777777" w:rsidR="003A497C" w:rsidRPr="0039735D" w:rsidRDefault="003A497C" w:rsidP="00EB3B24">
            <w:pPr>
              <w:jc w:val="center"/>
              <w:rPr>
                <w:rFonts w:ascii="Times New Roman" w:hAnsi="Times New Roman"/>
                <w:color w:val="000000"/>
                <w:sz w:val="24"/>
                <w:szCs w:val="24"/>
                <w:lang w:eastAsia="lv-LV"/>
              </w:rPr>
            </w:pPr>
            <w:r w:rsidRPr="0039735D">
              <w:rPr>
                <w:rFonts w:ascii="Times New Roman" w:hAnsi="Times New Roman"/>
                <w:color w:val="000000"/>
                <w:sz w:val="24"/>
                <w:szCs w:val="24"/>
                <w:lang w:eastAsia="lv-LV"/>
              </w:rPr>
              <w:t>8 962</w:t>
            </w:r>
          </w:p>
        </w:tc>
        <w:tc>
          <w:tcPr>
            <w:tcW w:w="1535" w:type="dxa"/>
            <w:tcMar>
              <w:top w:w="0" w:type="dxa"/>
              <w:left w:w="108" w:type="dxa"/>
              <w:bottom w:w="0" w:type="dxa"/>
              <w:right w:w="108" w:type="dxa"/>
            </w:tcMar>
            <w:vAlign w:val="center"/>
            <w:hideMark/>
          </w:tcPr>
          <w:p w14:paraId="65113061" w14:textId="77777777" w:rsidR="003A497C" w:rsidRPr="007F0AFC" w:rsidRDefault="003A497C" w:rsidP="00EB3B24">
            <w:pPr>
              <w:jc w:val="center"/>
              <w:rPr>
                <w:rFonts w:ascii="Times New Roman" w:hAnsi="Times New Roman"/>
                <w:color w:val="000000"/>
                <w:sz w:val="24"/>
                <w:szCs w:val="24"/>
                <w:lang w:eastAsia="lv-LV"/>
              </w:rPr>
            </w:pPr>
            <w:r w:rsidRPr="007F0AFC">
              <w:rPr>
                <w:rFonts w:ascii="Times New Roman" w:hAnsi="Times New Roman"/>
                <w:color w:val="000000"/>
                <w:sz w:val="24"/>
                <w:szCs w:val="24"/>
                <w:lang w:eastAsia="lv-LV"/>
              </w:rPr>
              <w:t>7 434</w:t>
            </w:r>
          </w:p>
        </w:tc>
        <w:tc>
          <w:tcPr>
            <w:tcW w:w="1655" w:type="dxa"/>
            <w:tcMar>
              <w:top w:w="0" w:type="dxa"/>
              <w:left w:w="108" w:type="dxa"/>
              <w:bottom w:w="0" w:type="dxa"/>
              <w:right w:w="108" w:type="dxa"/>
            </w:tcMar>
            <w:vAlign w:val="center"/>
            <w:hideMark/>
          </w:tcPr>
          <w:p w14:paraId="5F79E057" w14:textId="77777777" w:rsidR="003A497C" w:rsidRPr="007F0AFC" w:rsidRDefault="003A497C" w:rsidP="00EB3B24">
            <w:pPr>
              <w:jc w:val="center"/>
              <w:rPr>
                <w:rFonts w:ascii="Times New Roman" w:hAnsi="Times New Roman"/>
                <w:color w:val="000000"/>
                <w:sz w:val="24"/>
                <w:szCs w:val="24"/>
                <w:lang w:eastAsia="lv-LV"/>
              </w:rPr>
            </w:pPr>
            <w:r w:rsidRPr="007F0AFC">
              <w:rPr>
                <w:rFonts w:ascii="Times New Roman" w:hAnsi="Times New Roman"/>
                <w:color w:val="000000"/>
                <w:sz w:val="24"/>
                <w:szCs w:val="24"/>
                <w:lang w:eastAsia="lv-LV"/>
              </w:rPr>
              <w:t>1 250</w:t>
            </w:r>
          </w:p>
        </w:tc>
        <w:tc>
          <w:tcPr>
            <w:tcW w:w="1180" w:type="dxa"/>
            <w:tcMar>
              <w:top w:w="0" w:type="dxa"/>
              <w:left w:w="108" w:type="dxa"/>
              <w:bottom w:w="0" w:type="dxa"/>
              <w:right w:w="108" w:type="dxa"/>
            </w:tcMar>
            <w:vAlign w:val="center"/>
            <w:hideMark/>
          </w:tcPr>
          <w:p w14:paraId="61A0410C" w14:textId="77777777" w:rsidR="003A497C" w:rsidRPr="007F0AFC" w:rsidRDefault="003A497C" w:rsidP="00EB3B24">
            <w:pPr>
              <w:jc w:val="center"/>
              <w:rPr>
                <w:rFonts w:ascii="Times New Roman" w:hAnsi="Times New Roman"/>
                <w:b/>
                <w:bCs/>
                <w:color w:val="000000"/>
                <w:sz w:val="24"/>
                <w:szCs w:val="24"/>
                <w:lang w:eastAsia="lv-LV"/>
              </w:rPr>
            </w:pPr>
            <w:r w:rsidRPr="007F0AFC">
              <w:rPr>
                <w:rFonts w:ascii="Times New Roman" w:hAnsi="Times New Roman"/>
                <w:b/>
                <w:bCs/>
                <w:color w:val="000000"/>
                <w:sz w:val="24"/>
                <w:szCs w:val="24"/>
                <w:lang w:eastAsia="lv-LV"/>
              </w:rPr>
              <w:t>90 490</w:t>
            </w:r>
          </w:p>
        </w:tc>
      </w:tr>
      <w:tr w:rsidR="003A497C" w:rsidRPr="007F0AFC" w14:paraId="450EF5DE" w14:textId="77777777" w:rsidTr="00EB3B24">
        <w:trPr>
          <w:trHeight w:val="310"/>
        </w:trPr>
        <w:tc>
          <w:tcPr>
            <w:tcW w:w="1701" w:type="dxa"/>
            <w:shd w:val="clear" w:color="auto" w:fill="C0C0C0"/>
            <w:tcMar>
              <w:top w:w="0" w:type="dxa"/>
              <w:left w:w="108" w:type="dxa"/>
              <w:bottom w:w="0" w:type="dxa"/>
              <w:right w:w="108" w:type="dxa"/>
            </w:tcMar>
            <w:vAlign w:val="center"/>
            <w:hideMark/>
          </w:tcPr>
          <w:p w14:paraId="11B56EE2" w14:textId="77777777" w:rsidR="003A497C" w:rsidRPr="0039735D" w:rsidRDefault="003A497C" w:rsidP="00EB3B24">
            <w:pPr>
              <w:jc w:val="center"/>
              <w:rPr>
                <w:rFonts w:ascii="Times New Roman" w:hAnsi="Times New Roman"/>
                <w:b/>
                <w:bCs/>
                <w:color w:val="000000"/>
                <w:sz w:val="24"/>
                <w:szCs w:val="24"/>
                <w:lang w:eastAsia="lv-LV"/>
              </w:rPr>
            </w:pPr>
            <w:r w:rsidRPr="0039735D">
              <w:rPr>
                <w:rFonts w:ascii="Times New Roman" w:hAnsi="Times New Roman"/>
                <w:b/>
                <w:bCs/>
                <w:color w:val="000000"/>
                <w:sz w:val="24"/>
                <w:szCs w:val="24"/>
                <w:lang w:eastAsia="lv-LV"/>
              </w:rPr>
              <w:t>2016</w:t>
            </w:r>
          </w:p>
        </w:tc>
        <w:tc>
          <w:tcPr>
            <w:tcW w:w="1536" w:type="dxa"/>
            <w:shd w:val="clear" w:color="auto" w:fill="BFBFBF" w:themeFill="background1" w:themeFillShade="BF"/>
            <w:tcMar>
              <w:top w:w="0" w:type="dxa"/>
              <w:left w:w="108" w:type="dxa"/>
              <w:bottom w:w="0" w:type="dxa"/>
              <w:right w:w="108" w:type="dxa"/>
            </w:tcMar>
            <w:vAlign w:val="center"/>
            <w:hideMark/>
          </w:tcPr>
          <w:p w14:paraId="786B9656" w14:textId="77777777" w:rsidR="003A497C" w:rsidRPr="0039735D" w:rsidRDefault="003A497C" w:rsidP="00EB3B24">
            <w:pPr>
              <w:jc w:val="center"/>
              <w:rPr>
                <w:rFonts w:ascii="Times New Roman" w:hAnsi="Times New Roman"/>
                <w:color w:val="000000"/>
                <w:sz w:val="24"/>
                <w:szCs w:val="24"/>
                <w:lang w:eastAsia="lv-LV"/>
              </w:rPr>
            </w:pPr>
            <w:r w:rsidRPr="0039735D">
              <w:rPr>
                <w:rFonts w:ascii="Times New Roman" w:hAnsi="Times New Roman"/>
                <w:color w:val="000000"/>
                <w:sz w:val="24"/>
                <w:szCs w:val="24"/>
                <w:lang w:eastAsia="lv-LV"/>
              </w:rPr>
              <w:t>50 706</w:t>
            </w:r>
          </w:p>
        </w:tc>
        <w:tc>
          <w:tcPr>
            <w:tcW w:w="1607" w:type="dxa"/>
            <w:shd w:val="clear" w:color="auto" w:fill="C0C0C0"/>
            <w:tcMar>
              <w:top w:w="0" w:type="dxa"/>
              <w:left w:w="108" w:type="dxa"/>
              <w:bottom w:w="0" w:type="dxa"/>
              <w:right w:w="108" w:type="dxa"/>
            </w:tcMar>
            <w:vAlign w:val="center"/>
            <w:hideMark/>
          </w:tcPr>
          <w:p w14:paraId="527350F6" w14:textId="77777777" w:rsidR="003A497C" w:rsidRPr="0039735D" w:rsidRDefault="003A497C" w:rsidP="00EB3B24">
            <w:pPr>
              <w:jc w:val="center"/>
              <w:rPr>
                <w:rFonts w:ascii="Times New Roman" w:hAnsi="Times New Roman"/>
                <w:color w:val="000000"/>
                <w:sz w:val="24"/>
                <w:szCs w:val="24"/>
                <w:lang w:eastAsia="lv-LV"/>
              </w:rPr>
            </w:pPr>
            <w:r w:rsidRPr="0039735D">
              <w:rPr>
                <w:rFonts w:ascii="Times New Roman" w:hAnsi="Times New Roman"/>
                <w:color w:val="000000"/>
                <w:sz w:val="24"/>
                <w:szCs w:val="24"/>
                <w:lang w:eastAsia="lv-LV"/>
              </w:rPr>
              <w:t>3 874</w:t>
            </w:r>
          </w:p>
        </w:tc>
        <w:tc>
          <w:tcPr>
            <w:tcW w:w="1535" w:type="dxa"/>
            <w:shd w:val="clear" w:color="auto" w:fill="C0C0C0"/>
            <w:tcMar>
              <w:top w:w="0" w:type="dxa"/>
              <w:left w:w="108" w:type="dxa"/>
              <w:bottom w:w="0" w:type="dxa"/>
              <w:right w:w="108" w:type="dxa"/>
            </w:tcMar>
            <w:vAlign w:val="center"/>
            <w:hideMark/>
          </w:tcPr>
          <w:p w14:paraId="2CF5C09D" w14:textId="77777777" w:rsidR="003A497C" w:rsidRPr="0039735D" w:rsidRDefault="003A497C" w:rsidP="00EB3B24">
            <w:pPr>
              <w:jc w:val="center"/>
              <w:rPr>
                <w:rFonts w:ascii="Times New Roman" w:hAnsi="Times New Roman"/>
                <w:color w:val="000000"/>
                <w:sz w:val="24"/>
                <w:szCs w:val="24"/>
                <w:lang w:eastAsia="lv-LV"/>
              </w:rPr>
            </w:pPr>
            <w:r w:rsidRPr="0039735D">
              <w:rPr>
                <w:rFonts w:ascii="Times New Roman" w:hAnsi="Times New Roman"/>
                <w:color w:val="000000"/>
                <w:sz w:val="24"/>
                <w:szCs w:val="24"/>
                <w:lang w:eastAsia="lv-LV"/>
              </w:rPr>
              <w:t>3 195</w:t>
            </w:r>
          </w:p>
        </w:tc>
        <w:tc>
          <w:tcPr>
            <w:tcW w:w="1655" w:type="dxa"/>
            <w:shd w:val="clear" w:color="auto" w:fill="C0C0C0"/>
            <w:tcMar>
              <w:top w:w="0" w:type="dxa"/>
              <w:left w:w="108" w:type="dxa"/>
              <w:bottom w:w="0" w:type="dxa"/>
              <w:right w:w="108" w:type="dxa"/>
            </w:tcMar>
            <w:vAlign w:val="center"/>
            <w:hideMark/>
          </w:tcPr>
          <w:p w14:paraId="6AEB194E" w14:textId="77777777" w:rsidR="003A497C" w:rsidRPr="0039735D" w:rsidRDefault="003A497C" w:rsidP="00EB3B24">
            <w:pPr>
              <w:jc w:val="center"/>
              <w:rPr>
                <w:rFonts w:ascii="Times New Roman" w:hAnsi="Times New Roman"/>
                <w:color w:val="000000"/>
                <w:sz w:val="24"/>
                <w:szCs w:val="24"/>
                <w:lang w:eastAsia="lv-LV"/>
              </w:rPr>
            </w:pPr>
            <w:r w:rsidRPr="0039735D">
              <w:rPr>
                <w:rFonts w:ascii="Times New Roman" w:hAnsi="Times New Roman"/>
                <w:color w:val="000000"/>
                <w:sz w:val="24"/>
                <w:szCs w:val="24"/>
                <w:lang w:eastAsia="lv-LV"/>
              </w:rPr>
              <w:t>4 750</w:t>
            </w:r>
          </w:p>
        </w:tc>
        <w:tc>
          <w:tcPr>
            <w:tcW w:w="1180" w:type="dxa"/>
            <w:shd w:val="clear" w:color="auto" w:fill="C0C0C0"/>
            <w:tcMar>
              <w:top w:w="0" w:type="dxa"/>
              <w:left w:w="108" w:type="dxa"/>
              <w:bottom w:w="0" w:type="dxa"/>
              <w:right w:w="108" w:type="dxa"/>
            </w:tcMar>
            <w:vAlign w:val="center"/>
            <w:hideMark/>
          </w:tcPr>
          <w:p w14:paraId="5836B01C" w14:textId="77777777" w:rsidR="003A497C" w:rsidRPr="0039735D" w:rsidRDefault="003A497C" w:rsidP="00EB3B24">
            <w:pPr>
              <w:jc w:val="center"/>
              <w:rPr>
                <w:rFonts w:ascii="Times New Roman" w:hAnsi="Times New Roman"/>
                <w:b/>
                <w:bCs/>
                <w:color w:val="000000"/>
                <w:sz w:val="24"/>
                <w:szCs w:val="24"/>
                <w:lang w:eastAsia="lv-LV"/>
              </w:rPr>
            </w:pPr>
            <w:r w:rsidRPr="0039735D">
              <w:rPr>
                <w:rFonts w:ascii="Times New Roman" w:hAnsi="Times New Roman"/>
                <w:b/>
                <w:bCs/>
                <w:color w:val="000000"/>
                <w:sz w:val="24"/>
                <w:szCs w:val="24"/>
                <w:lang w:eastAsia="lv-LV"/>
              </w:rPr>
              <w:t>62 525</w:t>
            </w:r>
          </w:p>
        </w:tc>
      </w:tr>
      <w:tr w:rsidR="003A497C" w:rsidRPr="007F0AFC" w14:paraId="156A62F6" w14:textId="77777777" w:rsidTr="00EB3B24">
        <w:trPr>
          <w:trHeight w:val="310"/>
        </w:trPr>
        <w:tc>
          <w:tcPr>
            <w:tcW w:w="1701" w:type="dxa"/>
            <w:tcMar>
              <w:top w:w="0" w:type="dxa"/>
              <w:left w:w="108" w:type="dxa"/>
              <w:bottom w:w="0" w:type="dxa"/>
              <w:right w:w="108" w:type="dxa"/>
            </w:tcMar>
            <w:vAlign w:val="center"/>
            <w:hideMark/>
          </w:tcPr>
          <w:p w14:paraId="69FB1B5D" w14:textId="77777777" w:rsidR="003A497C" w:rsidRPr="007F0AFC" w:rsidRDefault="003A497C" w:rsidP="00EB3B24">
            <w:pPr>
              <w:jc w:val="center"/>
              <w:rPr>
                <w:rFonts w:ascii="Times New Roman" w:hAnsi="Times New Roman"/>
                <w:b/>
                <w:bCs/>
                <w:color w:val="000000"/>
                <w:sz w:val="24"/>
                <w:szCs w:val="24"/>
                <w:lang w:eastAsia="lv-LV"/>
              </w:rPr>
            </w:pPr>
            <w:r w:rsidRPr="007F0AFC">
              <w:rPr>
                <w:rFonts w:ascii="Times New Roman" w:hAnsi="Times New Roman"/>
                <w:b/>
                <w:bCs/>
                <w:color w:val="000000"/>
                <w:sz w:val="24"/>
                <w:szCs w:val="24"/>
                <w:lang w:eastAsia="lv-LV"/>
              </w:rPr>
              <w:t>2017</w:t>
            </w:r>
          </w:p>
        </w:tc>
        <w:tc>
          <w:tcPr>
            <w:tcW w:w="1536" w:type="dxa"/>
            <w:tcMar>
              <w:top w:w="0" w:type="dxa"/>
              <w:left w:w="108" w:type="dxa"/>
              <w:bottom w:w="0" w:type="dxa"/>
              <w:right w:w="108" w:type="dxa"/>
            </w:tcMar>
            <w:vAlign w:val="center"/>
            <w:hideMark/>
          </w:tcPr>
          <w:p w14:paraId="6155B731" w14:textId="77777777" w:rsidR="003A497C" w:rsidRPr="0039735D" w:rsidRDefault="003A497C" w:rsidP="00EB3B24">
            <w:pPr>
              <w:jc w:val="center"/>
              <w:rPr>
                <w:rFonts w:ascii="Times New Roman" w:hAnsi="Times New Roman"/>
                <w:color w:val="000000"/>
                <w:sz w:val="24"/>
                <w:szCs w:val="24"/>
                <w:lang w:eastAsia="lv-LV"/>
              </w:rPr>
            </w:pPr>
            <w:r w:rsidRPr="0039735D">
              <w:rPr>
                <w:rFonts w:ascii="Times New Roman" w:hAnsi="Times New Roman"/>
                <w:color w:val="000000"/>
                <w:sz w:val="24"/>
                <w:szCs w:val="24"/>
                <w:lang w:eastAsia="lv-LV"/>
              </w:rPr>
              <w:t>28 266</w:t>
            </w:r>
          </w:p>
        </w:tc>
        <w:tc>
          <w:tcPr>
            <w:tcW w:w="1607" w:type="dxa"/>
            <w:tcMar>
              <w:top w:w="0" w:type="dxa"/>
              <w:left w:w="108" w:type="dxa"/>
              <w:bottom w:w="0" w:type="dxa"/>
              <w:right w:w="108" w:type="dxa"/>
            </w:tcMar>
            <w:vAlign w:val="center"/>
            <w:hideMark/>
          </w:tcPr>
          <w:p w14:paraId="3061CF08" w14:textId="77777777" w:rsidR="003A497C" w:rsidRPr="0039735D" w:rsidRDefault="003A497C" w:rsidP="00EB3B24">
            <w:pPr>
              <w:jc w:val="center"/>
              <w:rPr>
                <w:rFonts w:ascii="Times New Roman" w:hAnsi="Times New Roman"/>
                <w:color w:val="000000"/>
                <w:sz w:val="24"/>
                <w:szCs w:val="24"/>
                <w:lang w:eastAsia="lv-LV"/>
              </w:rPr>
            </w:pPr>
            <w:r w:rsidRPr="0039735D">
              <w:rPr>
                <w:rFonts w:ascii="Times New Roman" w:hAnsi="Times New Roman"/>
                <w:color w:val="000000"/>
                <w:sz w:val="24"/>
                <w:szCs w:val="24"/>
                <w:lang w:eastAsia="lv-LV"/>
              </w:rPr>
              <w:t>3 565</w:t>
            </w:r>
          </w:p>
        </w:tc>
        <w:tc>
          <w:tcPr>
            <w:tcW w:w="1535" w:type="dxa"/>
            <w:tcMar>
              <w:top w:w="0" w:type="dxa"/>
              <w:left w:w="108" w:type="dxa"/>
              <w:bottom w:w="0" w:type="dxa"/>
              <w:right w:w="108" w:type="dxa"/>
            </w:tcMar>
            <w:vAlign w:val="center"/>
            <w:hideMark/>
          </w:tcPr>
          <w:p w14:paraId="335045E4" w14:textId="77777777" w:rsidR="003A497C" w:rsidRPr="0039735D" w:rsidRDefault="003A497C" w:rsidP="00EB3B24">
            <w:pPr>
              <w:jc w:val="center"/>
              <w:rPr>
                <w:rFonts w:ascii="Times New Roman" w:hAnsi="Times New Roman"/>
                <w:color w:val="000000"/>
                <w:sz w:val="24"/>
                <w:szCs w:val="24"/>
                <w:lang w:eastAsia="lv-LV"/>
              </w:rPr>
            </w:pPr>
            <w:r w:rsidRPr="0039735D">
              <w:rPr>
                <w:rFonts w:ascii="Times New Roman" w:hAnsi="Times New Roman"/>
                <w:color w:val="000000"/>
                <w:sz w:val="24"/>
                <w:szCs w:val="24"/>
                <w:lang w:eastAsia="lv-LV"/>
              </w:rPr>
              <w:t>5 528</w:t>
            </w:r>
          </w:p>
        </w:tc>
        <w:tc>
          <w:tcPr>
            <w:tcW w:w="1655" w:type="dxa"/>
            <w:tcMar>
              <w:top w:w="0" w:type="dxa"/>
              <w:left w:w="108" w:type="dxa"/>
              <w:bottom w:w="0" w:type="dxa"/>
              <w:right w:w="108" w:type="dxa"/>
            </w:tcMar>
            <w:vAlign w:val="center"/>
            <w:hideMark/>
          </w:tcPr>
          <w:p w14:paraId="29960975" w14:textId="77777777" w:rsidR="003A497C" w:rsidRPr="0039735D" w:rsidRDefault="003A497C" w:rsidP="00EB3B24">
            <w:pPr>
              <w:jc w:val="center"/>
              <w:rPr>
                <w:rFonts w:ascii="Times New Roman" w:hAnsi="Times New Roman"/>
                <w:color w:val="000000"/>
                <w:sz w:val="24"/>
                <w:szCs w:val="24"/>
                <w:lang w:eastAsia="lv-LV"/>
              </w:rPr>
            </w:pPr>
            <w:r w:rsidRPr="0039735D">
              <w:rPr>
                <w:rFonts w:ascii="Times New Roman" w:hAnsi="Times New Roman"/>
                <w:color w:val="000000"/>
                <w:sz w:val="24"/>
                <w:szCs w:val="24"/>
                <w:lang w:eastAsia="lv-LV"/>
              </w:rPr>
              <w:t>2 250</w:t>
            </w:r>
          </w:p>
        </w:tc>
        <w:tc>
          <w:tcPr>
            <w:tcW w:w="1180" w:type="dxa"/>
            <w:tcMar>
              <w:top w:w="0" w:type="dxa"/>
              <w:left w:w="108" w:type="dxa"/>
              <w:bottom w:w="0" w:type="dxa"/>
              <w:right w:w="108" w:type="dxa"/>
            </w:tcMar>
            <w:vAlign w:val="center"/>
            <w:hideMark/>
          </w:tcPr>
          <w:p w14:paraId="7BF587DF" w14:textId="77777777" w:rsidR="003A497C" w:rsidRPr="0039735D" w:rsidRDefault="003A497C" w:rsidP="00EB3B24">
            <w:pPr>
              <w:jc w:val="center"/>
              <w:rPr>
                <w:rFonts w:ascii="Times New Roman" w:hAnsi="Times New Roman"/>
                <w:b/>
                <w:bCs/>
                <w:color w:val="000000"/>
                <w:sz w:val="24"/>
                <w:szCs w:val="24"/>
                <w:lang w:eastAsia="lv-LV"/>
              </w:rPr>
            </w:pPr>
            <w:r w:rsidRPr="0039735D">
              <w:rPr>
                <w:rFonts w:ascii="Times New Roman" w:hAnsi="Times New Roman"/>
                <w:b/>
                <w:bCs/>
                <w:color w:val="000000"/>
                <w:sz w:val="24"/>
                <w:szCs w:val="24"/>
                <w:lang w:eastAsia="lv-LV"/>
              </w:rPr>
              <w:t>39 609</w:t>
            </w:r>
          </w:p>
        </w:tc>
      </w:tr>
      <w:tr w:rsidR="003A497C" w:rsidRPr="007F0AFC" w14:paraId="7C13BFFC" w14:textId="77777777" w:rsidTr="00EB3B24">
        <w:trPr>
          <w:trHeight w:val="310"/>
        </w:trPr>
        <w:tc>
          <w:tcPr>
            <w:tcW w:w="1701" w:type="dxa"/>
            <w:shd w:val="clear" w:color="auto" w:fill="C0C0C0"/>
            <w:tcMar>
              <w:top w:w="0" w:type="dxa"/>
              <w:left w:w="108" w:type="dxa"/>
              <w:bottom w:w="0" w:type="dxa"/>
              <w:right w:w="108" w:type="dxa"/>
            </w:tcMar>
            <w:vAlign w:val="center"/>
            <w:hideMark/>
          </w:tcPr>
          <w:p w14:paraId="2D632F0A" w14:textId="77777777" w:rsidR="003A497C" w:rsidRPr="007F0AFC" w:rsidRDefault="003A497C" w:rsidP="00EB3B24">
            <w:pPr>
              <w:jc w:val="center"/>
              <w:rPr>
                <w:rFonts w:ascii="Times New Roman" w:hAnsi="Times New Roman"/>
                <w:b/>
                <w:bCs/>
                <w:color w:val="000000"/>
                <w:sz w:val="24"/>
                <w:szCs w:val="24"/>
                <w:lang w:eastAsia="lv-LV"/>
              </w:rPr>
            </w:pPr>
            <w:r w:rsidRPr="007F0AFC">
              <w:rPr>
                <w:rFonts w:ascii="Times New Roman" w:hAnsi="Times New Roman"/>
                <w:b/>
                <w:bCs/>
                <w:color w:val="000000"/>
                <w:sz w:val="24"/>
                <w:szCs w:val="24"/>
                <w:lang w:eastAsia="lv-LV"/>
              </w:rPr>
              <w:t>2018</w:t>
            </w:r>
          </w:p>
        </w:tc>
        <w:tc>
          <w:tcPr>
            <w:tcW w:w="1536" w:type="dxa"/>
            <w:shd w:val="clear" w:color="auto" w:fill="C0C0C0"/>
            <w:tcMar>
              <w:top w:w="0" w:type="dxa"/>
              <w:left w:w="108" w:type="dxa"/>
              <w:bottom w:w="0" w:type="dxa"/>
              <w:right w:w="108" w:type="dxa"/>
            </w:tcMar>
            <w:vAlign w:val="center"/>
            <w:hideMark/>
          </w:tcPr>
          <w:p w14:paraId="51106AE6" w14:textId="77777777" w:rsidR="003A497C" w:rsidRPr="0039735D" w:rsidRDefault="003A497C" w:rsidP="00EB3B24">
            <w:pPr>
              <w:jc w:val="center"/>
              <w:rPr>
                <w:rFonts w:ascii="Times New Roman" w:hAnsi="Times New Roman"/>
                <w:color w:val="000000"/>
                <w:sz w:val="24"/>
                <w:szCs w:val="24"/>
                <w:lang w:eastAsia="lv-LV"/>
              </w:rPr>
            </w:pPr>
            <w:r w:rsidRPr="0039735D">
              <w:rPr>
                <w:rFonts w:ascii="Times New Roman" w:hAnsi="Times New Roman"/>
                <w:color w:val="000000"/>
                <w:sz w:val="24"/>
                <w:szCs w:val="24"/>
                <w:lang w:eastAsia="lv-LV"/>
              </w:rPr>
              <w:t>28 220</w:t>
            </w:r>
          </w:p>
        </w:tc>
        <w:tc>
          <w:tcPr>
            <w:tcW w:w="1607" w:type="dxa"/>
            <w:shd w:val="clear" w:color="auto" w:fill="C0C0C0"/>
            <w:tcMar>
              <w:top w:w="0" w:type="dxa"/>
              <w:left w:w="108" w:type="dxa"/>
              <w:bottom w:w="0" w:type="dxa"/>
              <w:right w:w="108" w:type="dxa"/>
            </w:tcMar>
            <w:vAlign w:val="center"/>
            <w:hideMark/>
          </w:tcPr>
          <w:p w14:paraId="7DE1D257" w14:textId="77777777" w:rsidR="003A497C" w:rsidRPr="0039735D" w:rsidRDefault="003A497C" w:rsidP="00EB3B24">
            <w:pPr>
              <w:jc w:val="center"/>
              <w:rPr>
                <w:rFonts w:ascii="Times New Roman" w:hAnsi="Times New Roman"/>
                <w:color w:val="000000"/>
                <w:sz w:val="24"/>
                <w:szCs w:val="24"/>
                <w:lang w:eastAsia="lv-LV"/>
              </w:rPr>
            </w:pPr>
            <w:r w:rsidRPr="0039735D">
              <w:rPr>
                <w:rFonts w:ascii="Times New Roman" w:hAnsi="Times New Roman"/>
                <w:color w:val="000000"/>
                <w:sz w:val="24"/>
                <w:szCs w:val="24"/>
                <w:lang w:eastAsia="lv-LV"/>
              </w:rPr>
              <w:t>625</w:t>
            </w:r>
          </w:p>
        </w:tc>
        <w:tc>
          <w:tcPr>
            <w:tcW w:w="1535" w:type="dxa"/>
            <w:shd w:val="clear" w:color="auto" w:fill="C0C0C0"/>
            <w:tcMar>
              <w:top w:w="0" w:type="dxa"/>
              <w:left w:w="108" w:type="dxa"/>
              <w:bottom w:w="0" w:type="dxa"/>
              <w:right w:w="108" w:type="dxa"/>
            </w:tcMar>
            <w:vAlign w:val="center"/>
            <w:hideMark/>
          </w:tcPr>
          <w:p w14:paraId="5B4F5D2C" w14:textId="77777777" w:rsidR="003A497C" w:rsidRPr="0039735D" w:rsidRDefault="003A497C" w:rsidP="00EB3B24">
            <w:pPr>
              <w:jc w:val="center"/>
              <w:rPr>
                <w:rFonts w:ascii="Times New Roman" w:hAnsi="Times New Roman"/>
                <w:color w:val="000000"/>
                <w:sz w:val="24"/>
                <w:szCs w:val="24"/>
                <w:lang w:eastAsia="lv-LV"/>
              </w:rPr>
            </w:pPr>
            <w:r w:rsidRPr="0039735D">
              <w:rPr>
                <w:rFonts w:ascii="Times New Roman" w:hAnsi="Times New Roman"/>
                <w:color w:val="000000"/>
                <w:sz w:val="24"/>
                <w:szCs w:val="24"/>
                <w:lang w:eastAsia="lv-LV"/>
              </w:rPr>
              <w:t>7 557</w:t>
            </w:r>
          </w:p>
        </w:tc>
        <w:tc>
          <w:tcPr>
            <w:tcW w:w="1655" w:type="dxa"/>
            <w:shd w:val="clear" w:color="auto" w:fill="C0C0C0"/>
            <w:tcMar>
              <w:top w:w="0" w:type="dxa"/>
              <w:left w:w="108" w:type="dxa"/>
              <w:bottom w:w="0" w:type="dxa"/>
              <w:right w:w="108" w:type="dxa"/>
            </w:tcMar>
            <w:vAlign w:val="center"/>
            <w:hideMark/>
          </w:tcPr>
          <w:p w14:paraId="0EB64DB5" w14:textId="77777777" w:rsidR="003A497C" w:rsidRPr="0039735D" w:rsidRDefault="003A497C" w:rsidP="00EB3B24">
            <w:pPr>
              <w:jc w:val="center"/>
              <w:rPr>
                <w:rFonts w:ascii="Times New Roman" w:hAnsi="Times New Roman"/>
                <w:color w:val="000000"/>
                <w:sz w:val="24"/>
                <w:szCs w:val="24"/>
                <w:lang w:eastAsia="lv-LV"/>
              </w:rPr>
            </w:pPr>
            <w:r w:rsidRPr="0039735D">
              <w:rPr>
                <w:rFonts w:ascii="Times New Roman" w:hAnsi="Times New Roman"/>
                <w:color w:val="000000"/>
                <w:sz w:val="24"/>
                <w:szCs w:val="24"/>
                <w:lang w:eastAsia="lv-LV"/>
              </w:rPr>
              <w:t>1 250</w:t>
            </w:r>
          </w:p>
        </w:tc>
        <w:tc>
          <w:tcPr>
            <w:tcW w:w="1180" w:type="dxa"/>
            <w:shd w:val="clear" w:color="auto" w:fill="C0C0C0"/>
            <w:tcMar>
              <w:top w:w="0" w:type="dxa"/>
              <w:left w:w="108" w:type="dxa"/>
              <w:bottom w:w="0" w:type="dxa"/>
              <w:right w:w="108" w:type="dxa"/>
            </w:tcMar>
            <w:vAlign w:val="center"/>
            <w:hideMark/>
          </w:tcPr>
          <w:p w14:paraId="02CFE1BD" w14:textId="77777777" w:rsidR="003A497C" w:rsidRPr="0039735D" w:rsidRDefault="003A497C" w:rsidP="00EB3B24">
            <w:pPr>
              <w:jc w:val="center"/>
              <w:rPr>
                <w:rFonts w:ascii="Times New Roman" w:hAnsi="Times New Roman"/>
                <w:b/>
                <w:bCs/>
                <w:color w:val="000000"/>
                <w:sz w:val="24"/>
                <w:szCs w:val="24"/>
                <w:lang w:eastAsia="lv-LV"/>
              </w:rPr>
            </w:pPr>
            <w:r w:rsidRPr="0039735D">
              <w:rPr>
                <w:rFonts w:ascii="Times New Roman" w:hAnsi="Times New Roman"/>
                <w:b/>
                <w:bCs/>
                <w:color w:val="000000"/>
                <w:sz w:val="24"/>
                <w:szCs w:val="24"/>
                <w:lang w:eastAsia="lv-LV"/>
              </w:rPr>
              <w:t>37 652</w:t>
            </w:r>
          </w:p>
        </w:tc>
      </w:tr>
      <w:tr w:rsidR="003A497C" w:rsidRPr="007F0AFC" w14:paraId="17BD1CB1" w14:textId="77777777" w:rsidTr="00EB3B24">
        <w:trPr>
          <w:trHeight w:val="310"/>
        </w:trPr>
        <w:tc>
          <w:tcPr>
            <w:tcW w:w="1701" w:type="dxa"/>
            <w:tcMar>
              <w:top w:w="0" w:type="dxa"/>
              <w:left w:w="108" w:type="dxa"/>
              <w:bottom w:w="0" w:type="dxa"/>
              <w:right w:w="108" w:type="dxa"/>
            </w:tcMar>
            <w:vAlign w:val="center"/>
            <w:hideMark/>
          </w:tcPr>
          <w:p w14:paraId="1CB92CD3" w14:textId="77777777" w:rsidR="003A497C" w:rsidRPr="007F0AFC" w:rsidRDefault="003A497C" w:rsidP="00EB3B24">
            <w:pPr>
              <w:jc w:val="center"/>
              <w:rPr>
                <w:rFonts w:ascii="Times New Roman" w:hAnsi="Times New Roman"/>
                <w:b/>
                <w:bCs/>
                <w:color w:val="000000"/>
                <w:sz w:val="24"/>
                <w:szCs w:val="24"/>
                <w:lang w:eastAsia="lv-LV"/>
              </w:rPr>
            </w:pPr>
            <w:r w:rsidRPr="007F0AFC">
              <w:rPr>
                <w:rFonts w:ascii="Times New Roman" w:hAnsi="Times New Roman"/>
                <w:b/>
                <w:bCs/>
                <w:color w:val="000000"/>
                <w:sz w:val="24"/>
                <w:szCs w:val="24"/>
                <w:lang w:eastAsia="lv-LV"/>
              </w:rPr>
              <w:t>2019</w:t>
            </w:r>
          </w:p>
        </w:tc>
        <w:tc>
          <w:tcPr>
            <w:tcW w:w="1536" w:type="dxa"/>
            <w:tcMar>
              <w:top w:w="0" w:type="dxa"/>
              <w:left w:w="108" w:type="dxa"/>
              <w:bottom w:w="0" w:type="dxa"/>
              <w:right w:w="108" w:type="dxa"/>
            </w:tcMar>
            <w:vAlign w:val="center"/>
            <w:hideMark/>
          </w:tcPr>
          <w:p w14:paraId="06F95207" w14:textId="77777777" w:rsidR="003A497C" w:rsidRPr="0039735D" w:rsidRDefault="003A497C" w:rsidP="00EB3B24">
            <w:pPr>
              <w:jc w:val="center"/>
              <w:rPr>
                <w:rFonts w:ascii="Times New Roman" w:hAnsi="Times New Roman"/>
                <w:color w:val="000000"/>
                <w:sz w:val="24"/>
                <w:szCs w:val="24"/>
                <w:lang w:eastAsia="lv-LV"/>
              </w:rPr>
            </w:pPr>
            <w:r w:rsidRPr="0039735D">
              <w:rPr>
                <w:rFonts w:ascii="Times New Roman" w:hAnsi="Times New Roman"/>
                <w:color w:val="000000"/>
                <w:sz w:val="24"/>
                <w:szCs w:val="24"/>
                <w:lang w:eastAsia="lv-LV"/>
              </w:rPr>
              <w:t>30 135</w:t>
            </w:r>
          </w:p>
        </w:tc>
        <w:tc>
          <w:tcPr>
            <w:tcW w:w="1607" w:type="dxa"/>
            <w:tcMar>
              <w:top w:w="0" w:type="dxa"/>
              <w:left w:w="108" w:type="dxa"/>
              <w:bottom w:w="0" w:type="dxa"/>
              <w:right w:w="108" w:type="dxa"/>
            </w:tcMar>
            <w:vAlign w:val="center"/>
            <w:hideMark/>
          </w:tcPr>
          <w:p w14:paraId="25CC92F0" w14:textId="77777777" w:rsidR="003A497C" w:rsidRPr="0039735D" w:rsidRDefault="003A497C" w:rsidP="00EB3B24">
            <w:pPr>
              <w:jc w:val="center"/>
              <w:rPr>
                <w:rFonts w:ascii="Times New Roman" w:hAnsi="Times New Roman"/>
                <w:color w:val="000000"/>
                <w:sz w:val="24"/>
                <w:szCs w:val="24"/>
                <w:lang w:eastAsia="lv-LV"/>
              </w:rPr>
            </w:pPr>
            <w:r w:rsidRPr="0039735D">
              <w:rPr>
                <w:rFonts w:ascii="Times New Roman" w:hAnsi="Times New Roman"/>
                <w:color w:val="000000"/>
                <w:sz w:val="24"/>
                <w:szCs w:val="24"/>
                <w:lang w:eastAsia="lv-LV"/>
              </w:rPr>
              <w:t>0</w:t>
            </w:r>
          </w:p>
        </w:tc>
        <w:tc>
          <w:tcPr>
            <w:tcW w:w="1535" w:type="dxa"/>
            <w:tcMar>
              <w:top w:w="0" w:type="dxa"/>
              <w:left w:w="108" w:type="dxa"/>
              <w:bottom w:w="0" w:type="dxa"/>
              <w:right w:w="108" w:type="dxa"/>
            </w:tcMar>
            <w:vAlign w:val="center"/>
            <w:hideMark/>
          </w:tcPr>
          <w:p w14:paraId="342DC419" w14:textId="77777777" w:rsidR="003A497C" w:rsidRPr="0039735D" w:rsidRDefault="003A497C" w:rsidP="00EB3B24">
            <w:pPr>
              <w:jc w:val="center"/>
              <w:rPr>
                <w:rFonts w:ascii="Times New Roman" w:hAnsi="Times New Roman"/>
                <w:color w:val="000000"/>
                <w:sz w:val="24"/>
                <w:szCs w:val="24"/>
                <w:lang w:eastAsia="lv-LV"/>
              </w:rPr>
            </w:pPr>
            <w:r w:rsidRPr="0039735D">
              <w:rPr>
                <w:rFonts w:ascii="Times New Roman" w:hAnsi="Times New Roman"/>
                <w:color w:val="000000"/>
                <w:sz w:val="24"/>
                <w:szCs w:val="24"/>
                <w:lang w:eastAsia="lv-LV"/>
              </w:rPr>
              <w:t>2 255</w:t>
            </w:r>
          </w:p>
        </w:tc>
        <w:tc>
          <w:tcPr>
            <w:tcW w:w="1655" w:type="dxa"/>
            <w:tcMar>
              <w:top w:w="0" w:type="dxa"/>
              <w:left w:w="108" w:type="dxa"/>
              <w:bottom w:w="0" w:type="dxa"/>
              <w:right w:w="108" w:type="dxa"/>
            </w:tcMar>
            <w:vAlign w:val="center"/>
            <w:hideMark/>
          </w:tcPr>
          <w:p w14:paraId="5AC8D4CA" w14:textId="77777777" w:rsidR="003A497C" w:rsidRPr="0039735D" w:rsidRDefault="003A497C" w:rsidP="00EB3B24">
            <w:pPr>
              <w:jc w:val="center"/>
              <w:rPr>
                <w:rFonts w:ascii="Times New Roman" w:hAnsi="Times New Roman"/>
                <w:color w:val="000000"/>
                <w:sz w:val="24"/>
                <w:szCs w:val="24"/>
                <w:lang w:eastAsia="lv-LV"/>
              </w:rPr>
            </w:pPr>
            <w:r w:rsidRPr="0039735D">
              <w:rPr>
                <w:rFonts w:ascii="Times New Roman" w:hAnsi="Times New Roman"/>
                <w:color w:val="000000"/>
                <w:sz w:val="24"/>
                <w:szCs w:val="24"/>
                <w:lang w:eastAsia="lv-LV"/>
              </w:rPr>
              <w:t>750</w:t>
            </w:r>
          </w:p>
        </w:tc>
        <w:tc>
          <w:tcPr>
            <w:tcW w:w="1180" w:type="dxa"/>
            <w:tcMar>
              <w:top w:w="0" w:type="dxa"/>
              <w:left w:w="108" w:type="dxa"/>
              <w:bottom w:w="0" w:type="dxa"/>
              <w:right w:w="108" w:type="dxa"/>
            </w:tcMar>
            <w:vAlign w:val="center"/>
            <w:hideMark/>
          </w:tcPr>
          <w:p w14:paraId="65981DD3" w14:textId="77777777" w:rsidR="003A497C" w:rsidRPr="0039735D" w:rsidRDefault="003A497C" w:rsidP="00EB3B24">
            <w:pPr>
              <w:jc w:val="center"/>
              <w:rPr>
                <w:rFonts w:ascii="Times New Roman" w:hAnsi="Times New Roman"/>
                <w:b/>
                <w:bCs/>
                <w:color w:val="000000"/>
                <w:sz w:val="24"/>
                <w:szCs w:val="24"/>
                <w:lang w:eastAsia="lv-LV"/>
              </w:rPr>
            </w:pPr>
            <w:r w:rsidRPr="0039735D">
              <w:rPr>
                <w:rFonts w:ascii="Times New Roman" w:hAnsi="Times New Roman"/>
                <w:b/>
                <w:bCs/>
                <w:color w:val="000000"/>
                <w:sz w:val="24"/>
                <w:szCs w:val="24"/>
                <w:lang w:eastAsia="lv-LV"/>
              </w:rPr>
              <w:t>33 140</w:t>
            </w:r>
          </w:p>
        </w:tc>
      </w:tr>
      <w:tr w:rsidR="003A497C" w:rsidRPr="007F0AFC" w14:paraId="7F6DB207" w14:textId="77777777" w:rsidTr="00EB3B24">
        <w:trPr>
          <w:trHeight w:val="310"/>
        </w:trPr>
        <w:tc>
          <w:tcPr>
            <w:tcW w:w="1701" w:type="dxa"/>
            <w:shd w:val="clear" w:color="auto" w:fill="C0C0C0"/>
            <w:tcMar>
              <w:top w:w="0" w:type="dxa"/>
              <w:left w:w="108" w:type="dxa"/>
              <w:bottom w:w="0" w:type="dxa"/>
              <w:right w:w="108" w:type="dxa"/>
            </w:tcMar>
            <w:vAlign w:val="center"/>
            <w:hideMark/>
          </w:tcPr>
          <w:p w14:paraId="4D028180" w14:textId="77777777" w:rsidR="003A497C" w:rsidRPr="007F0AFC" w:rsidRDefault="003A497C" w:rsidP="00EB3B24">
            <w:pPr>
              <w:jc w:val="center"/>
              <w:rPr>
                <w:rFonts w:ascii="Times New Roman" w:hAnsi="Times New Roman"/>
                <w:b/>
                <w:bCs/>
                <w:color w:val="000000"/>
                <w:sz w:val="24"/>
                <w:szCs w:val="24"/>
                <w:lang w:eastAsia="lv-LV"/>
              </w:rPr>
            </w:pPr>
            <w:r w:rsidRPr="007F0AFC">
              <w:rPr>
                <w:rFonts w:ascii="Times New Roman" w:hAnsi="Times New Roman"/>
                <w:b/>
                <w:bCs/>
                <w:color w:val="000000"/>
                <w:sz w:val="24"/>
                <w:szCs w:val="24"/>
                <w:lang w:eastAsia="lv-LV"/>
              </w:rPr>
              <w:t>2020</w:t>
            </w:r>
          </w:p>
        </w:tc>
        <w:tc>
          <w:tcPr>
            <w:tcW w:w="1536" w:type="dxa"/>
            <w:shd w:val="clear" w:color="auto" w:fill="C0C0C0"/>
            <w:tcMar>
              <w:top w:w="0" w:type="dxa"/>
              <w:left w:w="108" w:type="dxa"/>
              <w:bottom w:w="0" w:type="dxa"/>
              <w:right w:w="108" w:type="dxa"/>
            </w:tcMar>
            <w:vAlign w:val="center"/>
            <w:hideMark/>
          </w:tcPr>
          <w:p w14:paraId="742EE51D" w14:textId="77777777" w:rsidR="003A497C" w:rsidRPr="0039735D" w:rsidRDefault="003A497C" w:rsidP="00EB3B24">
            <w:pPr>
              <w:jc w:val="center"/>
              <w:rPr>
                <w:rFonts w:ascii="Times New Roman" w:hAnsi="Times New Roman"/>
                <w:color w:val="000000"/>
                <w:sz w:val="24"/>
                <w:szCs w:val="24"/>
                <w:lang w:eastAsia="lv-LV"/>
              </w:rPr>
            </w:pPr>
            <w:r w:rsidRPr="0039735D">
              <w:rPr>
                <w:rFonts w:ascii="Times New Roman" w:hAnsi="Times New Roman"/>
                <w:color w:val="000000"/>
                <w:sz w:val="24"/>
                <w:szCs w:val="24"/>
                <w:lang w:eastAsia="lv-LV"/>
              </w:rPr>
              <w:t>23 801</w:t>
            </w:r>
          </w:p>
        </w:tc>
        <w:tc>
          <w:tcPr>
            <w:tcW w:w="1607" w:type="dxa"/>
            <w:shd w:val="clear" w:color="auto" w:fill="C0C0C0"/>
            <w:tcMar>
              <w:top w:w="0" w:type="dxa"/>
              <w:left w:w="108" w:type="dxa"/>
              <w:bottom w:w="0" w:type="dxa"/>
              <w:right w:w="108" w:type="dxa"/>
            </w:tcMar>
            <w:vAlign w:val="center"/>
            <w:hideMark/>
          </w:tcPr>
          <w:p w14:paraId="46186CAA" w14:textId="77777777" w:rsidR="003A497C" w:rsidRPr="0039735D" w:rsidRDefault="003A497C" w:rsidP="00EB3B24">
            <w:pPr>
              <w:jc w:val="center"/>
              <w:rPr>
                <w:rFonts w:ascii="Times New Roman" w:hAnsi="Times New Roman"/>
                <w:color w:val="000000"/>
                <w:sz w:val="24"/>
                <w:szCs w:val="24"/>
                <w:lang w:eastAsia="lv-LV"/>
              </w:rPr>
            </w:pPr>
            <w:r w:rsidRPr="0039735D">
              <w:rPr>
                <w:rFonts w:ascii="Times New Roman" w:hAnsi="Times New Roman"/>
                <w:color w:val="000000"/>
                <w:sz w:val="24"/>
                <w:szCs w:val="24"/>
                <w:lang w:eastAsia="lv-LV"/>
              </w:rPr>
              <w:t>0</w:t>
            </w:r>
          </w:p>
        </w:tc>
        <w:tc>
          <w:tcPr>
            <w:tcW w:w="1535" w:type="dxa"/>
            <w:shd w:val="clear" w:color="auto" w:fill="BFBFBF" w:themeFill="background1" w:themeFillShade="BF"/>
            <w:tcMar>
              <w:top w:w="0" w:type="dxa"/>
              <w:left w:w="108" w:type="dxa"/>
              <w:bottom w:w="0" w:type="dxa"/>
              <w:right w:w="108" w:type="dxa"/>
            </w:tcMar>
            <w:vAlign w:val="center"/>
            <w:hideMark/>
          </w:tcPr>
          <w:p w14:paraId="320D9B96" w14:textId="77777777" w:rsidR="003A497C" w:rsidRPr="0039735D" w:rsidRDefault="003A497C" w:rsidP="00EB3B24">
            <w:pPr>
              <w:jc w:val="center"/>
              <w:rPr>
                <w:rFonts w:ascii="Times New Roman" w:hAnsi="Times New Roman"/>
                <w:color w:val="000000"/>
                <w:sz w:val="24"/>
                <w:szCs w:val="24"/>
                <w:lang w:eastAsia="lv-LV"/>
              </w:rPr>
            </w:pPr>
            <w:r w:rsidRPr="0039735D">
              <w:rPr>
                <w:rFonts w:ascii="Times New Roman" w:hAnsi="Times New Roman"/>
                <w:color w:val="000000"/>
                <w:sz w:val="24"/>
                <w:szCs w:val="24"/>
                <w:lang w:eastAsia="lv-LV"/>
              </w:rPr>
              <w:t>1 295</w:t>
            </w:r>
          </w:p>
        </w:tc>
        <w:tc>
          <w:tcPr>
            <w:tcW w:w="1655" w:type="dxa"/>
            <w:shd w:val="clear" w:color="auto" w:fill="C0C0C0"/>
            <w:tcMar>
              <w:top w:w="0" w:type="dxa"/>
              <w:left w:w="108" w:type="dxa"/>
              <w:bottom w:w="0" w:type="dxa"/>
              <w:right w:w="108" w:type="dxa"/>
            </w:tcMar>
            <w:vAlign w:val="center"/>
            <w:hideMark/>
          </w:tcPr>
          <w:p w14:paraId="4F169D90" w14:textId="77777777" w:rsidR="003A497C" w:rsidRPr="0039735D" w:rsidRDefault="003A497C" w:rsidP="00EB3B24">
            <w:pPr>
              <w:jc w:val="center"/>
              <w:rPr>
                <w:rFonts w:ascii="Times New Roman" w:hAnsi="Times New Roman"/>
                <w:color w:val="FF0000"/>
                <w:sz w:val="24"/>
                <w:szCs w:val="24"/>
                <w:lang w:eastAsia="lv-LV"/>
              </w:rPr>
            </w:pPr>
            <w:r w:rsidRPr="0039735D">
              <w:rPr>
                <w:rFonts w:ascii="Times New Roman" w:hAnsi="Times New Roman"/>
                <w:sz w:val="24"/>
                <w:szCs w:val="24"/>
                <w:lang w:eastAsia="lv-LV"/>
              </w:rPr>
              <w:t>1 250</w:t>
            </w:r>
          </w:p>
        </w:tc>
        <w:tc>
          <w:tcPr>
            <w:tcW w:w="1180" w:type="dxa"/>
            <w:shd w:val="clear" w:color="auto" w:fill="C0C0C0"/>
            <w:tcMar>
              <w:top w:w="0" w:type="dxa"/>
              <w:left w:w="108" w:type="dxa"/>
              <w:bottom w:w="0" w:type="dxa"/>
              <w:right w:w="108" w:type="dxa"/>
            </w:tcMar>
            <w:vAlign w:val="center"/>
            <w:hideMark/>
          </w:tcPr>
          <w:p w14:paraId="31A76F83" w14:textId="77777777" w:rsidR="003A497C" w:rsidRPr="0039735D" w:rsidRDefault="003A497C" w:rsidP="00EB3B24">
            <w:pPr>
              <w:jc w:val="center"/>
              <w:rPr>
                <w:rFonts w:ascii="Times New Roman" w:hAnsi="Times New Roman"/>
                <w:b/>
                <w:bCs/>
                <w:color w:val="FF0000"/>
                <w:sz w:val="24"/>
                <w:szCs w:val="24"/>
                <w:lang w:eastAsia="lv-LV"/>
              </w:rPr>
            </w:pPr>
            <w:r w:rsidRPr="0039735D">
              <w:rPr>
                <w:rFonts w:ascii="Times New Roman" w:hAnsi="Times New Roman"/>
                <w:b/>
                <w:bCs/>
                <w:sz w:val="24"/>
                <w:szCs w:val="24"/>
                <w:lang w:eastAsia="lv-LV"/>
              </w:rPr>
              <w:t>26 346</w:t>
            </w:r>
          </w:p>
        </w:tc>
      </w:tr>
      <w:tr w:rsidR="003A497C" w:rsidRPr="000B78CF" w14:paraId="2DD74F7B" w14:textId="77777777" w:rsidTr="00EB3B24">
        <w:trPr>
          <w:trHeight w:val="310"/>
        </w:trPr>
        <w:tc>
          <w:tcPr>
            <w:tcW w:w="1701" w:type="dxa"/>
            <w:tcBorders>
              <w:top w:val="nil"/>
              <w:left w:val="nil"/>
              <w:right w:val="nil"/>
            </w:tcBorders>
            <w:tcMar>
              <w:top w:w="0" w:type="dxa"/>
              <w:left w:w="108" w:type="dxa"/>
              <w:bottom w:w="0" w:type="dxa"/>
              <w:right w:w="108" w:type="dxa"/>
            </w:tcMar>
            <w:vAlign w:val="center"/>
            <w:hideMark/>
          </w:tcPr>
          <w:p w14:paraId="2E53B4A6" w14:textId="77777777" w:rsidR="003A497C" w:rsidRPr="000B78CF" w:rsidRDefault="003A497C" w:rsidP="00EB3B24">
            <w:pPr>
              <w:jc w:val="center"/>
              <w:rPr>
                <w:rFonts w:ascii="Times New Roman" w:hAnsi="Times New Roman"/>
                <w:b/>
                <w:bCs/>
                <w:sz w:val="24"/>
                <w:szCs w:val="24"/>
                <w:lang w:eastAsia="lv-LV"/>
              </w:rPr>
            </w:pPr>
            <w:r w:rsidRPr="000B78CF">
              <w:rPr>
                <w:rFonts w:ascii="Times New Roman" w:hAnsi="Times New Roman"/>
                <w:b/>
                <w:bCs/>
                <w:sz w:val="24"/>
                <w:szCs w:val="24"/>
                <w:lang w:eastAsia="lv-LV"/>
              </w:rPr>
              <w:t>2021</w:t>
            </w:r>
          </w:p>
        </w:tc>
        <w:tc>
          <w:tcPr>
            <w:tcW w:w="1536" w:type="dxa"/>
            <w:tcBorders>
              <w:top w:val="nil"/>
              <w:left w:val="nil"/>
              <w:right w:val="nil"/>
            </w:tcBorders>
            <w:tcMar>
              <w:top w:w="0" w:type="dxa"/>
              <w:left w:w="108" w:type="dxa"/>
              <w:bottom w:w="0" w:type="dxa"/>
              <w:right w:w="108" w:type="dxa"/>
            </w:tcMar>
            <w:vAlign w:val="center"/>
            <w:hideMark/>
          </w:tcPr>
          <w:p w14:paraId="5C4612C1" w14:textId="77777777" w:rsidR="003A497C" w:rsidRPr="000B78CF" w:rsidRDefault="003A497C" w:rsidP="00EB3B24">
            <w:pPr>
              <w:jc w:val="center"/>
              <w:rPr>
                <w:rFonts w:ascii="Times New Roman" w:hAnsi="Times New Roman"/>
                <w:sz w:val="24"/>
                <w:szCs w:val="24"/>
                <w:lang w:eastAsia="lv-LV"/>
              </w:rPr>
            </w:pPr>
            <w:r w:rsidRPr="000B78CF">
              <w:rPr>
                <w:rFonts w:ascii="Times New Roman" w:hAnsi="Times New Roman"/>
                <w:sz w:val="24"/>
                <w:szCs w:val="24"/>
                <w:lang w:eastAsia="lv-LV"/>
              </w:rPr>
              <w:t>31 086</w:t>
            </w:r>
          </w:p>
        </w:tc>
        <w:tc>
          <w:tcPr>
            <w:tcW w:w="1607" w:type="dxa"/>
            <w:tcBorders>
              <w:top w:val="nil"/>
              <w:left w:val="nil"/>
              <w:right w:val="nil"/>
            </w:tcBorders>
            <w:tcMar>
              <w:top w:w="0" w:type="dxa"/>
              <w:left w:w="108" w:type="dxa"/>
              <w:bottom w:w="0" w:type="dxa"/>
              <w:right w:w="108" w:type="dxa"/>
            </w:tcMar>
            <w:vAlign w:val="center"/>
            <w:hideMark/>
          </w:tcPr>
          <w:p w14:paraId="074A56C6" w14:textId="77777777" w:rsidR="003A497C" w:rsidRPr="000B78CF" w:rsidRDefault="003A497C" w:rsidP="00EB3B24">
            <w:pPr>
              <w:jc w:val="center"/>
              <w:rPr>
                <w:rFonts w:ascii="Times New Roman" w:hAnsi="Times New Roman"/>
                <w:sz w:val="24"/>
                <w:szCs w:val="24"/>
                <w:lang w:eastAsia="lv-LV"/>
              </w:rPr>
            </w:pPr>
            <w:r w:rsidRPr="000B78CF">
              <w:rPr>
                <w:rFonts w:ascii="Times New Roman" w:hAnsi="Times New Roman"/>
                <w:sz w:val="24"/>
                <w:szCs w:val="24"/>
                <w:lang w:eastAsia="lv-LV"/>
              </w:rPr>
              <w:t>600</w:t>
            </w:r>
          </w:p>
        </w:tc>
        <w:tc>
          <w:tcPr>
            <w:tcW w:w="1535" w:type="dxa"/>
            <w:tcBorders>
              <w:top w:val="nil"/>
              <w:left w:val="nil"/>
              <w:right w:val="nil"/>
            </w:tcBorders>
            <w:tcMar>
              <w:top w:w="0" w:type="dxa"/>
              <w:left w:w="108" w:type="dxa"/>
              <w:bottom w:w="0" w:type="dxa"/>
              <w:right w:w="108" w:type="dxa"/>
            </w:tcMar>
            <w:vAlign w:val="center"/>
            <w:hideMark/>
          </w:tcPr>
          <w:p w14:paraId="49EFA98B" w14:textId="77777777" w:rsidR="003A497C" w:rsidRPr="000B78CF" w:rsidRDefault="003A497C" w:rsidP="00EB3B24">
            <w:pPr>
              <w:jc w:val="center"/>
              <w:rPr>
                <w:rFonts w:ascii="Times New Roman" w:hAnsi="Times New Roman"/>
                <w:sz w:val="24"/>
                <w:szCs w:val="24"/>
                <w:lang w:eastAsia="lv-LV"/>
              </w:rPr>
            </w:pPr>
            <w:r w:rsidRPr="000B78CF">
              <w:rPr>
                <w:rFonts w:ascii="Times New Roman" w:hAnsi="Times New Roman"/>
                <w:sz w:val="24"/>
                <w:szCs w:val="24"/>
                <w:lang w:eastAsia="lv-LV"/>
              </w:rPr>
              <w:t>762</w:t>
            </w:r>
          </w:p>
        </w:tc>
        <w:tc>
          <w:tcPr>
            <w:tcW w:w="1655" w:type="dxa"/>
            <w:tcBorders>
              <w:top w:val="nil"/>
              <w:left w:val="nil"/>
              <w:right w:val="nil"/>
            </w:tcBorders>
            <w:tcMar>
              <w:top w:w="0" w:type="dxa"/>
              <w:left w:w="108" w:type="dxa"/>
              <w:bottom w:w="0" w:type="dxa"/>
              <w:right w:w="108" w:type="dxa"/>
            </w:tcMar>
            <w:vAlign w:val="center"/>
            <w:hideMark/>
          </w:tcPr>
          <w:p w14:paraId="0A481B82" w14:textId="77777777" w:rsidR="003A497C" w:rsidRPr="000B78CF" w:rsidRDefault="003A497C" w:rsidP="00EB3B24">
            <w:pPr>
              <w:jc w:val="center"/>
              <w:rPr>
                <w:rFonts w:ascii="Times New Roman" w:hAnsi="Times New Roman"/>
                <w:sz w:val="24"/>
                <w:szCs w:val="24"/>
                <w:lang w:eastAsia="lv-LV"/>
              </w:rPr>
            </w:pPr>
            <w:r w:rsidRPr="000B78CF">
              <w:rPr>
                <w:rFonts w:ascii="Times New Roman" w:hAnsi="Times New Roman"/>
                <w:sz w:val="24"/>
                <w:szCs w:val="24"/>
                <w:lang w:eastAsia="lv-LV"/>
              </w:rPr>
              <w:t>3 250</w:t>
            </w:r>
          </w:p>
        </w:tc>
        <w:tc>
          <w:tcPr>
            <w:tcW w:w="1180" w:type="dxa"/>
            <w:tcBorders>
              <w:top w:val="nil"/>
              <w:left w:val="nil"/>
              <w:right w:val="nil"/>
            </w:tcBorders>
            <w:tcMar>
              <w:top w:w="0" w:type="dxa"/>
              <w:left w:w="108" w:type="dxa"/>
              <w:bottom w:w="0" w:type="dxa"/>
              <w:right w:w="108" w:type="dxa"/>
            </w:tcMar>
            <w:vAlign w:val="center"/>
            <w:hideMark/>
          </w:tcPr>
          <w:p w14:paraId="0B53EDD2" w14:textId="77777777" w:rsidR="003A497C" w:rsidRPr="000B78CF" w:rsidRDefault="003A497C" w:rsidP="00EB3B24">
            <w:pPr>
              <w:jc w:val="center"/>
              <w:rPr>
                <w:rFonts w:ascii="Times New Roman" w:hAnsi="Times New Roman"/>
                <w:b/>
                <w:bCs/>
                <w:sz w:val="24"/>
                <w:szCs w:val="24"/>
                <w:lang w:eastAsia="lv-LV"/>
              </w:rPr>
            </w:pPr>
            <w:r w:rsidRPr="000B78CF">
              <w:rPr>
                <w:rFonts w:ascii="Times New Roman" w:hAnsi="Times New Roman"/>
                <w:b/>
                <w:bCs/>
                <w:sz w:val="24"/>
                <w:szCs w:val="24"/>
                <w:lang w:eastAsia="lv-LV"/>
              </w:rPr>
              <w:t>35 698</w:t>
            </w:r>
          </w:p>
        </w:tc>
      </w:tr>
      <w:tr w:rsidR="003A497C" w:rsidRPr="000B78CF" w14:paraId="41DF35B1" w14:textId="77777777" w:rsidTr="00EB3B24">
        <w:trPr>
          <w:trHeight w:val="310"/>
        </w:trPr>
        <w:tc>
          <w:tcPr>
            <w:tcW w:w="1701" w:type="dxa"/>
            <w:tcBorders>
              <w:bottom w:val="single" w:sz="12" w:space="0" w:color="auto"/>
            </w:tcBorders>
            <w:shd w:val="clear" w:color="auto" w:fill="C0C0C0"/>
            <w:tcMar>
              <w:top w:w="0" w:type="dxa"/>
              <w:left w:w="108" w:type="dxa"/>
              <w:bottom w:w="0" w:type="dxa"/>
              <w:right w:w="108" w:type="dxa"/>
            </w:tcMar>
            <w:vAlign w:val="center"/>
          </w:tcPr>
          <w:p w14:paraId="3810F262" w14:textId="77777777" w:rsidR="003A497C" w:rsidRPr="000B78CF" w:rsidRDefault="003A497C" w:rsidP="00EB3B24">
            <w:pPr>
              <w:jc w:val="center"/>
              <w:rPr>
                <w:rFonts w:ascii="Times New Roman" w:hAnsi="Times New Roman"/>
                <w:b/>
                <w:bCs/>
                <w:sz w:val="24"/>
                <w:szCs w:val="24"/>
                <w:lang w:eastAsia="lv-LV"/>
              </w:rPr>
            </w:pPr>
            <w:r>
              <w:rPr>
                <w:rFonts w:ascii="Times New Roman" w:hAnsi="Times New Roman"/>
                <w:b/>
                <w:bCs/>
                <w:sz w:val="24"/>
                <w:szCs w:val="24"/>
                <w:lang w:eastAsia="lv-LV"/>
              </w:rPr>
              <w:t>2022</w:t>
            </w:r>
          </w:p>
        </w:tc>
        <w:tc>
          <w:tcPr>
            <w:tcW w:w="1536" w:type="dxa"/>
            <w:shd w:val="clear" w:color="auto" w:fill="C0C0C0"/>
            <w:tcMar>
              <w:top w:w="0" w:type="dxa"/>
              <w:left w:w="108" w:type="dxa"/>
              <w:bottom w:w="0" w:type="dxa"/>
              <w:right w:w="108" w:type="dxa"/>
            </w:tcMar>
            <w:vAlign w:val="center"/>
          </w:tcPr>
          <w:p w14:paraId="7D2F6520" w14:textId="77777777" w:rsidR="003A497C" w:rsidRPr="00846789" w:rsidRDefault="003A497C" w:rsidP="00EB3B24">
            <w:pPr>
              <w:jc w:val="center"/>
              <w:rPr>
                <w:rFonts w:ascii="Times New Roman" w:hAnsi="Times New Roman"/>
                <w:sz w:val="24"/>
                <w:szCs w:val="24"/>
                <w:lang w:eastAsia="lv-LV"/>
              </w:rPr>
            </w:pPr>
            <w:r w:rsidRPr="00846789">
              <w:rPr>
                <w:rFonts w:ascii="Times New Roman" w:hAnsi="Times New Roman"/>
                <w:sz w:val="24"/>
                <w:szCs w:val="24"/>
              </w:rPr>
              <w:t>22 996</w:t>
            </w:r>
          </w:p>
        </w:tc>
        <w:tc>
          <w:tcPr>
            <w:tcW w:w="1607" w:type="dxa"/>
            <w:shd w:val="clear" w:color="auto" w:fill="C0C0C0"/>
            <w:tcMar>
              <w:top w:w="0" w:type="dxa"/>
              <w:left w:w="108" w:type="dxa"/>
              <w:bottom w:w="0" w:type="dxa"/>
              <w:right w:w="108" w:type="dxa"/>
            </w:tcMar>
            <w:vAlign w:val="center"/>
          </w:tcPr>
          <w:p w14:paraId="1E47806D" w14:textId="77777777" w:rsidR="003A497C" w:rsidRPr="00846789" w:rsidRDefault="003A497C" w:rsidP="00EB3B24">
            <w:pPr>
              <w:jc w:val="center"/>
              <w:rPr>
                <w:rFonts w:ascii="Times New Roman" w:hAnsi="Times New Roman"/>
                <w:sz w:val="24"/>
                <w:szCs w:val="24"/>
                <w:lang w:eastAsia="lv-LV"/>
              </w:rPr>
            </w:pPr>
            <w:r w:rsidRPr="00846789">
              <w:rPr>
                <w:rFonts w:ascii="Times New Roman" w:hAnsi="Times New Roman"/>
                <w:sz w:val="24"/>
                <w:szCs w:val="24"/>
              </w:rPr>
              <w:t>0</w:t>
            </w:r>
          </w:p>
        </w:tc>
        <w:tc>
          <w:tcPr>
            <w:tcW w:w="1535" w:type="dxa"/>
            <w:tcBorders>
              <w:bottom w:val="single" w:sz="12" w:space="0" w:color="auto"/>
            </w:tcBorders>
            <w:shd w:val="clear" w:color="auto" w:fill="BFBFBF" w:themeFill="background1" w:themeFillShade="BF"/>
            <w:tcMar>
              <w:top w:w="0" w:type="dxa"/>
              <w:left w:w="108" w:type="dxa"/>
              <w:bottom w:w="0" w:type="dxa"/>
              <w:right w:w="108" w:type="dxa"/>
            </w:tcMar>
            <w:vAlign w:val="center"/>
          </w:tcPr>
          <w:p w14:paraId="38169C8E" w14:textId="77777777" w:rsidR="003A497C" w:rsidRPr="00846789" w:rsidRDefault="003A497C" w:rsidP="00EB3B24">
            <w:pPr>
              <w:jc w:val="center"/>
              <w:rPr>
                <w:rFonts w:ascii="Times New Roman" w:hAnsi="Times New Roman"/>
                <w:sz w:val="24"/>
                <w:szCs w:val="24"/>
                <w:lang w:eastAsia="lv-LV"/>
              </w:rPr>
            </w:pPr>
            <w:r w:rsidRPr="00846789">
              <w:rPr>
                <w:rFonts w:ascii="Times New Roman" w:hAnsi="Times New Roman"/>
                <w:sz w:val="24"/>
                <w:szCs w:val="24"/>
              </w:rPr>
              <w:t>2 080</w:t>
            </w:r>
          </w:p>
        </w:tc>
        <w:tc>
          <w:tcPr>
            <w:tcW w:w="1655" w:type="dxa"/>
            <w:tcBorders>
              <w:bottom w:val="single" w:sz="12" w:space="0" w:color="auto"/>
            </w:tcBorders>
            <w:shd w:val="clear" w:color="auto" w:fill="BFBFBF" w:themeFill="background1" w:themeFillShade="BF"/>
            <w:tcMar>
              <w:top w:w="0" w:type="dxa"/>
              <w:left w:w="108" w:type="dxa"/>
              <w:bottom w:w="0" w:type="dxa"/>
              <w:right w:w="108" w:type="dxa"/>
            </w:tcMar>
            <w:vAlign w:val="center"/>
          </w:tcPr>
          <w:p w14:paraId="5680CDF3" w14:textId="10214508" w:rsidR="003A497C" w:rsidRPr="006F3276" w:rsidRDefault="006F3276" w:rsidP="00EB3B24">
            <w:pPr>
              <w:jc w:val="center"/>
              <w:rPr>
                <w:rFonts w:ascii="Times New Roman" w:hAnsi="Times New Roman"/>
                <w:sz w:val="24"/>
                <w:szCs w:val="24"/>
                <w:lang w:eastAsia="lv-LV"/>
              </w:rPr>
            </w:pPr>
            <w:r w:rsidRPr="006F3276">
              <w:rPr>
                <w:rFonts w:ascii="Times New Roman" w:hAnsi="Times New Roman"/>
                <w:sz w:val="24"/>
                <w:szCs w:val="24"/>
              </w:rPr>
              <w:t xml:space="preserve">1 </w:t>
            </w:r>
            <w:r w:rsidR="003A497C" w:rsidRPr="006F3276">
              <w:rPr>
                <w:rFonts w:ascii="Times New Roman" w:hAnsi="Times New Roman"/>
                <w:sz w:val="24"/>
                <w:szCs w:val="24"/>
              </w:rPr>
              <w:t>500</w:t>
            </w:r>
          </w:p>
        </w:tc>
        <w:tc>
          <w:tcPr>
            <w:tcW w:w="1180" w:type="dxa"/>
            <w:shd w:val="clear" w:color="auto" w:fill="C0C0C0"/>
            <w:tcMar>
              <w:top w:w="0" w:type="dxa"/>
              <w:left w:w="108" w:type="dxa"/>
              <w:bottom w:w="0" w:type="dxa"/>
              <w:right w:w="108" w:type="dxa"/>
            </w:tcMar>
            <w:vAlign w:val="center"/>
          </w:tcPr>
          <w:p w14:paraId="2669BF5E" w14:textId="57A23FD9" w:rsidR="003A497C" w:rsidRPr="006F3276" w:rsidRDefault="006F3276" w:rsidP="006F3276">
            <w:pPr>
              <w:jc w:val="center"/>
              <w:rPr>
                <w:rFonts w:ascii="Times New Roman" w:hAnsi="Times New Roman"/>
                <w:b/>
                <w:bCs/>
                <w:sz w:val="24"/>
                <w:szCs w:val="24"/>
                <w:lang w:eastAsia="lv-LV"/>
              </w:rPr>
            </w:pPr>
            <w:r w:rsidRPr="006F3276">
              <w:rPr>
                <w:rFonts w:ascii="Times New Roman" w:hAnsi="Times New Roman"/>
                <w:b/>
                <w:bCs/>
                <w:sz w:val="24"/>
                <w:szCs w:val="24"/>
              </w:rPr>
              <w:t xml:space="preserve">26 </w:t>
            </w:r>
            <w:r w:rsidR="003A497C" w:rsidRPr="006F3276">
              <w:rPr>
                <w:rFonts w:ascii="Times New Roman" w:hAnsi="Times New Roman"/>
                <w:b/>
                <w:bCs/>
                <w:sz w:val="24"/>
                <w:szCs w:val="24"/>
              </w:rPr>
              <w:t>576</w:t>
            </w:r>
          </w:p>
        </w:tc>
      </w:tr>
      <w:tr w:rsidR="003A497C" w:rsidRPr="000B78CF" w14:paraId="0A6CF261" w14:textId="77777777" w:rsidTr="00EB3B24">
        <w:trPr>
          <w:trHeight w:val="310"/>
        </w:trPr>
        <w:tc>
          <w:tcPr>
            <w:tcW w:w="1701" w:type="dxa"/>
            <w:tcBorders>
              <w:top w:val="single" w:sz="12" w:space="0" w:color="auto"/>
              <w:bottom w:val="single" w:sz="12" w:space="0" w:color="auto"/>
            </w:tcBorders>
            <w:shd w:val="clear" w:color="auto" w:fill="auto"/>
            <w:tcMar>
              <w:top w:w="0" w:type="dxa"/>
              <w:left w:w="108" w:type="dxa"/>
              <w:bottom w:w="0" w:type="dxa"/>
              <w:right w:w="108" w:type="dxa"/>
            </w:tcMar>
            <w:vAlign w:val="center"/>
            <w:hideMark/>
          </w:tcPr>
          <w:p w14:paraId="2B1B9826" w14:textId="77777777" w:rsidR="003A497C" w:rsidRPr="000B78CF" w:rsidRDefault="003A497C" w:rsidP="00EB3B24">
            <w:pPr>
              <w:jc w:val="center"/>
              <w:rPr>
                <w:rFonts w:ascii="Times New Roman" w:hAnsi="Times New Roman"/>
                <w:b/>
                <w:bCs/>
                <w:sz w:val="24"/>
                <w:szCs w:val="24"/>
                <w:lang w:eastAsia="lv-LV"/>
              </w:rPr>
            </w:pPr>
            <w:r w:rsidRPr="000B78CF">
              <w:rPr>
                <w:rFonts w:ascii="Times New Roman" w:hAnsi="Times New Roman"/>
                <w:b/>
                <w:bCs/>
                <w:sz w:val="24"/>
                <w:szCs w:val="24"/>
                <w:lang w:eastAsia="lv-LV"/>
              </w:rPr>
              <w:t>Kopā</w:t>
            </w:r>
          </w:p>
        </w:tc>
        <w:tc>
          <w:tcPr>
            <w:tcW w:w="1536" w:type="dxa"/>
            <w:tcBorders>
              <w:top w:val="single" w:sz="12" w:space="0" w:color="auto"/>
              <w:bottom w:val="single" w:sz="12" w:space="0" w:color="auto"/>
            </w:tcBorders>
            <w:shd w:val="clear" w:color="auto" w:fill="auto"/>
            <w:tcMar>
              <w:top w:w="0" w:type="dxa"/>
              <w:left w:w="108" w:type="dxa"/>
              <w:bottom w:w="0" w:type="dxa"/>
              <w:right w:w="108" w:type="dxa"/>
            </w:tcMar>
            <w:vAlign w:val="center"/>
            <w:hideMark/>
          </w:tcPr>
          <w:p w14:paraId="5CA8C345" w14:textId="77777777" w:rsidR="003A497C" w:rsidRPr="00846789" w:rsidRDefault="003A497C" w:rsidP="00EB3B24">
            <w:pPr>
              <w:jc w:val="center"/>
              <w:rPr>
                <w:rFonts w:ascii="Times New Roman" w:hAnsi="Times New Roman"/>
                <w:b/>
                <w:bCs/>
                <w:sz w:val="24"/>
                <w:szCs w:val="24"/>
                <w:lang w:eastAsia="lv-LV"/>
              </w:rPr>
            </w:pPr>
            <w:r w:rsidRPr="00846789">
              <w:rPr>
                <w:rFonts w:ascii="Times New Roman" w:hAnsi="Times New Roman"/>
                <w:b/>
                <w:bCs/>
                <w:sz w:val="24"/>
                <w:szCs w:val="24"/>
              </w:rPr>
              <w:t>1 343 583</w:t>
            </w:r>
          </w:p>
        </w:tc>
        <w:tc>
          <w:tcPr>
            <w:tcW w:w="1607" w:type="dxa"/>
            <w:tcBorders>
              <w:top w:val="single" w:sz="12" w:space="0" w:color="auto"/>
              <w:bottom w:val="single" w:sz="12" w:space="0" w:color="auto"/>
            </w:tcBorders>
            <w:shd w:val="clear" w:color="auto" w:fill="auto"/>
            <w:tcMar>
              <w:top w:w="0" w:type="dxa"/>
              <w:left w:w="108" w:type="dxa"/>
              <w:bottom w:w="0" w:type="dxa"/>
              <w:right w:w="108" w:type="dxa"/>
            </w:tcMar>
            <w:vAlign w:val="center"/>
            <w:hideMark/>
          </w:tcPr>
          <w:p w14:paraId="51580342" w14:textId="77777777" w:rsidR="003A497C" w:rsidRPr="00846789" w:rsidRDefault="003A497C" w:rsidP="00EB3B24">
            <w:pPr>
              <w:jc w:val="center"/>
              <w:rPr>
                <w:rFonts w:ascii="Times New Roman" w:hAnsi="Times New Roman"/>
                <w:b/>
                <w:bCs/>
                <w:sz w:val="24"/>
                <w:szCs w:val="24"/>
                <w:lang w:eastAsia="lv-LV"/>
              </w:rPr>
            </w:pPr>
            <w:r w:rsidRPr="00846789">
              <w:rPr>
                <w:rFonts w:ascii="Times New Roman" w:hAnsi="Times New Roman"/>
                <w:b/>
                <w:bCs/>
                <w:sz w:val="24"/>
                <w:szCs w:val="24"/>
              </w:rPr>
              <w:t>158 881</w:t>
            </w:r>
          </w:p>
        </w:tc>
        <w:tc>
          <w:tcPr>
            <w:tcW w:w="1535" w:type="dxa"/>
            <w:tcBorders>
              <w:top w:val="single" w:sz="12" w:space="0" w:color="auto"/>
              <w:bottom w:val="single" w:sz="12" w:space="0" w:color="auto"/>
            </w:tcBorders>
            <w:shd w:val="clear" w:color="auto" w:fill="auto"/>
            <w:tcMar>
              <w:top w:w="0" w:type="dxa"/>
              <w:left w:w="108" w:type="dxa"/>
              <w:bottom w:w="0" w:type="dxa"/>
              <w:right w:w="108" w:type="dxa"/>
            </w:tcMar>
            <w:vAlign w:val="center"/>
            <w:hideMark/>
          </w:tcPr>
          <w:p w14:paraId="3881E8F9" w14:textId="77777777" w:rsidR="003A497C" w:rsidRPr="00846789" w:rsidRDefault="003A497C" w:rsidP="00EB3B24">
            <w:pPr>
              <w:jc w:val="center"/>
              <w:rPr>
                <w:rFonts w:ascii="Times New Roman" w:hAnsi="Times New Roman"/>
                <w:b/>
                <w:bCs/>
                <w:sz w:val="24"/>
                <w:szCs w:val="24"/>
                <w:lang w:eastAsia="lv-LV"/>
              </w:rPr>
            </w:pPr>
            <w:r w:rsidRPr="00846789">
              <w:rPr>
                <w:rFonts w:ascii="Times New Roman" w:hAnsi="Times New Roman"/>
                <w:b/>
                <w:bCs/>
                <w:sz w:val="24"/>
                <w:szCs w:val="24"/>
              </w:rPr>
              <w:t>95 513</w:t>
            </w:r>
          </w:p>
        </w:tc>
        <w:tc>
          <w:tcPr>
            <w:tcW w:w="1655" w:type="dxa"/>
            <w:tcBorders>
              <w:top w:val="single" w:sz="12" w:space="0" w:color="auto"/>
              <w:bottom w:val="single" w:sz="12" w:space="0" w:color="auto"/>
            </w:tcBorders>
            <w:shd w:val="clear" w:color="auto" w:fill="auto"/>
            <w:tcMar>
              <w:top w:w="0" w:type="dxa"/>
              <w:left w:w="108" w:type="dxa"/>
              <w:bottom w:w="0" w:type="dxa"/>
              <w:right w:w="108" w:type="dxa"/>
            </w:tcMar>
            <w:vAlign w:val="center"/>
            <w:hideMark/>
          </w:tcPr>
          <w:p w14:paraId="6AD364CF" w14:textId="2E7A374C" w:rsidR="003A497C" w:rsidRPr="006F3276" w:rsidRDefault="006F3276" w:rsidP="00EB3B24">
            <w:pPr>
              <w:jc w:val="center"/>
              <w:rPr>
                <w:rFonts w:ascii="Times New Roman" w:hAnsi="Times New Roman"/>
                <w:b/>
                <w:bCs/>
                <w:sz w:val="24"/>
                <w:szCs w:val="24"/>
                <w:lang w:eastAsia="lv-LV"/>
              </w:rPr>
            </w:pPr>
            <w:r w:rsidRPr="006F3276">
              <w:rPr>
                <w:rFonts w:ascii="Times New Roman" w:hAnsi="Times New Roman"/>
                <w:b/>
                <w:bCs/>
                <w:sz w:val="24"/>
                <w:szCs w:val="24"/>
              </w:rPr>
              <w:t>16</w:t>
            </w:r>
            <w:r w:rsidR="003A497C" w:rsidRPr="006F3276">
              <w:rPr>
                <w:rFonts w:ascii="Times New Roman" w:hAnsi="Times New Roman"/>
                <w:b/>
                <w:bCs/>
                <w:sz w:val="24"/>
                <w:szCs w:val="24"/>
              </w:rPr>
              <w:t xml:space="preserve"> 250</w:t>
            </w:r>
          </w:p>
        </w:tc>
        <w:tc>
          <w:tcPr>
            <w:tcW w:w="1180" w:type="dxa"/>
            <w:tcBorders>
              <w:top w:val="single" w:sz="12" w:space="0" w:color="auto"/>
              <w:bottom w:val="single" w:sz="12" w:space="0" w:color="auto"/>
            </w:tcBorders>
            <w:shd w:val="clear" w:color="auto" w:fill="auto"/>
            <w:tcMar>
              <w:top w:w="0" w:type="dxa"/>
              <w:left w:w="108" w:type="dxa"/>
              <w:bottom w:w="0" w:type="dxa"/>
              <w:right w:w="108" w:type="dxa"/>
            </w:tcMar>
            <w:vAlign w:val="center"/>
            <w:hideMark/>
          </w:tcPr>
          <w:p w14:paraId="4ACF368F" w14:textId="5C557497" w:rsidR="003A497C" w:rsidRPr="006F3276" w:rsidRDefault="006F3276" w:rsidP="00EB3B24">
            <w:pPr>
              <w:jc w:val="center"/>
              <w:rPr>
                <w:rFonts w:ascii="Times New Roman" w:hAnsi="Times New Roman"/>
                <w:b/>
                <w:bCs/>
                <w:sz w:val="24"/>
                <w:szCs w:val="24"/>
                <w:lang w:eastAsia="lv-LV"/>
              </w:rPr>
            </w:pPr>
            <w:r w:rsidRPr="006F3276">
              <w:rPr>
                <w:rFonts w:ascii="Times New Roman" w:hAnsi="Times New Roman"/>
                <w:b/>
                <w:bCs/>
                <w:sz w:val="24"/>
                <w:szCs w:val="24"/>
              </w:rPr>
              <w:t>1 614</w:t>
            </w:r>
            <w:r w:rsidR="003A497C" w:rsidRPr="006F3276">
              <w:rPr>
                <w:rFonts w:ascii="Times New Roman" w:hAnsi="Times New Roman"/>
                <w:b/>
                <w:bCs/>
                <w:sz w:val="24"/>
                <w:szCs w:val="24"/>
              </w:rPr>
              <w:t xml:space="preserve"> 227</w:t>
            </w:r>
          </w:p>
        </w:tc>
      </w:tr>
    </w:tbl>
    <w:p w14:paraId="109B3255" w14:textId="77777777" w:rsidR="003A497C" w:rsidRPr="00C3742D" w:rsidRDefault="003A497C" w:rsidP="003A497C">
      <w:pPr>
        <w:spacing w:after="120"/>
        <w:jc w:val="both"/>
        <w:rPr>
          <w:rFonts w:ascii="Times New Roman" w:hAnsi="Times New Roman"/>
          <w:i/>
        </w:rPr>
      </w:pPr>
      <w:r w:rsidRPr="00C3742D">
        <w:rPr>
          <w:rFonts w:ascii="Times New Roman" w:hAnsi="Times New Roman"/>
          <w:i/>
        </w:rPr>
        <w:t>Avots: PMLP dati</w:t>
      </w:r>
    </w:p>
    <w:p w14:paraId="4FC1D094" w14:textId="44925184" w:rsidR="006F3276" w:rsidRPr="000B2D6C" w:rsidRDefault="006F3276" w:rsidP="006F3276">
      <w:pPr>
        <w:spacing w:after="120"/>
        <w:ind w:firstLine="567"/>
        <w:jc w:val="both"/>
        <w:rPr>
          <w:rFonts w:ascii="Times New Roman" w:hAnsi="Times New Roman"/>
          <w:sz w:val="26"/>
          <w:szCs w:val="26"/>
        </w:rPr>
      </w:pPr>
      <w:r w:rsidRPr="000B2D6C">
        <w:rPr>
          <w:rFonts w:ascii="Times New Roman" w:hAnsi="Times New Roman"/>
          <w:sz w:val="26"/>
          <w:szCs w:val="26"/>
        </w:rPr>
        <w:t>No kopumā investīciju programmas ietvaros ieguldītajiem līdzekļiem no 2010.gada 1.jūlija līdz 202</w:t>
      </w:r>
      <w:r>
        <w:rPr>
          <w:rFonts w:ascii="Times New Roman" w:hAnsi="Times New Roman"/>
          <w:sz w:val="26"/>
          <w:szCs w:val="26"/>
        </w:rPr>
        <w:t>2</w:t>
      </w:r>
      <w:r w:rsidRPr="000B2D6C">
        <w:rPr>
          <w:rFonts w:ascii="Times New Roman" w:hAnsi="Times New Roman"/>
          <w:sz w:val="26"/>
          <w:szCs w:val="26"/>
        </w:rPr>
        <w:t xml:space="preserve">.gada 31.decembrim 83% jeb </w:t>
      </w:r>
      <w:r>
        <w:rPr>
          <w:rFonts w:ascii="Times New Roman" w:hAnsi="Times New Roman"/>
          <w:sz w:val="26"/>
          <w:szCs w:val="26"/>
        </w:rPr>
        <w:t>1,34</w:t>
      </w:r>
      <w:r w:rsidRPr="000B2D6C">
        <w:rPr>
          <w:rFonts w:ascii="Times New Roman" w:hAnsi="Times New Roman"/>
          <w:sz w:val="26"/>
          <w:szCs w:val="26"/>
        </w:rPr>
        <w:t xml:space="preserve"> mljrd. </w:t>
      </w:r>
      <w:r w:rsidRPr="00F37C2B">
        <w:rPr>
          <w:rFonts w:ascii="Times New Roman" w:hAnsi="Times New Roman"/>
          <w:i/>
          <w:iCs/>
          <w:sz w:val="26"/>
          <w:szCs w:val="26"/>
        </w:rPr>
        <w:t xml:space="preserve">euro </w:t>
      </w:r>
      <w:r w:rsidRPr="000B2D6C">
        <w:rPr>
          <w:rFonts w:ascii="Times New Roman" w:hAnsi="Times New Roman"/>
          <w:sz w:val="26"/>
          <w:szCs w:val="26"/>
        </w:rPr>
        <w:t xml:space="preserve">ir saistīti ar darījumiem Latvijas nekustamā īpašuma tirgū. Pēc kopējā apjoma otrie lielākie ieguldījumi, kas uzrādīti TUA saņemšanai, ir ieguldījumi kredītiestāžu pakārtotajās saistībās (10% jeb 158,9 milj. </w:t>
      </w:r>
      <w:r w:rsidRPr="00F37C2B">
        <w:rPr>
          <w:rFonts w:ascii="Times New Roman" w:hAnsi="Times New Roman"/>
          <w:i/>
          <w:iCs/>
          <w:sz w:val="26"/>
          <w:szCs w:val="26"/>
        </w:rPr>
        <w:t>euro</w:t>
      </w:r>
      <w:r w:rsidRPr="000B2D6C">
        <w:rPr>
          <w:rFonts w:ascii="Times New Roman" w:hAnsi="Times New Roman"/>
          <w:sz w:val="26"/>
          <w:szCs w:val="26"/>
        </w:rPr>
        <w:t xml:space="preserve"> no visiem ieguldījumiem), savukārt attiecinātie ieguldījumi kapitālsabiedrību pamatkapitālā veido tikai 6% (jeb </w:t>
      </w:r>
      <w:r>
        <w:rPr>
          <w:rFonts w:ascii="Times New Roman" w:hAnsi="Times New Roman"/>
          <w:sz w:val="26"/>
          <w:szCs w:val="26"/>
        </w:rPr>
        <w:t>95,5</w:t>
      </w:r>
      <w:r w:rsidRPr="000B2D6C">
        <w:rPr>
          <w:rFonts w:ascii="Times New Roman" w:hAnsi="Times New Roman"/>
          <w:sz w:val="26"/>
          <w:szCs w:val="26"/>
        </w:rPr>
        <w:t xml:space="preserve"> milj. </w:t>
      </w:r>
      <w:r w:rsidRPr="00F37C2B">
        <w:rPr>
          <w:rFonts w:ascii="Times New Roman" w:hAnsi="Times New Roman"/>
          <w:i/>
          <w:iCs/>
          <w:sz w:val="26"/>
          <w:szCs w:val="26"/>
        </w:rPr>
        <w:t>euro</w:t>
      </w:r>
      <w:r w:rsidRPr="000B2D6C">
        <w:rPr>
          <w:rFonts w:ascii="Times New Roman" w:hAnsi="Times New Roman"/>
          <w:sz w:val="26"/>
          <w:szCs w:val="26"/>
        </w:rPr>
        <w:t xml:space="preserve">) no </w:t>
      </w:r>
      <w:r w:rsidRPr="000B2D6C">
        <w:rPr>
          <w:rFonts w:ascii="Times New Roman" w:hAnsi="Times New Roman"/>
          <w:sz w:val="26"/>
          <w:szCs w:val="26"/>
        </w:rPr>
        <w:lastRenderedPageBreak/>
        <w:t xml:space="preserve">kopējām veiktajām investīcijām attiecīgajā periodā. Īpašam mērķim noteiktu bezprocentu valsts vērtspapīru iegādē </w:t>
      </w:r>
      <w:r>
        <w:rPr>
          <w:rFonts w:ascii="Times New Roman" w:hAnsi="Times New Roman"/>
          <w:sz w:val="26"/>
          <w:szCs w:val="26"/>
        </w:rPr>
        <w:t>kopš</w:t>
      </w:r>
      <w:r w:rsidRPr="000B2D6C">
        <w:rPr>
          <w:rFonts w:ascii="Times New Roman" w:hAnsi="Times New Roman"/>
          <w:sz w:val="26"/>
          <w:szCs w:val="26"/>
        </w:rPr>
        <w:t xml:space="preserve"> 2015.gada 1.janvāra ieguldīti </w:t>
      </w:r>
      <w:r w:rsidRPr="006F3276">
        <w:rPr>
          <w:rFonts w:ascii="Times New Roman" w:hAnsi="Times New Roman"/>
          <w:sz w:val="26"/>
          <w:szCs w:val="26"/>
        </w:rPr>
        <w:t xml:space="preserve">16,3 milj. </w:t>
      </w:r>
      <w:r w:rsidRPr="00F37C2B">
        <w:rPr>
          <w:rFonts w:ascii="Times New Roman" w:hAnsi="Times New Roman"/>
          <w:i/>
          <w:iCs/>
          <w:sz w:val="26"/>
          <w:szCs w:val="26"/>
        </w:rPr>
        <w:t>euro</w:t>
      </w:r>
      <w:r w:rsidRPr="006F3276">
        <w:rPr>
          <w:rFonts w:ascii="Times New Roman" w:hAnsi="Times New Roman"/>
          <w:sz w:val="26"/>
          <w:szCs w:val="26"/>
        </w:rPr>
        <w:t xml:space="preserve"> j</w:t>
      </w:r>
      <w:r>
        <w:rPr>
          <w:rFonts w:ascii="Times New Roman" w:hAnsi="Times New Roman"/>
          <w:sz w:val="26"/>
          <w:szCs w:val="26"/>
        </w:rPr>
        <w:t xml:space="preserve">eb </w:t>
      </w:r>
      <w:r w:rsidRPr="000B2D6C">
        <w:rPr>
          <w:rFonts w:ascii="Times New Roman" w:hAnsi="Times New Roman"/>
          <w:sz w:val="26"/>
          <w:szCs w:val="26"/>
        </w:rPr>
        <w:t>1% no kopējā investīciju apjoma.</w:t>
      </w:r>
    </w:p>
    <w:p w14:paraId="596BAE28" w14:textId="0FDDBE5F" w:rsidR="006F3276" w:rsidRPr="006F3276" w:rsidRDefault="006F3276" w:rsidP="006F3276">
      <w:pPr>
        <w:spacing w:after="120"/>
        <w:ind w:firstLine="567"/>
        <w:jc w:val="both"/>
        <w:rPr>
          <w:rFonts w:ascii="Times New Roman" w:hAnsi="Times New Roman"/>
          <w:sz w:val="26"/>
          <w:szCs w:val="26"/>
        </w:rPr>
      </w:pPr>
      <w:r w:rsidRPr="000B2D6C">
        <w:rPr>
          <w:rFonts w:ascii="Times New Roman" w:hAnsi="Times New Roman"/>
          <w:sz w:val="26"/>
          <w:szCs w:val="26"/>
        </w:rPr>
        <w:t xml:space="preserve">Vērtējot nerezidentu ieguldījumu dinamiku jāsecina, ka pirmajos četros gados ar TUA saņemšanu saistītie nerezidentu ieguldījumi ik gadu strauji pieauga – vidēji gadā gandrīz par 36%. Savukārt 2015. gadā nerezidentu investīcijas bija piecas reizes zemākā līmenī nekā pirms gada. Arī turpmākajos divos gados tās turpināja strauji samazināties, 2017. gadā sasniedzot 37,6 milj. </w:t>
      </w:r>
      <w:r w:rsidRPr="00F37C2B">
        <w:rPr>
          <w:rFonts w:ascii="Times New Roman" w:hAnsi="Times New Roman"/>
          <w:i/>
          <w:iCs/>
          <w:sz w:val="26"/>
          <w:szCs w:val="26"/>
        </w:rPr>
        <w:t>euro</w:t>
      </w:r>
      <w:r w:rsidRPr="000B2D6C">
        <w:rPr>
          <w:rFonts w:ascii="Times New Roman" w:hAnsi="Times New Roman"/>
          <w:sz w:val="26"/>
          <w:szCs w:val="26"/>
        </w:rPr>
        <w:t xml:space="preserve">, kas ir 11 reizes mazāk kā 2014. </w:t>
      </w:r>
      <w:r w:rsidRPr="006F3276">
        <w:rPr>
          <w:rFonts w:ascii="Times New Roman" w:hAnsi="Times New Roman"/>
          <w:sz w:val="26"/>
          <w:szCs w:val="26"/>
        </w:rPr>
        <w:t>gadā. Savukārt pēdējos piecos gados (2018.-2022. gadā) ar TUA instrumentu vidēji gadā piesaistītais ārvalstu kapitāls ir aptuveni 31,</w:t>
      </w:r>
      <w:r w:rsidR="008B6216">
        <w:rPr>
          <w:rFonts w:ascii="Times New Roman" w:hAnsi="Times New Roman"/>
          <w:sz w:val="26"/>
          <w:szCs w:val="26"/>
        </w:rPr>
        <w:t>9</w:t>
      </w:r>
      <w:r w:rsidR="008B6216" w:rsidRPr="006F3276">
        <w:rPr>
          <w:rFonts w:ascii="Times New Roman" w:hAnsi="Times New Roman"/>
          <w:sz w:val="26"/>
          <w:szCs w:val="26"/>
        </w:rPr>
        <w:t xml:space="preserve"> </w:t>
      </w:r>
      <w:r w:rsidRPr="006F3276">
        <w:rPr>
          <w:rFonts w:ascii="Times New Roman" w:hAnsi="Times New Roman"/>
          <w:sz w:val="26"/>
          <w:szCs w:val="26"/>
        </w:rPr>
        <w:t xml:space="preserve">milj. </w:t>
      </w:r>
      <w:r w:rsidRPr="00F37C2B">
        <w:rPr>
          <w:rFonts w:ascii="Times New Roman" w:hAnsi="Times New Roman"/>
          <w:i/>
          <w:iCs/>
          <w:sz w:val="26"/>
          <w:szCs w:val="26"/>
        </w:rPr>
        <w:t>euro</w:t>
      </w:r>
      <w:r w:rsidRPr="006F3276">
        <w:rPr>
          <w:rFonts w:ascii="Times New Roman" w:hAnsi="Times New Roman"/>
          <w:sz w:val="26"/>
          <w:szCs w:val="26"/>
        </w:rPr>
        <w:t xml:space="preserve"> (ar nenozīmīgām ikgadējām svārstībām).</w:t>
      </w:r>
      <w:bookmarkStart w:id="3" w:name="_Hlk96984352"/>
      <w:r w:rsidRPr="006F3276">
        <w:rPr>
          <w:rFonts w:ascii="Times New Roman" w:hAnsi="Times New Roman"/>
          <w:sz w:val="26"/>
          <w:szCs w:val="26"/>
        </w:rPr>
        <w:t xml:space="preserve"> Tas ir tikai 10,3% no vidēji gadā ārvalstu kapitāla piesaistītām plūsmām izmantojot TUA programmu pirmajos tās darbības gados (no 2011. līdz 2014. gadam).</w:t>
      </w:r>
    </w:p>
    <w:bookmarkEnd w:id="3"/>
    <w:p w14:paraId="1305200E" w14:textId="77777777" w:rsidR="006F3276" w:rsidRDefault="006F3276" w:rsidP="006F3276">
      <w:pPr>
        <w:spacing w:after="120"/>
        <w:ind w:firstLine="567"/>
        <w:jc w:val="both"/>
        <w:rPr>
          <w:rFonts w:ascii="Times New Roman" w:hAnsi="Times New Roman"/>
          <w:sz w:val="26"/>
          <w:szCs w:val="26"/>
        </w:rPr>
      </w:pPr>
      <w:r w:rsidRPr="008B69BB">
        <w:rPr>
          <w:rFonts w:ascii="Times New Roman" w:hAnsi="Times New Roman"/>
          <w:sz w:val="26"/>
          <w:szCs w:val="26"/>
        </w:rPr>
        <w:t>Būtiskais inves</w:t>
      </w:r>
      <w:r w:rsidRPr="00B63E16">
        <w:rPr>
          <w:rFonts w:ascii="Times New Roman" w:hAnsi="Times New Roman"/>
          <w:sz w:val="26"/>
          <w:szCs w:val="26"/>
        </w:rPr>
        <w:t xml:space="preserve">tīciju samazinājums saistīts ar veiktajiem grozījumiem Imigrācijas likumā, kas no 2014.gada 1.janvāra paredzēja ierobežot ieguldītāju skaitu mazajos uzņēmumos, kā arī noteica to, ka tikai tiem ieguldītājiem, kas investējuši 150 000 </w:t>
      </w:r>
      <w:r w:rsidRPr="007557E8">
        <w:rPr>
          <w:rFonts w:ascii="Times New Roman" w:hAnsi="Times New Roman"/>
          <w:i/>
          <w:sz w:val="26"/>
          <w:szCs w:val="26"/>
        </w:rPr>
        <w:t>euro</w:t>
      </w:r>
      <w:r w:rsidRPr="00B63E16">
        <w:rPr>
          <w:rFonts w:ascii="Times New Roman" w:hAnsi="Times New Roman"/>
          <w:sz w:val="26"/>
          <w:szCs w:val="26"/>
        </w:rPr>
        <w:t xml:space="preserve"> kapitālsabiedrībā, kas nodarbina vairāk nekā 50 darbinieku un kuras gada bilance vai apgrozījums pārsniedz 10 milj. </w:t>
      </w:r>
      <w:r w:rsidRPr="007740AB">
        <w:rPr>
          <w:rFonts w:ascii="Times New Roman" w:hAnsi="Times New Roman"/>
          <w:i/>
          <w:sz w:val="26"/>
          <w:szCs w:val="26"/>
        </w:rPr>
        <w:t>euro</w:t>
      </w:r>
      <w:r w:rsidRPr="00B63E16">
        <w:rPr>
          <w:rFonts w:ascii="Times New Roman" w:hAnsi="Times New Roman"/>
          <w:sz w:val="26"/>
          <w:szCs w:val="26"/>
        </w:rPr>
        <w:t>, netiek veikta nodokļu nomaksas pārbaude. 2016.gada jūnijā veiktie grozījumi Imigrācijas likumā paredzēja veikt nodokļu nomaksas pārbaudi arī šādos gadījumos.</w:t>
      </w:r>
    </w:p>
    <w:p w14:paraId="46AB85AA" w14:textId="77777777" w:rsidR="006F3276" w:rsidRPr="006D38AB" w:rsidRDefault="006F3276" w:rsidP="006F3276">
      <w:pPr>
        <w:spacing w:after="120"/>
        <w:ind w:firstLine="567"/>
        <w:jc w:val="both"/>
        <w:rPr>
          <w:rFonts w:ascii="Times New Roman" w:hAnsi="Times New Roman"/>
          <w:sz w:val="26"/>
          <w:szCs w:val="26"/>
        </w:rPr>
      </w:pPr>
      <w:r>
        <w:rPr>
          <w:rFonts w:ascii="Times New Roman" w:hAnsi="Times New Roman"/>
          <w:sz w:val="26"/>
          <w:szCs w:val="26"/>
        </w:rPr>
        <w:t>2014.gadā pieņemtie</w:t>
      </w:r>
      <w:r w:rsidRPr="00226D9D">
        <w:rPr>
          <w:rFonts w:ascii="Times New Roman" w:hAnsi="Times New Roman"/>
          <w:sz w:val="26"/>
          <w:szCs w:val="26"/>
        </w:rPr>
        <w:t xml:space="preserve"> grozījumi Imigrācijas likumā noteica arī papildu iemaksu valsts budžetā - valsts pamatbudžeta programmā </w:t>
      </w:r>
      <w:r>
        <w:rPr>
          <w:rFonts w:ascii="Times New Roman" w:hAnsi="Times New Roman"/>
          <w:sz w:val="26"/>
          <w:szCs w:val="26"/>
        </w:rPr>
        <w:t>“</w:t>
      </w:r>
      <w:r w:rsidRPr="00226D9D">
        <w:rPr>
          <w:rFonts w:ascii="Times New Roman" w:hAnsi="Times New Roman"/>
          <w:sz w:val="26"/>
          <w:szCs w:val="26"/>
        </w:rPr>
        <w:t>Ekonomikas attīstības programma</w:t>
      </w:r>
      <w:r>
        <w:rPr>
          <w:rFonts w:ascii="Times New Roman" w:hAnsi="Times New Roman"/>
          <w:sz w:val="26"/>
          <w:szCs w:val="26"/>
        </w:rPr>
        <w:t>”</w:t>
      </w:r>
      <w:r w:rsidRPr="00226D9D">
        <w:rPr>
          <w:rFonts w:ascii="Times New Roman" w:hAnsi="Times New Roman"/>
          <w:sz w:val="26"/>
          <w:szCs w:val="26"/>
        </w:rPr>
        <w:t xml:space="preserve"> un paaugstināja TUA piešķiršanai nepieciešamo ieguldījumu summas apmēru investīcijām nekustamajā īpašumā. Saskaņā ar šiem grozījumiem, nekustamā īpašuma iegādes darījuma summa, lai ārvalstnieks varētu pretendēt uz TUA, tika paaugstināta līdz 250 000 </w:t>
      </w:r>
      <w:r w:rsidRPr="00226D9D">
        <w:rPr>
          <w:rFonts w:ascii="Times New Roman" w:hAnsi="Times New Roman"/>
          <w:i/>
          <w:sz w:val="26"/>
          <w:szCs w:val="26"/>
        </w:rPr>
        <w:t>euro</w:t>
      </w:r>
      <w:r w:rsidRPr="00226D9D">
        <w:rPr>
          <w:rFonts w:ascii="Times New Roman" w:hAnsi="Times New Roman"/>
          <w:sz w:val="26"/>
          <w:szCs w:val="26"/>
        </w:rPr>
        <w:t xml:space="preserve"> visā Latvijas teritorijā (iepriekš ārpus Rīgas plānošanas reģiona vai republikas pilsētām – 71 150 </w:t>
      </w:r>
      <w:r w:rsidRPr="00226D9D">
        <w:rPr>
          <w:rFonts w:ascii="Times New Roman" w:hAnsi="Times New Roman"/>
          <w:i/>
          <w:sz w:val="26"/>
          <w:szCs w:val="26"/>
        </w:rPr>
        <w:t>euro</w:t>
      </w:r>
      <w:r w:rsidRPr="00226D9D">
        <w:rPr>
          <w:rFonts w:ascii="Times New Roman" w:hAnsi="Times New Roman"/>
          <w:sz w:val="26"/>
          <w:szCs w:val="26"/>
        </w:rPr>
        <w:t xml:space="preserve">, savukārt, Rīgas plānošanas reģionā un republikas nozīmes pilsētās – 142 300 </w:t>
      </w:r>
      <w:r w:rsidRPr="00226D9D">
        <w:rPr>
          <w:rFonts w:ascii="Times New Roman" w:hAnsi="Times New Roman"/>
          <w:i/>
          <w:sz w:val="26"/>
          <w:szCs w:val="26"/>
        </w:rPr>
        <w:t>euro</w:t>
      </w:r>
      <w:r w:rsidRPr="00226D9D">
        <w:rPr>
          <w:rFonts w:ascii="Times New Roman" w:hAnsi="Times New Roman"/>
          <w:sz w:val="26"/>
          <w:szCs w:val="26"/>
        </w:rPr>
        <w:t xml:space="preserve">). </w:t>
      </w:r>
    </w:p>
    <w:p w14:paraId="0E33C73F" w14:textId="77777777" w:rsidR="0088300F" w:rsidRPr="006F3276" w:rsidRDefault="0088300F" w:rsidP="00593F91">
      <w:pPr>
        <w:spacing w:before="120" w:after="120"/>
        <w:jc w:val="right"/>
        <w:rPr>
          <w:rFonts w:ascii="Times New Roman" w:hAnsi="Times New Roman"/>
          <w:sz w:val="24"/>
          <w:szCs w:val="24"/>
        </w:rPr>
      </w:pPr>
      <w:r w:rsidRPr="006F3276">
        <w:rPr>
          <w:rFonts w:ascii="Times New Roman" w:hAnsi="Times New Roman"/>
          <w:sz w:val="24"/>
          <w:szCs w:val="24"/>
        </w:rPr>
        <w:t>1.attēls</w:t>
      </w:r>
    </w:p>
    <w:p w14:paraId="736F628C" w14:textId="77777777" w:rsidR="0088300F" w:rsidRPr="006F3276" w:rsidRDefault="0088300F" w:rsidP="0088300F">
      <w:pPr>
        <w:spacing w:after="120"/>
        <w:jc w:val="center"/>
        <w:rPr>
          <w:rFonts w:ascii="Times New Roman" w:hAnsi="Times New Roman"/>
          <w:b/>
          <w:sz w:val="24"/>
          <w:szCs w:val="24"/>
        </w:rPr>
      </w:pPr>
      <w:r w:rsidRPr="006F3276">
        <w:rPr>
          <w:rFonts w:ascii="Times New Roman" w:hAnsi="Times New Roman"/>
          <w:b/>
          <w:sz w:val="24"/>
          <w:szCs w:val="24"/>
        </w:rPr>
        <w:t>TUA pieteikumu (investoru) skaits pēc ieguldījuma veida sadalījumā pa gadiem</w:t>
      </w:r>
    </w:p>
    <w:p w14:paraId="13248A93" w14:textId="77777777" w:rsidR="0088300F" w:rsidRPr="007320CD" w:rsidRDefault="0088300F" w:rsidP="0088300F">
      <w:pPr>
        <w:spacing w:after="120"/>
        <w:jc w:val="center"/>
        <w:rPr>
          <w:rFonts w:ascii="Times New Roman" w:hAnsi="Times New Roman"/>
          <w:b/>
          <w:sz w:val="24"/>
          <w:szCs w:val="24"/>
          <w:highlight w:val="yellow"/>
        </w:rPr>
      </w:pPr>
      <w:r w:rsidRPr="007320CD">
        <w:rPr>
          <w:rFonts w:ascii="Times New Roman" w:hAnsi="Times New Roman"/>
          <w:b/>
          <w:noProof/>
          <w:sz w:val="24"/>
          <w:szCs w:val="24"/>
          <w:highlight w:val="yellow"/>
          <w:lang w:eastAsia="lv-LV"/>
        </w:rPr>
        <w:drawing>
          <wp:inline distT="0" distB="0" distL="0" distR="0" wp14:anchorId="07133292" wp14:editId="62ECC1FD">
            <wp:extent cx="5629275" cy="2524125"/>
            <wp:effectExtent l="0" t="0" r="9525" b="9525"/>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7BE4EAA9" w14:textId="77777777" w:rsidR="0088300F" w:rsidRPr="006F3276" w:rsidRDefault="0088300F" w:rsidP="0088300F">
      <w:pPr>
        <w:ind w:firstLine="567"/>
        <w:jc w:val="both"/>
        <w:rPr>
          <w:rFonts w:ascii="Times New Roman" w:hAnsi="Times New Roman"/>
          <w:i/>
        </w:rPr>
      </w:pPr>
      <w:r w:rsidRPr="006F3276">
        <w:rPr>
          <w:rFonts w:ascii="Times New Roman" w:hAnsi="Times New Roman"/>
          <w:i/>
        </w:rPr>
        <w:t>Avots: PMLP dati</w:t>
      </w:r>
    </w:p>
    <w:p w14:paraId="2BA6921D" w14:textId="77777777" w:rsidR="0088300F" w:rsidRPr="007320CD" w:rsidRDefault="0088300F" w:rsidP="0088300F">
      <w:pPr>
        <w:jc w:val="both"/>
        <w:rPr>
          <w:rFonts w:ascii="Times New Roman" w:hAnsi="Times New Roman"/>
          <w:sz w:val="26"/>
          <w:szCs w:val="26"/>
          <w:highlight w:val="yellow"/>
        </w:rPr>
      </w:pPr>
    </w:p>
    <w:p w14:paraId="74EC9553" w14:textId="53955EF4" w:rsidR="00593F91" w:rsidRPr="00130520" w:rsidRDefault="00593F91" w:rsidP="00593F91">
      <w:pPr>
        <w:spacing w:after="120"/>
        <w:ind w:firstLine="567"/>
        <w:jc w:val="both"/>
        <w:rPr>
          <w:rFonts w:ascii="Times New Roman" w:hAnsi="Times New Roman"/>
          <w:sz w:val="26"/>
          <w:szCs w:val="26"/>
        </w:rPr>
      </w:pPr>
      <w:r w:rsidRPr="00130520">
        <w:rPr>
          <w:rFonts w:ascii="Times New Roman" w:hAnsi="Times New Roman"/>
          <w:sz w:val="26"/>
          <w:szCs w:val="26"/>
        </w:rPr>
        <w:lastRenderedPageBreak/>
        <w:t xml:space="preserve">Straujās Covid-19 </w:t>
      </w:r>
      <w:r w:rsidR="008B69BB" w:rsidRPr="00130520">
        <w:rPr>
          <w:rFonts w:ascii="Times New Roman" w:hAnsi="Times New Roman"/>
          <w:sz w:val="26"/>
          <w:szCs w:val="26"/>
        </w:rPr>
        <w:t xml:space="preserve">infekcijas </w:t>
      </w:r>
      <w:r w:rsidRPr="00130520">
        <w:rPr>
          <w:rFonts w:ascii="Times New Roman" w:hAnsi="Times New Roman"/>
          <w:sz w:val="26"/>
          <w:szCs w:val="26"/>
        </w:rPr>
        <w:t>izplatības dēļ Pasaules Veselības organizācija 2020.gada 11.martā paziņoja, ka Covid-19 izplatība sasniegusi globālas pandēmijas apmērus. Lai ierobežotu Covid-19 vīrusa izplatību Latvijā, valdība 12.martā izsludināja ārkārtējo situāciju, kas tika pagarināta līdz 10.jūnijam. 2020.gada 6.novembrī tika pieņemts atkārtots lēmums par ārkārtējās situācijas izsludināšanu. Gan Eiropas Savienības, gan nacionālā līmenī no 2020.gada marta tika būtiski ierobežota personu kustība pār Šengenas līguma valstu ārējām robežām, šo iespēju nodrošinot tikai būtiskākajām ieceļotāju kategorijām. Vienlaikus citi ieviestie ierobežojumi izraisīja saimnieciskās darbības apsīkumu un uzņēmumu dīkstāvi, neradot iespēju un nepiec</w:t>
      </w:r>
      <w:r w:rsidR="005808FB" w:rsidRPr="00130520">
        <w:rPr>
          <w:rFonts w:ascii="Times New Roman" w:hAnsi="Times New Roman"/>
          <w:sz w:val="26"/>
          <w:szCs w:val="26"/>
        </w:rPr>
        <w:t>iešamību paplašināt to darbību, tomēr jāatzīmē, ka 2021.gadā saņemtais pieteikumu skaits vairāk nekā divas reizes pārsniedz</w:t>
      </w:r>
      <w:r w:rsidR="006F3276" w:rsidRPr="00130520">
        <w:rPr>
          <w:rFonts w:ascii="Times New Roman" w:hAnsi="Times New Roman"/>
          <w:sz w:val="26"/>
          <w:szCs w:val="26"/>
        </w:rPr>
        <w:t>a</w:t>
      </w:r>
      <w:r w:rsidR="005808FB" w:rsidRPr="00130520">
        <w:rPr>
          <w:rFonts w:ascii="Times New Roman" w:hAnsi="Times New Roman"/>
          <w:sz w:val="26"/>
          <w:szCs w:val="26"/>
        </w:rPr>
        <w:t xml:space="preserve"> 2020</w:t>
      </w:r>
      <w:r w:rsidR="00130520">
        <w:rPr>
          <w:rFonts w:ascii="Times New Roman" w:hAnsi="Times New Roman"/>
          <w:sz w:val="26"/>
          <w:szCs w:val="26"/>
        </w:rPr>
        <w:t>.gadā saņemto pieteikumu skaitu</w:t>
      </w:r>
      <w:r w:rsidR="005808FB" w:rsidRPr="00130520">
        <w:rPr>
          <w:rFonts w:ascii="Times New Roman" w:hAnsi="Times New Roman"/>
          <w:sz w:val="26"/>
          <w:szCs w:val="26"/>
        </w:rPr>
        <w:t xml:space="preserve"> un </w:t>
      </w:r>
      <w:r w:rsidR="006F3276" w:rsidRPr="00130520">
        <w:rPr>
          <w:rFonts w:ascii="Times New Roman" w:hAnsi="Times New Roman"/>
          <w:sz w:val="26"/>
          <w:szCs w:val="26"/>
        </w:rPr>
        <w:t>bija</w:t>
      </w:r>
      <w:r w:rsidR="005808FB" w:rsidRPr="00130520">
        <w:rPr>
          <w:rFonts w:ascii="Times New Roman" w:hAnsi="Times New Roman"/>
          <w:sz w:val="26"/>
          <w:szCs w:val="26"/>
        </w:rPr>
        <w:t xml:space="preserve"> lielākais kopš 2016.gada. </w:t>
      </w:r>
      <w:r w:rsidR="00130520" w:rsidRPr="00130520">
        <w:rPr>
          <w:rFonts w:ascii="Times New Roman" w:hAnsi="Times New Roman"/>
          <w:sz w:val="26"/>
          <w:szCs w:val="26"/>
        </w:rPr>
        <w:t>2022. gadā situāciju galvenokārt ietekmēja Krievijas Federācijas izraisītais bruņotais konflikts Ukrain</w:t>
      </w:r>
      <w:r w:rsidR="00130520">
        <w:rPr>
          <w:rFonts w:ascii="Times New Roman" w:hAnsi="Times New Roman"/>
          <w:sz w:val="26"/>
          <w:szCs w:val="26"/>
        </w:rPr>
        <w:t xml:space="preserve">ā, uz kuru reaģējot, </w:t>
      </w:r>
      <w:r w:rsidR="00130520" w:rsidRPr="00130520">
        <w:rPr>
          <w:rFonts w:ascii="Times New Roman" w:hAnsi="Times New Roman"/>
          <w:sz w:val="26"/>
          <w:szCs w:val="26"/>
        </w:rPr>
        <w:t>kā arī, lai stiprinātu valsts iekšējo drošību, 2022. gadā tika veikti grozījumi Imigrācijas likumā, būtiski ierobežojot Krievijas Federācijas un Baltkrievijas Republikas pilsoņu tiesības pieprasīt un saņemt TUA (paredzēts to atļaut tikai īpašos gadījumos).</w:t>
      </w:r>
    </w:p>
    <w:p w14:paraId="2E2DD381" w14:textId="57C2C75B" w:rsidR="00857D63" w:rsidRPr="00130520" w:rsidRDefault="00D52E97" w:rsidP="00593F91">
      <w:pPr>
        <w:ind w:firstLine="567"/>
        <w:jc w:val="both"/>
        <w:rPr>
          <w:rFonts w:ascii="Times New Roman" w:hAnsi="Times New Roman"/>
          <w:sz w:val="26"/>
          <w:szCs w:val="26"/>
          <w:lang w:eastAsia="lv-LV"/>
        </w:rPr>
      </w:pPr>
      <w:r w:rsidRPr="00130520">
        <w:rPr>
          <w:rFonts w:ascii="Times New Roman" w:hAnsi="Times New Roman"/>
          <w:sz w:val="26"/>
          <w:szCs w:val="26"/>
          <w:lang w:eastAsia="lv-LV"/>
        </w:rPr>
        <w:t>A</w:t>
      </w:r>
      <w:r w:rsidR="00AB3AEF" w:rsidRPr="00130520">
        <w:rPr>
          <w:rFonts w:ascii="Times New Roman" w:hAnsi="Times New Roman"/>
          <w:sz w:val="26"/>
          <w:szCs w:val="26"/>
          <w:lang w:eastAsia="lv-LV"/>
        </w:rPr>
        <w:t>plūkojot</w:t>
      </w:r>
      <w:r w:rsidR="00034C68" w:rsidRPr="00130520">
        <w:rPr>
          <w:rFonts w:ascii="Times New Roman" w:hAnsi="Times New Roman"/>
          <w:sz w:val="26"/>
          <w:szCs w:val="26"/>
          <w:lang w:eastAsia="lv-LV"/>
        </w:rPr>
        <w:t xml:space="preserve"> </w:t>
      </w:r>
      <w:r w:rsidR="00AB3AEF" w:rsidRPr="00130520">
        <w:rPr>
          <w:rFonts w:ascii="Times New Roman" w:hAnsi="Times New Roman"/>
          <w:sz w:val="26"/>
          <w:szCs w:val="26"/>
          <w:lang w:eastAsia="lv-LV"/>
        </w:rPr>
        <w:t>statistiku par TU</w:t>
      </w:r>
      <w:r w:rsidR="00CB2A3D" w:rsidRPr="00130520">
        <w:rPr>
          <w:rFonts w:ascii="Times New Roman" w:hAnsi="Times New Roman"/>
          <w:sz w:val="26"/>
          <w:szCs w:val="26"/>
          <w:lang w:eastAsia="lv-LV"/>
        </w:rPr>
        <w:t>A pieteicēju izcelsmes valstīm</w:t>
      </w:r>
      <w:r w:rsidRPr="00130520">
        <w:rPr>
          <w:rFonts w:ascii="Times New Roman" w:hAnsi="Times New Roman"/>
          <w:sz w:val="26"/>
          <w:szCs w:val="26"/>
          <w:lang w:eastAsia="lv-LV"/>
        </w:rPr>
        <w:t xml:space="preserve">, var secināt, ka TUA pieprasījuši </w:t>
      </w:r>
      <w:r w:rsidR="00130520" w:rsidRPr="00130520">
        <w:rPr>
          <w:rFonts w:ascii="Times New Roman" w:hAnsi="Times New Roman"/>
          <w:sz w:val="26"/>
          <w:szCs w:val="26"/>
          <w:lang w:eastAsia="lv-LV"/>
        </w:rPr>
        <w:t>vairāk nekā</w:t>
      </w:r>
      <w:r w:rsidR="0002365E" w:rsidRPr="00130520">
        <w:rPr>
          <w:rFonts w:ascii="Times New Roman" w:hAnsi="Times New Roman"/>
          <w:sz w:val="26"/>
          <w:szCs w:val="26"/>
          <w:lang w:eastAsia="lv-LV"/>
        </w:rPr>
        <w:t xml:space="preserve"> 7</w:t>
      </w:r>
      <w:r w:rsidRPr="00130520">
        <w:rPr>
          <w:rFonts w:ascii="Times New Roman" w:hAnsi="Times New Roman"/>
          <w:sz w:val="26"/>
          <w:szCs w:val="26"/>
          <w:lang w:eastAsia="lv-LV"/>
        </w:rPr>
        <w:t>0 valstu pilsoņi</w:t>
      </w:r>
      <w:r w:rsidR="000E4D26" w:rsidRPr="00130520">
        <w:rPr>
          <w:rFonts w:ascii="Times New Roman" w:hAnsi="Times New Roman"/>
          <w:sz w:val="26"/>
          <w:szCs w:val="26"/>
          <w:lang w:eastAsia="lv-LV"/>
        </w:rPr>
        <w:t>.</w:t>
      </w:r>
      <w:r w:rsidR="00C94844" w:rsidRPr="00130520">
        <w:rPr>
          <w:rFonts w:ascii="Times New Roman" w:hAnsi="Times New Roman"/>
          <w:sz w:val="26"/>
          <w:szCs w:val="26"/>
          <w:lang w:eastAsia="lv-LV"/>
        </w:rPr>
        <w:t xml:space="preserve"> Vislielākais ir </w:t>
      </w:r>
      <w:r w:rsidR="000E4D26" w:rsidRPr="00130520">
        <w:rPr>
          <w:rFonts w:ascii="Times New Roman" w:hAnsi="Times New Roman"/>
          <w:sz w:val="26"/>
          <w:szCs w:val="26"/>
          <w:lang w:eastAsia="lv-LV"/>
        </w:rPr>
        <w:t xml:space="preserve">Krievijas Federācijas pilsoņu īpatsvars </w:t>
      </w:r>
      <w:r w:rsidR="00C94844" w:rsidRPr="00130520">
        <w:rPr>
          <w:rFonts w:ascii="Times New Roman" w:hAnsi="Times New Roman"/>
          <w:sz w:val="26"/>
          <w:szCs w:val="26"/>
          <w:lang w:eastAsia="lv-LV"/>
        </w:rPr>
        <w:t xml:space="preserve">– 66%. </w:t>
      </w:r>
      <w:r w:rsidR="00720A55" w:rsidRPr="00130520">
        <w:rPr>
          <w:rFonts w:ascii="Times New Roman" w:hAnsi="Times New Roman"/>
          <w:sz w:val="26"/>
          <w:szCs w:val="26"/>
          <w:lang w:eastAsia="lv-LV"/>
        </w:rPr>
        <w:t xml:space="preserve">Nevienas citas valsts pilsoņu pieteikumi nepārsniedz 10% īpatsvaru, lielākais īpatsvars </w:t>
      </w:r>
      <w:r w:rsidR="00E91411" w:rsidRPr="00130520">
        <w:rPr>
          <w:rFonts w:ascii="Times New Roman" w:hAnsi="Times New Roman"/>
          <w:sz w:val="26"/>
          <w:szCs w:val="26"/>
          <w:lang w:eastAsia="lv-LV"/>
        </w:rPr>
        <w:t xml:space="preserve">pārējo valstu pilsoņu vidū </w:t>
      </w:r>
      <w:r w:rsidR="00720A55" w:rsidRPr="00130520">
        <w:rPr>
          <w:rFonts w:ascii="Times New Roman" w:hAnsi="Times New Roman"/>
          <w:sz w:val="26"/>
          <w:szCs w:val="26"/>
          <w:lang w:eastAsia="lv-LV"/>
        </w:rPr>
        <w:t>– 8% - ir saņemti no Ķīnas pilsoņiem, 7% - no Ukrainas pilsoņiem.</w:t>
      </w:r>
    </w:p>
    <w:p w14:paraId="2F17C0F3" w14:textId="4D2D9423" w:rsidR="00AB3AEF" w:rsidRPr="00130520" w:rsidRDefault="00321A34" w:rsidP="00593F91">
      <w:pPr>
        <w:spacing w:before="120" w:after="120"/>
        <w:ind w:firstLine="567"/>
        <w:jc w:val="right"/>
        <w:rPr>
          <w:rFonts w:ascii="Times New Roman" w:hAnsi="Times New Roman"/>
          <w:sz w:val="24"/>
          <w:szCs w:val="24"/>
        </w:rPr>
      </w:pPr>
      <w:r w:rsidRPr="00130520">
        <w:rPr>
          <w:rFonts w:ascii="Times New Roman" w:hAnsi="Times New Roman"/>
          <w:sz w:val="24"/>
          <w:szCs w:val="24"/>
        </w:rPr>
        <w:t>2</w:t>
      </w:r>
      <w:r w:rsidR="00AB3AEF" w:rsidRPr="00130520">
        <w:rPr>
          <w:rFonts w:ascii="Times New Roman" w:hAnsi="Times New Roman"/>
          <w:sz w:val="24"/>
          <w:szCs w:val="24"/>
        </w:rPr>
        <w:t>.attēls</w:t>
      </w:r>
    </w:p>
    <w:p w14:paraId="3D51EFE3" w14:textId="77777777" w:rsidR="00AB3AEF" w:rsidRPr="00130520" w:rsidRDefault="00AB3AEF" w:rsidP="004D4660">
      <w:pPr>
        <w:jc w:val="center"/>
        <w:rPr>
          <w:rFonts w:ascii="Times New Roman" w:hAnsi="Times New Roman"/>
          <w:b/>
          <w:sz w:val="24"/>
          <w:szCs w:val="24"/>
        </w:rPr>
      </w:pPr>
      <w:r w:rsidRPr="00130520">
        <w:rPr>
          <w:rFonts w:ascii="Times New Roman" w:hAnsi="Times New Roman"/>
          <w:b/>
          <w:sz w:val="24"/>
          <w:szCs w:val="24"/>
        </w:rPr>
        <w:t>Ārvalstu investoru (TUA pieteicēju) sadalījums pēc valstiskās piederības</w:t>
      </w:r>
    </w:p>
    <w:p w14:paraId="0B6CA77E" w14:textId="682A5CAC" w:rsidR="00AB3AEF" w:rsidRPr="00130520" w:rsidRDefault="00B84E3F" w:rsidP="004D4660">
      <w:pPr>
        <w:spacing w:after="120"/>
        <w:jc w:val="center"/>
        <w:rPr>
          <w:rFonts w:ascii="Times New Roman" w:hAnsi="Times New Roman"/>
          <w:b/>
          <w:sz w:val="24"/>
          <w:szCs w:val="24"/>
        </w:rPr>
      </w:pPr>
      <w:r w:rsidRPr="00130520">
        <w:rPr>
          <w:rFonts w:ascii="Times New Roman" w:hAnsi="Times New Roman"/>
          <w:b/>
          <w:sz w:val="24"/>
          <w:szCs w:val="24"/>
        </w:rPr>
        <w:t>(01.07.2010.-31.12.202</w:t>
      </w:r>
      <w:r w:rsidR="00130520">
        <w:rPr>
          <w:rFonts w:ascii="Times New Roman" w:hAnsi="Times New Roman"/>
          <w:b/>
          <w:sz w:val="24"/>
          <w:szCs w:val="24"/>
        </w:rPr>
        <w:t>2</w:t>
      </w:r>
      <w:r w:rsidR="00AB3AEF" w:rsidRPr="00130520">
        <w:rPr>
          <w:rFonts w:ascii="Times New Roman" w:hAnsi="Times New Roman"/>
          <w:b/>
          <w:sz w:val="24"/>
          <w:szCs w:val="24"/>
        </w:rPr>
        <w:t>.)</w:t>
      </w:r>
    </w:p>
    <w:p w14:paraId="62623FF3" w14:textId="77777777" w:rsidR="00AB3AEF" w:rsidRPr="007320CD" w:rsidRDefault="00AB3AEF" w:rsidP="004D4660">
      <w:pPr>
        <w:jc w:val="center"/>
        <w:rPr>
          <w:rFonts w:ascii="Times New Roman" w:hAnsi="Times New Roman"/>
          <w:b/>
          <w:sz w:val="26"/>
          <w:szCs w:val="26"/>
          <w:highlight w:val="yellow"/>
        </w:rPr>
      </w:pPr>
      <w:r w:rsidRPr="007320CD">
        <w:rPr>
          <w:rFonts w:ascii="Times New Roman" w:hAnsi="Times New Roman"/>
          <w:noProof/>
          <w:sz w:val="26"/>
          <w:szCs w:val="26"/>
          <w:highlight w:val="yellow"/>
          <w:lang w:eastAsia="lv-LV"/>
        </w:rPr>
        <w:drawing>
          <wp:inline distT="0" distB="0" distL="0" distR="0" wp14:anchorId="56A69820" wp14:editId="453F0B61">
            <wp:extent cx="5867400" cy="3357562"/>
            <wp:effectExtent l="0" t="0" r="0" b="14605"/>
            <wp:docPr id="48" name="Chart 48"/>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6E3C2970" w14:textId="1A4CEEDD" w:rsidR="00AB3AEF" w:rsidRPr="00130520" w:rsidRDefault="00AB3AEF" w:rsidP="0002055B">
      <w:pPr>
        <w:ind w:firstLine="567"/>
        <w:jc w:val="both"/>
        <w:rPr>
          <w:rFonts w:ascii="Times New Roman" w:hAnsi="Times New Roman"/>
          <w:b/>
          <w:szCs w:val="26"/>
        </w:rPr>
      </w:pPr>
      <w:r w:rsidRPr="00130520">
        <w:rPr>
          <w:rFonts w:ascii="Times New Roman" w:hAnsi="Times New Roman"/>
          <w:i/>
          <w:szCs w:val="26"/>
        </w:rPr>
        <w:t>Avots: PMLP</w:t>
      </w:r>
      <w:r w:rsidR="006E7306" w:rsidRPr="00130520">
        <w:rPr>
          <w:rFonts w:ascii="Times New Roman" w:hAnsi="Times New Roman"/>
          <w:i/>
          <w:szCs w:val="26"/>
        </w:rPr>
        <w:t xml:space="preserve"> dati</w:t>
      </w:r>
    </w:p>
    <w:p w14:paraId="150E9790" w14:textId="77777777" w:rsidR="00AB3AEF" w:rsidRPr="007320CD" w:rsidRDefault="00AB3AEF" w:rsidP="0002055B">
      <w:pPr>
        <w:ind w:firstLine="567"/>
        <w:jc w:val="both"/>
        <w:rPr>
          <w:rFonts w:ascii="Times New Roman" w:hAnsi="Times New Roman"/>
          <w:sz w:val="26"/>
          <w:szCs w:val="26"/>
          <w:highlight w:val="yellow"/>
        </w:rPr>
      </w:pPr>
    </w:p>
    <w:p w14:paraId="3A259031" w14:textId="0745565C" w:rsidR="00EC2950" w:rsidRPr="00256917" w:rsidRDefault="0002055B" w:rsidP="00CD05F9">
      <w:pPr>
        <w:spacing w:after="120"/>
        <w:ind w:firstLine="567"/>
        <w:jc w:val="both"/>
        <w:rPr>
          <w:rFonts w:ascii="Times New Roman" w:hAnsi="Times New Roman"/>
          <w:sz w:val="26"/>
          <w:szCs w:val="26"/>
          <w:lang w:eastAsia="lv-LV"/>
        </w:rPr>
      </w:pPr>
      <w:r w:rsidRPr="00256917">
        <w:rPr>
          <w:rFonts w:ascii="Times New Roman" w:hAnsi="Times New Roman"/>
          <w:sz w:val="26"/>
          <w:szCs w:val="26"/>
        </w:rPr>
        <w:t>Kopumā a</w:t>
      </w:r>
      <w:r w:rsidR="00AB3AEF" w:rsidRPr="00256917">
        <w:rPr>
          <w:rFonts w:ascii="Times New Roman" w:hAnsi="Times New Roman"/>
          <w:sz w:val="26"/>
          <w:szCs w:val="26"/>
        </w:rPr>
        <w:t xml:space="preserve">ptuveni </w:t>
      </w:r>
      <w:r w:rsidR="0073230E" w:rsidRPr="00256917">
        <w:rPr>
          <w:rFonts w:ascii="Times New Roman" w:hAnsi="Times New Roman"/>
          <w:sz w:val="26"/>
          <w:szCs w:val="26"/>
        </w:rPr>
        <w:t>8</w:t>
      </w:r>
      <w:r w:rsidR="00130520" w:rsidRPr="00256917">
        <w:rPr>
          <w:rFonts w:ascii="Times New Roman" w:hAnsi="Times New Roman"/>
          <w:sz w:val="26"/>
          <w:szCs w:val="26"/>
        </w:rPr>
        <w:t>5</w:t>
      </w:r>
      <w:r w:rsidR="00AB3AEF" w:rsidRPr="00256917">
        <w:rPr>
          <w:rFonts w:ascii="Times New Roman" w:hAnsi="Times New Roman"/>
          <w:sz w:val="26"/>
          <w:szCs w:val="26"/>
        </w:rPr>
        <w:t xml:space="preserve">% no visām TUA ir pieprasījuši investori no bijušajām PSRS republikām. Ārpus bijušās PSRS teritorijas lielākā investoru interese ir no </w:t>
      </w:r>
      <w:r w:rsidR="0073230E" w:rsidRPr="00256917">
        <w:rPr>
          <w:rFonts w:ascii="Times New Roman" w:hAnsi="Times New Roman"/>
          <w:sz w:val="26"/>
          <w:szCs w:val="26"/>
        </w:rPr>
        <w:t>Āzijas valstīm - Ķīnas (kopā no 2010.gada - 1 5</w:t>
      </w:r>
      <w:r w:rsidR="00130520" w:rsidRPr="00256917">
        <w:rPr>
          <w:rFonts w:ascii="Times New Roman" w:hAnsi="Times New Roman"/>
          <w:sz w:val="26"/>
          <w:szCs w:val="26"/>
        </w:rPr>
        <w:t>48</w:t>
      </w:r>
      <w:r w:rsidR="0073230E" w:rsidRPr="00256917">
        <w:rPr>
          <w:rFonts w:ascii="Times New Roman" w:hAnsi="Times New Roman"/>
          <w:sz w:val="26"/>
          <w:szCs w:val="26"/>
        </w:rPr>
        <w:t xml:space="preserve"> jeb 8% TUA pieprasījumu), Vjetnamas (4</w:t>
      </w:r>
      <w:r w:rsidR="00256917" w:rsidRPr="00256917">
        <w:rPr>
          <w:rFonts w:ascii="Times New Roman" w:hAnsi="Times New Roman"/>
          <w:sz w:val="26"/>
          <w:szCs w:val="26"/>
        </w:rPr>
        <w:t>66</w:t>
      </w:r>
      <w:r w:rsidR="0073230E" w:rsidRPr="00256917">
        <w:rPr>
          <w:rFonts w:ascii="Times New Roman" w:hAnsi="Times New Roman"/>
          <w:sz w:val="26"/>
          <w:szCs w:val="26"/>
        </w:rPr>
        <w:t xml:space="preserve"> TUA </w:t>
      </w:r>
      <w:r w:rsidR="0073230E" w:rsidRPr="00256917">
        <w:rPr>
          <w:rFonts w:ascii="Times New Roman" w:hAnsi="Times New Roman"/>
          <w:sz w:val="26"/>
          <w:szCs w:val="26"/>
        </w:rPr>
        <w:lastRenderedPageBreak/>
        <w:t>pieprasījumu) un Pakistānas pilsoņu (1</w:t>
      </w:r>
      <w:r w:rsidR="001B20C2" w:rsidRPr="00256917">
        <w:rPr>
          <w:rFonts w:ascii="Times New Roman" w:hAnsi="Times New Roman"/>
          <w:sz w:val="26"/>
          <w:szCs w:val="26"/>
        </w:rPr>
        <w:t>11</w:t>
      </w:r>
      <w:r w:rsidR="0073230E" w:rsidRPr="00256917">
        <w:rPr>
          <w:rFonts w:ascii="Times New Roman" w:hAnsi="Times New Roman"/>
          <w:sz w:val="26"/>
          <w:szCs w:val="26"/>
        </w:rPr>
        <w:t xml:space="preserve"> TUA pieprasījumi)</w:t>
      </w:r>
      <w:r w:rsidR="006B1D84" w:rsidRPr="00256917">
        <w:rPr>
          <w:rFonts w:ascii="Times New Roman" w:hAnsi="Times New Roman"/>
          <w:sz w:val="26"/>
          <w:szCs w:val="26"/>
        </w:rPr>
        <w:t xml:space="preserve"> </w:t>
      </w:r>
      <w:r w:rsidR="00424678" w:rsidRPr="00256917">
        <w:rPr>
          <w:rFonts w:ascii="Times New Roman" w:hAnsi="Times New Roman"/>
          <w:sz w:val="26"/>
          <w:szCs w:val="26"/>
          <w:lang w:eastAsia="lv-LV"/>
        </w:rPr>
        <w:t>(</w:t>
      </w:r>
      <w:r w:rsidR="00424678" w:rsidRPr="00256917">
        <w:rPr>
          <w:rFonts w:ascii="Times New Roman" w:hAnsi="Times New Roman"/>
          <w:i/>
          <w:sz w:val="26"/>
          <w:szCs w:val="26"/>
          <w:lang w:eastAsia="lv-LV"/>
        </w:rPr>
        <w:t>detalizētāka informācija par TUA pieteicēju izcelsmes valstīm pielikumā</w:t>
      </w:r>
      <w:r w:rsidR="00424678" w:rsidRPr="00256917">
        <w:rPr>
          <w:rFonts w:ascii="Times New Roman" w:hAnsi="Times New Roman"/>
          <w:sz w:val="26"/>
          <w:szCs w:val="26"/>
          <w:lang w:eastAsia="lv-LV"/>
        </w:rPr>
        <w:t xml:space="preserve">). </w:t>
      </w:r>
    </w:p>
    <w:p w14:paraId="3B38EB2B" w14:textId="0A61336F" w:rsidR="00256917" w:rsidRDefault="00256917" w:rsidP="00256917">
      <w:pPr>
        <w:spacing w:after="120"/>
        <w:ind w:firstLine="567"/>
        <w:jc w:val="both"/>
        <w:rPr>
          <w:rFonts w:ascii="Times New Roman" w:hAnsi="Times New Roman"/>
          <w:sz w:val="26"/>
          <w:szCs w:val="26"/>
        </w:rPr>
      </w:pPr>
      <w:r w:rsidRPr="001B20C2">
        <w:rPr>
          <w:rFonts w:ascii="Times New Roman" w:hAnsi="Times New Roman"/>
          <w:sz w:val="26"/>
          <w:szCs w:val="26"/>
        </w:rPr>
        <w:t xml:space="preserve">Salīdzinot datus par kopējām ikgadējām nerezidentu investīciju plūsmām Latvijas ekonomikā un piesaistītajām investīcijām izmantojot TUA, redzams, ka pēdējās ir visai nelielā apjomā (skatīt 3.attēlu), turklāt kopš 2014. gada samazinās. Tas norāda, ka TUA programma nav </w:t>
      </w:r>
      <w:r w:rsidR="00B76664">
        <w:rPr>
          <w:rFonts w:ascii="Times New Roman" w:hAnsi="Times New Roman"/>
          <w:sz w:val="26"/>
          <w:szCs w:val="26"/>
        </w:rPr>
        <w:t>motivējošs instruments</w:t>
      </w:r>
      <w:r w:rsidRPr="001B20C2">
        <w:rPr>
          <w:rFonts w:ascii="Times New Roman" w:hAnsi="Times New Roman"/>
          <w:sz w:val="26"/>
          <w:szCs w:val="26"/>
        </w:rPr>
        <w:t xml:space="preserve"> ārvalstu tiešo investīciju piesaistei. Uz to norādīja arī Finanšu nozares asociācija, vērtējot programmas iepriekšējo gadu rezultātus</w:t>
      </w:r>
      <w:r w:rsidRPr="001B20C2">
        <w:rPr>
          <w:rStyle w:val="FootnoteReference"/>
          <w:rFonts w:ascii="Times New Roman" w:hAnsi="Times New Roman"/>
          <w:sz w:val="26"/>
          <w:szCs w:val="26"/>
        </w:rPr>
        <w:footnoteReference w:id="1"/>
      </w:r>
      <w:r w:rsidRPr="001B20C2">
        <w:rPr>
          <w:rFonts w:ascii="Times New Roman" w:hAnsi="Times New Roman"/>
          <w:sz w:val="26"/>
          <w:szCs w:val="26"/>
        </w:rPr>
        <w:t>. Ja 2014. gadā nerezidentu ieguldījumi, kas saistīti ar TUA saņemšanu, salīdzinājumā pret kopējiem nerezidentu ieguldījumiem Latvijas ekonomikā, pārsniedza 11%</w:t>
      </w:r>
      <w:r w:rsidRPr="00846789">
        <w:rPr>
          <w:rFonts w:ascii="Times New Roman" w:hAnsi="Times New Roman"/>
          <w:sz w:val="26"/>
          <w:szCs w:val="26"/>
        </w:rPr>
        <w:t xml:space="preserve">, tad </w:t>
      </w:r>
      <w:r w:rsidRPr="00F37C2B">
        <w:rPr>
          <w:rFonts w:ascii="Times New Roman" w:hAnsi="Times New Roman"/>
          <w:b/>
          <w:bCs/>
          <w:sz w:val="26"/>
          <w:szCs w:val="26"/>
        </w:rPr>
        <w:t>kopš</w:t>
      </w:r>
      <w:r>
        <w:rPr>
          <w:rFonts w:ascii="Times New Roman" w:hAnsi="Times New Roman"/>
          <w:sz w:val="26"/>
          <w:szCs w:val="26"/>
        </w:rPr>
        <w:t xml:space="preserve"> </w:t>
      </w:r>
      <w:r w:rsidRPr="00F37C2B">
        <w:rPr>
          <w:rFonts w:ascii="Times New Roman" w:hAnsi="Times New Roman"/>
          <w:b/>
          <w:bCs/>
          <w:sz w:val="26"/>
          <w:szCs w:val="26"/>
        </w:rPr>
        <w:t>2018. gada tie vairs nepārsniedz 0,5%</w:t>
      </w:r>
      <w:r>
        <w:rPr>
          <w:rFonts w:ascii="Times New Roman" w:hAnsi="Times New Roman"/>
          <w:sz w:val="26"/>
          <w:szCs w:val="26"/>
        </w:rPr>
        <w:t xml:space="preserve">. </w:t>
      </w:r>
      <w:r w:rsidRPr="00F324A8">
        <w:rPr>
          <w:rFonts w:ascii="Times New Roman" w:hAnsi="Times New Roman"/>
          <w:sz w:val="26"/>
          <w:szCs w:val="26"/>
        </w:rPr>
        <w:t>K</w:t>
      </w:r>
      <w:r w:rsidRPr="004D0A0D">
        <w:rPr>
          <w:rFonts w:ascii="Times New Roman" w:hAnsi="Times New Roman"/>
          <w:sz w:val="26"/>
          <w:szCs w:val="26"/>
        </w:rPr>
        <w:t>opumā</w:t>
      </w:r>
      <w:r w:rsidRPr="00F324A8">
        <w:rPr>
          <w:rFonts w:ascii="Times New Roman" w:hAnsi="Times New Roman"/>
          <w:sz w:val="26"/>
          <w:szCs w:val="26"/>
        </w:rPr>
        <w:t xml:space="preserve"> jāsecina, ka</w:t>
      </w:r>
      <w:r w:rsidRPr="004D0A0D">
        <w:rPr>
          <w:rFonts w:ascii="Times New Roman" w:hAnsi="Times New Roman"/>
          <w:sz w:val="26"/>
          <w:szCs w:val="26"/>
        </w:rPr>
        <w:t xml:space="preserve"> Covid-19 pandēmijas ierobežojošie pasākumi </w:t>
      </w:r>
      <w:r w:rsidRPr="00F324A8">
        <w:rPr>
          <w:rFonts w:ascii="Times New Roman" w:hAnsi="Times New Roman"/>
          <w:sz w:val="26"/>
          <w:szCs w:val="26"/>
        </w:rPr>
        <w:t>būtiski neietekmēja</w:t>
      </w:r>
      <w:r w:rsidRPr="00437164">
        <w:rPr>
          <w:rFonts w:ascii="Times New Roman" w:hAnsi="Times New Roman"/>
          <w:sz w:val="26"/>
          <w:szCs w:val="26"/>
        </w:rPr>
        <w:t xml:space="preserve"> ar TUA saistītās investīciju plūsmas, kas jau ilgstoši ir zemā līmenī</w:t>
      </w:r>
      <w:r w:rsidRPr="004D0A0D">
        <w:rPr>
          <w:rFonts w:ascii="Times New Roman" w:hAnsi="Times New Roman"/>
          <w:sz w:val="26"/>
          <w:szCs w:val="26"/>
        </w:rPr>
        <w:t>. 2022. gadā turpinājās lejupvērsta tendence, kuru vēl pastiprina ģeopolitiskā spriedze reģionā</w:t>
      </w:r>
      <w:r>
        <w:rPr>
          <w:rFonts w:ascii="Times New Roman" w:hAnsi="Times New Roman"/>
          <w:sz w:val="26"/>
          <w:szCs w:val="26"/>
        </w:rPr>
        <w:t xml:space="preserve"> karadarbības Ukrainā un ieviesto sankciju pret Krieviju un Baltkrieviju rezultātā.</w:t>
      </w:r>
    </w:p>
    <w:p w14:paraId="3477A088" w14:textId="4C07BEC2" w:rsidR="00424678" w:rsidRPr="00256917" w:rsidRDefault="00424678" w:rsidP="00F264A7">
      <w:pPr>
        <w:tabs>
          <w:tab w:val="center" w:pos="426"/>
        </w:tabs>
        <w:spacing w:after="120"/>
        <w:ind w:firstLine="567"/>
        <w:jc w:val="right"/>
        <w:rPr>
          <w:rFonts w:ascii="Times New Roman" w:hAnsi="Times New Roman"/>
          <w:sz w:val="24"/>
          <w:szCs w:val="24"/>
        </w:rPr>
      </w:pPr>
      <w:r w:rsidRPr="00256917">
        <w:rPr>
          <w:rFonts w:ascii="Times New Roman" w:hAnsi="Times New Roman"/>
          <w:sz w:val="24"/>
          <w:szCs w:val="24"/>
        </w:rPr>
        <w:t>3. attēls</w:t>
      </w:r>
    </w:p>
    <w:p w14:paraId="3E76A183" w14:textId="3AAD0E41" w:rsidR="00AF6A9F" w:rsidRDefault="00AF6A9F" w:rsidP="00AF6A9F">
      <w:pPr>
        <w:spacing w:after="120"/>
        <w:jc w:val="center"/>
        <w:rPr>
          <w:rFonts w:ascii="Times New Roman" w:hAnsi="Times New Roman"/>
          <w:b/>
          <w:i/>
          <w:sz w:val="24"/>
          <w:szCs w:val="24"/>
        </w:rPr>
      </w:pPr>
      <w:r w:rsidRPr="00256917">
        <w:rPr>
          <w:rFonts w:ascii="Times New Roman" w:hAnsi="Times New Roman"/>
          <w:b/>
          <w:sz w:val="24"/>
          <w:szCs w:val="24"/>
        </w:rPr>
        <w:t>Nerezidentu tiešās investīcijas Latvijā (ienākošās un izejošās plūsmas) un</w:t>
      </w:r>
      <w:r w:rsidRPr="00256917">
        <w:rPr>
          <w:sz w:val="24"/>
          <w:szCs w:val="24"/>
        </w:rPr>
        <w:t xml:space="preserve"> </w:t>
      </w:r>
      <w:r w:rsidRPr="00256917">
        <w:rPr>
          <w:rFonts w:ascii="Times New Roman" w:hAnsi="Times New Roman"/>
          <w:b/>
          <w:sz w:val="24"/>
          <w:szCs w:val="24"/>
        </w:rPr>
        <w:t xml:space="preserve">nerezidentu ieguldījumi, kas saistīti ar TUA saņemšanu, milj. </w:t>
      </w:r>
      <w:r w:rsidRPr="00256917">
        <w:rPr>
          <w:rFonts w:ascii="Times New Roman" w:hAnsi="Times New Roman"/>
          <w:b/>
          <w:i/>
          <w:sz w:val="24"/>
          <w:szCs w:val="24"/>
        </w:rPr>
        <w:t>euro</w:t>
      </w:r>
    </w:p>
    <w:p w14:paraId="1C08976D" w14:textId="5E9BB206" w:rsidR="00256917" w:rsidRDefault="00256917" w:rsidP="00AF6A9F">
      <w:pPr>
        <w:spacing w:after="120"/>
        <w:jc w:val="center"/>
        <w:rPr>
          <w:rFonts w:ascii="Times New Roman" w:hAnsi="Times New Roman"/>
          <w:b/>
          <w:i/>
          <w:sz w:val="24"/>
          <w:szCs w:val="24"/>
        </w:rPr>
      </w:pPr>
    </w:p>
    <w:p w14:paraId="160984C5" w14:textId="3EA3660D" w:rsidR="00256917" w:rsidRPr="00256917" w:rsidRDefault="00256917" w:rsidP="00AF6A9F">
      <w:pPr>
        <w:spacing w:after="120"/>
        <w:jc w:val="center"/>
        <w:rPr>
          <w:rFonts w:ascii="Times New Roman" w:hAnsi="Times New Roman"/>
          <w:b/>
          <w:sz w:val="24"/>
          <w:szCs w:val="24"/>
        </w:rPr>
      </w:pPr>
      <w:r w:rsidRPr="0073230E">
        <w:rPr>
          <w:noProof/>
          <w:color w:val="632423" w:themeColor="accent2" w:themeShade="80"/>
          <w:lang w:eastAsia="lv-LV"/>
        </w:rPr>
        <w:drawing>
          <wp:inline distT="0" distB="0" distL="0" distR="0" wp14:anchorId="1D8EC908" wp14:editId="09C2F640">
            <wp:extent cx="5715000" cy="3409950"/>
            <wp:effectExtent l="0" t="0" r="0" b="0"/>
            <wp:docPr id="3" name="Chart 3">
              <a:extLst xmlns:a="http://schemas.openxmlformats.org/drawingml/2006/main">
                <a:ext uri="{FF2B5EF4-FFF2-40B4-BE49-F238E27FC236}">
                  <a16:creationId xmlns:a16="http://schemas.microsoft.com/office/drawing/2014/main" id="{1A84975E-1C8D-4E6E-A44F-58F6B00CD66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07754267" w14:textId="77777777" w:rsidR="00AF6A9F" w:rsidRPr="00256917" w:rsidRDefault="00AF6A9F" w:rsidP="00AF6A9F">
      <w:pPr>
        <w:rPr>
          <w:rFonts w:ascii="Times New Roman" w:hAnsi="Times New Roman"/>
          <w:i/>
        </w:rPr>
      </w:pPr>
      <w:r w:rsidRPr="00256917">
        <w:rPr>
          <w:rFonts w:ascii="Times New Roman" w:hAnsi="Times New Roman"/>
          <w:i/>
        </w:rPr>
        <w:t xml:space="preserve">   Avots: LB un PMLP dati</w:t>
      </w:r>
    </w:p>
    <w:p w14:paraId="54B02D80" w14:textId="77777777" w:rsidR="006E7306" w:rsidRPr="007320CD" w:rsidRDefault="006E7306" w:rsidP="00C54A82">
      <w:pPr>
        <w:jc w:val="both"/>
        <w:rPr>
          <w:rFonts w:ascii="Times New Roman" w:hAnsi="Times New Roman"/>
          <w:sz w:val="26"/>
          <w:szCs w:val="26"/>
          <w:highlight w:val="yellow"/>
        </w:rPr>
      </w:pPr>
    </w:p>
    <w:p w14:paraId="1924BFE7" w14:textId="3ACBFE39" w:rsidR="00452BE2" w:rsidRDefault="00256917" w:rsidP="00256917">
      <w:pPr>
        <w:spacing w:after="120"/>
        <w:ind w:firstLine="720"/>
        <w:jc w:val="both"/>
        <w:rPr>
          <w:rFonts w:ascii="Times New Roman" w:hAnsi="Times New Roman"/>
          <w:sz w:val="26"/>
          <w:szCs w:val="26"/>
        </w:rPr>
      </w:pPr>
      <w:r w:rsidRPr="008B69BB">
        <w:rPr>
          <w:rFonts w:ascii="Times New Roman" w:hAnsi="Times New Roman"/>
          <w:sz w:val="26"/>
          <w:szCs w:val="26"/>
        </w:rPr>
        <w:t>Lielāko d</w:t>
      </w:r>
      <w:r w:rsidRPr="0073230E">
        <w:rPr>
          <w:rFonts w:ascii="Times New Roman" w:hAnsi="Times New Roman"/>
          <w:sz w:val="26"/>
          <w:szCs w:val="26"/>
        </w:rPr>
        <w:t xml:space="preserve">aļu no uz TUA attiecināmajiem ieguldījumiem veido ieguldījumi nekustamajā īpašumā, kuru apjoms kopš 2014.gada ir ievērojami krities (1.tabula).  Viens no iemesliem ir veiktās izmaiņas Imigrācijas likumā </w:t>
      </w:r>
      <w:bookmarkStart w:id="5" w:name="_Hlk127757982"/>
      <w:r w:rsidRPr="0073230E">
        <w:rPr>
          <w:rFonts w:ascii="Times New Roman" w:hAnsi="Times New Roman"/>
          <w:sz w:val="26"/>
          <w:szCs w:val="26"/>
        </w:rPr>
        <w:t>(08.05.2014. likums “Grozījumi Imigrācijas likumā” (LV, 98 (5158), 22.05.2014.)</w:t>
      </w:r>
      <w:bookmarkEnd w:id="5"/>
      <w:r w:rsidRPr="0073230E">
        <w:rPr>
          <w:rFonts w:ascii="Times New Roman" w:hAnsi="Times New Roman"/>
          <w:sz w:val="26"/>
          <w:szCs w:val="26"/>
        </w:rPr>
        <w:t xml:space="preserve">, kur tika paaugstināta nekustamā īpašuma iegādes darījuma summa, lai pieteiktos TUA saņemšanai. Ne mazāk svarīgs faktors ir arī politiskā un ekonomiskā situācija nerezidentu izcelsmes valstīs. </w:t>
      </w:r>
      <w:r w:rsidRPr="0073230E">
        <w:rPr>
          <w:rFonts w:ascii="Times New Roman" w:hAnsi="Times New Roman"/>
          <w:sz w:val="26"/>
          <w:szCs w:val="26"/>
        </w:rPr>
        <w:lastRenderedPageBreak/>
        <w:t>Ņemot vērā, ka lielākā daļa TUA pieteicēju (investoru) kopš programmas sākuma ir bijuši Krievijas Federācijas pilsoņi, ar TUA saistīto ieguldījumu apjomu samazinājumu ietekmē</w:t>
      </w:r>
      <w:r>
        <w:rPr>
          <w:rFonts w:ascii="Times New Roman" w:hAnsi="Times New Roman"/>
          <w:sz w:val="26"/>
          <w:szCs w:val="26"/>
        </w:rPr>
        <w:t>ja</w:t>
      </w:r>
      <w:r w:rsidRPr="0073230E">
        <w:rPr>
          <w:rFonts w:ascii="Times New Roman" w:hAnsi="Times New Roman"/>
          <w:sz w:val="26"/>
          <w:szCs w:val="26"/>
        </w:rPr>
        <w:t xml:space="preserve"> arī vājā un nestabilā ekonomiskā situācija Krievijā, kas vērojama kopš 2014. gada un ko ietekmē ģeopolitiskā situācija reģionā.</w:t>
      </w:r>
      <w:r>
        <w:rPr>
          <w:rFonts w:ascii="Times New Roman" w:hAnsi="Times New Roman"/>
          <w:sz w:val="26"/>
          <w:szCs w:val="26"/>
        </w:rPr>
        <w:t xml:space="preserve"> </w:t>
      </w:r>
      <w:r w:rsidRPr="00256917">
        <w:rPr>
          <w:rFonts w:ascii="Times New Roman" w:hAnsi="Times New Roman"/>
          <w:sz w:val="26"/>
          <w:szCs w:val="26"/>
        </w:rPr>
        <w:t>Pēc Krievijas iebrukuma Ukrainā 2022. gadā veiktie grozījumi Imigrācijas likumā</w:t>
      </w:r>
      <w:r w:rsidR="005A5C02">
        <w:rPr>
          <w:rFonts w:ascii="Times New Roman" w:hAnsi="Times New Roman"/>
          <w:sz w:val="26"/>
          <w:szCs w:val="26"/>
        </w:rPr>
        <w:t xml:space="preserve"> (07.04.2022. likums “Grozījumi Imigrācijas likumā” (LV, 70A, 08.04.2022.) un 22.09.2022. likums “Grozījumi Imigrācijas likumā” (LV, 185A, 23.09.2022.))</w:t>
      </w:r>
      <w:r w:rsidRPr="00256917">
        <w:rPr>
          <w:rFonts w:ascii="Times New Roman" w:hAnsi="Times New Roman"/>
          <w:sz w:val="26"/>
          <w:szCs w:val="26"/>
        </w:rPr>
        <w:t xml:space="preserve"> ir pavisam  apturējuši Krievijas un Baltkrievijas pilsoņiem iespējas pieteikties TUA saņemšanai pamatojoties uz veiktajām investīcijām Latvijas tautsaimniecībā. </w:t>
      </w:r>
    </w:p>
    <w:p w14:paraId="467DAADD" w14:textId="00E6EE01" w:rsidR="00256917" w:rsidRPr="0073230E" w:rsidRDefault="00256917" w:rsidP="00256917">
      <w:pPr>
        <w:spacing w:after="120"/>
        <w:ind w:firstLine="720"/>
        <w:jc w:val="both"/>
        <w:rPr>
          <w:rFonts w:ascii="Times New Roman" w:hAnsi="Times New Roman"/>
          <w:sz w:val="26"/>
          <w:szCs w:val="26"/>
        </w:rPr>
      </w:pPr>
      <w:r w:rsidRPr="00256917">
        <w:rPr>
          <w:rFonts w:ascii="Times New Roman" w:hAnsi="Times New Roman"/>
          <w:sz w:val="26"/>
          <w:szCs w:val="26"/>
        </w:rPr>
        <w:t>Bez tam ar TUA</w:t>
      </w:r>
      <w:r w:rsidRPr="0073230E">
        <w:rPr>
          <w:rFonts w:ascii="Times New Roman" w:hAnsi="Times New Roman"/>
          <w:sz w:val="26"/>
          <w:szCs w:val="26"/>
        </w:rPr>
        <w:t xml:space="preserve"> saistīto ieguldījumu apmēra samazinājumu ir ietekmējuši arī </w:t>
      </w:r>
      <w:r w:rsidRPr="001B20C2">
        <w:rPr>
          <w:rFonts w:ascii="Times New Roman" w:hAnsi="Times New Roman"/>
          <w:sz w:val="26"/>
          <w:szCs w:val="26"/>
        </w:rPr>
        <w:t xml:space="preserve">pēdējos gados veiktie pasākumi, lai pastiprinātu uzraudzību nerezidentu noguldījumiem Latvijas komercbankās. Ieguldījumi kredītiestāžu pakārtotajās saistībās pēc to kopējā apjoma ir otri lielākie uz TUA attiecināmie ieguldījumi, </w:t>
      </w:r>
      <w:bookmarkStart w:id="6" w:name="_Hlk96984846"/>
      <w:r w:rsidRPr="001B20C2">
        <w:rPr>
          <w:rFonts w:ascii="Times New Roman" w:hAnsi="Times New Roman"/>
          <w:sz w:val="26"/>
          <w:szCs w:val="26"/>
        </w:rPr>
        <w:t>taču 2019.</w:t>
      </w:r>
      <w:r>
        <w:rPr>
          <w:rFonts w:ascii="Times New Roman" w:hAnsi="Times New Roman"/>
          <w:sz w:val="26"/>
          <w:szCs w:val="26"/>
        </w:rPr>
        <w:t>,</w:t>
      </w:r>
      <w:r w:rsidRPr="001B20C2">
        <w:rPr>
          <w:rFonts w:ascii="Times New Roman" w:hAnsi="Times New Roman"/>
          <w:sz w:val="26"/>
          <w:szCs w:val="26"/>
        </w:rPr>
        <w:t xml:space="preserve"> 2020. gadā</w:t>
      </w:r>
      <w:r>
        <w:rPr>
          <w:rFonts w:ascii="Times New Roman" w:hAnsi="Times New Roman"/>
          <w:sz w:val="26"/>
          <w:szCs w:val="26"/>
        </w:rPr>
        <w:t xml:space="preserve"> un 2022.gadā</w:t>
      </w:r>
      <w:r w:rsidRPr="001B20C2">
        <w:rPr>
          <w:rFonts w:ascii="Times New Roman" w:hAnsi="Times New Roman"/>
          <w:sz w:val="26"/>
          <w:szCs w:val="26"/>
        </w:rPr>
        <w:t xml:space="preserve"> </w:t>
      </w:r>
      <w:bookmarkStart w:id="7" w:name="_Hlk96615036"/>
      <w:r w:rsidRPr="001B20C2">
        <w:rPr>
          <w:rFonts w:ascii="Times New Roman" w:hAnsi="Times New Roman"/>
          <w:sz w:val="26"/>
          <w:szCs w:val="26"/>
        </w:rPr>
        <w:t xml:space="preserve">Latvijas kredītiestāžu pakārtotajās saistībās </w:t>
      </w:r>
      <w:bookmarkEnd w:id="7"/>
      <w:r w:rsidRPr="001B20C2">
        <w:rPr>
          <w:rFonts w:ascii="Times New Roman" w:hAnsi="Times New Roman"/>
          <w:sz w:val="26"/>
          <w:szCs w:val="26"/>
        </w:rPr>
        <w:t xml:space="preserve">netika veikts neviens ieguldījums. </w:t>
      </w:r>
      <w:bookmarkEnd w:id="6"/>
      <w:r w:rsidRPr="001B20C2">
        <w:rPr>
          <w:rFonts w:ascii="Times New Roman" w:hAnsi="Times New Roman"/>
          <w:sz w:val="26"/>
          <w:szCs w:val="26"/>
        </w:rPr>
        <w:t xml:space="preserve">Lai gan </w:t>
      </w:r>
      <w:bookmarkStart w:id="8" w:name="_Hlk96984941"/>
      <w:r w:rsidRPr="001B20C2">
        <w:rPr>
          <w:rFonts w:ascii="Times New Roman" w:hAnsi="Times New Roman"/>
          <w:sz w:val="26"/>
          <w:szCs w:val="26"/>
        </w:rPr>
        <w:t xml:space="preserve">2021. gadā ieguldījumi Latvijas kredītiestāžu pakārtotajās saistībās bija 600 tūkst. </w:t>
      </w:r>
      <w:r w:rsidRPr="00057AFF">
        <w:rPr>
          <w:rFonts w:ascii="Times New Roman" w:hAnsi="Times New Roman"/>
          <w:i/>
          <w:sz w:val="26"/>
          <w:szCs w:val="26"/>
        </w:rPr>
        <w:t>euro</w:t>
      </w:r>
      <w:r w:rsidRPr="001B20C2">
        <w:rPr>
          <w:rFonts w:ascii="Times New Roman" w:hAnsi="Times New Roman"/>
          <w:sz w:val="26"/>
          <w:szCs w:val="26"/>
        </w:rPr>
        <w:t xml:space="preserve"> apmērā, tas tomēr neliecina par noturīgu nerezidentu interesi par šo ieguldījumu veidu Latvijas ekonomikā.</w:t>
      </w:r>
    </w:p>
    <w:bookmarkEnd w:id="8"/>
    <w:p w14:paraId="5E10C836" w14:textId="77777777" w:rsidR="00256917" w:rsidRDefault="00256917" w:rsidP="00256917">
      <w:pPr>
        <w:spacing w:after="120"/>
        <w:ind w:firstLine="720"/>
        <w:jc w:val="both"/>
        <w:rPr>
          <w:rFonts w:ascii="Times New Roman" w:hAnsi="Times New Roman"/>
          <w:sz w:val="26"/>
          <w:szCs w:val="26"/>
        </w:rPr>
      </w:pPr>
      <w:r w:rsidRPr="0073230E">
        <w:rPr>
          <w:rFonts w:ascii="Times New Roman" w:hAnsi="Times New Roman"/>
          <w:sz w:val="26"/>
          <w:szCs w:val="26"/>
        </w:rPr>
        <w:t>Ar TUA mehānismu piesaistīto ieguldījumu apjomu svārstības ietekmē arī konkurences faktori. Jāatzīmē, ka līdzīgas ārvalstu investīciju piesaistes programmas darbojas arī citās Eiropas Savienības valstīs (piemēram, Ungārijā, Čehijā, Bulgārijā, Grieķijā, Spānijā u.c.). Politikas maiņa minētajās valstīs ietekmē arī potenciālo investoru motivāciju investēšanas valsts izvēlē. Zināma ietekme ir arī kopējai Eiropas Savienības nostājai attiecībā uz investīciju piesaisti no paaugstināta riska reģioniem (piemēram, Krievijas, Ķīnas).</w:t>
      </w:r>
    </w:p>
    <w:p w14:paraId="11AA5A58" w14:textId="77777777" w:rsidR="00FF58A0" w:rsidRPr="007320CD" w:rsidRDefault="00FF58A0" w:rsidP="00B63E16">
      <w:pPr>
        <w:ind w:firstLine="567"/>
        <w:jc w:val="both"/>
        <w:rPr>
          <w:rFonts w:ascii="Times New Roman" w:hAnsi="Times New Roman"/>
          <w:sz w:val="26"/>
          <w:szCs w:val="26"/>
          <w:highlight w:val="yellow"/>
        </w:rPr>
      </w:pPr>
    </w:p>
    <w:p w14:paraId="0573CAF6" w14:textId="77777777" w:rsidR="00A67CA7" w:rsidRPr="00256917" w:rsidRDefault="00A67CA7" w:rsidP="00747AEC">
      <w:pPr>
        <w:spacing w:after="120"/>
        <w:ind w:firstLine="567"/>
        <w:jc w:val="center"/>
        <w:rPr>
          <w:rFonts w:ascii="Times New Roman" w:hAnsi="Times New Roman"/>
          <w:b/>
          <w:sz w:val="26"/>
          <w:szCs w:val="26"/>
        </w:rPr>
      </w:pPr>
      <w:r w:rsidRPr="00256917">
        <w:rPr>
          <w:rFonts w:ascii="Times New Roman" w:hAnsi="Times New Roman"/>
          <w:b/>
          <w:sz w:val="26"/>
          <w:szCs w:val="26"/>
        </w:rPr>
        <w:t>Investīcijas nekustamajā īpašumā</w:t>
      </w:r>
    </w:p>
    <w:p w14:paraId="68BDE458" w14:textId="77777777" w:rsidR="0021121A" w:rsidRPr="00256917" w:rsidRDefault="0021121A" w:rsidP="00747AEC">
      <w:pPr>
        <w:spacing w:after="120"/>
        <w:ind w:firstLine="567"/>
        <w:jc w:val="center"/>
        <w:rPr>
          <w:rFonts w:ascii="Times New Roman" w:hAnsi="Times New Roman"/>
          <w:b/>
          <w:sz w:val="26"/>
          <w:szCs w:val="26"/>
        </w:rPr>
      </w:pPr>
    </w:p>
    <w:p w14:paraId="530449D8" w14:textId="10A55218" w:rsidR="00CB2A3D" w:rsidRPr="00256917" w:rsidRDefault="00AB3AEF" w:rsidP="005E009F">
      <w:pPr>
        <w:spacing w:after="120"/>
        <w:ind w:firstLine="567"/>
        <w:jc w:val="both"/>
        <w:rPr>
          <w:rFonts w:ascii="Times New Roman" w:hAnsi="Times New Roman"/>
          <w:sz w:val="26"/>
          <w:szCs w:val="26"/>
        </w:rPr>
      </w:pPr>
      <w:r w:rsidRPr="00256917">
        <w:rPr>
          <w:rFonts w:ascii="Times New Roman" w:hAnsi="Times New Roman"/>
          <w:sz w:val="26"/>
          <w:szCs w:val="26"/>
        </w:rPr>
        <w:t>No 2010.gada 1.jūlija līdz 20</w:t>
      </w:r>
      <w:r w:rsidR="004B4F62" w:rsidRPr="00256917">
        <w:rPr>
          <w:rFonts w:ascii="Times New Roman" w:hAnsi="Times New Roman"/>
          <w:sz w:val="26"/>
          <w:szCs w:val="26"/>
        </w:rPr>
        <w:t>2</w:t>
      </w:r>
      <w:r w:rsidR="00256917" w:rsidRPr="00256917">
        <w:rPr>
          <w:rFonts w:ascii="Times New Roman" w:hAnsi="Times New Roman"/>
          <w:sz w:val="26"/>
          <w:szCs w:val="26"/>
        </w:rPr>
        <w:t>2</w:t>
      </w:r>
      <w:r w:rsidRPr="00256917">
        <w:rPr>
          <w:rFonts w:ascii="Times New Roman" w:hAnsi="Times New Roman"/>
          <w:sz w:val="26"/>
          <w:szCs w:val="26"/>
        </w:rPr>
        <w:t>.gada 3</w:t>
      </w:r>
      <w:r w:rsidR="002876B5" w:rsidRPr="00256917">
        <w:rPr>
          <w:rFonts w:ascii="Times New Roman" w:hAnsi="Times New Roman"/>
          <w:sz w:val="26"/>
          <w:szCs w:val="26"/>
        </w:rPr>
        <w:t>1.decembrim</w:t>
      </w:r>
      <w:r w:rsidRPr="00256917">
        <w:rPr>
          <w:rFonts w:ascii="Times New Roman" w:hAnsi="Times New Roman"/>
          <w:sz w:val="26"/>
          <w:szCs w:val="26"/>
        </w:rPr>
        <w:t xml:space="preserve"> Latvijas nekustamo īpašumu tirgū notikuši ar TUA saņemšanu par nekustamā īpašuma iegādi saistīti darījumi ar kopējo 1,</w:t>
      </w:r>
      <w:r w:rsidR="001B20C2" w:rsidRPr="00256917">
        <w:rPr>
          <w:rFonts w:ascii="Times New Roman" w:hAnsi="Times New Roman"/>
          <w:sz w:val="26"/>
          <w:szCs w:val="26"/>
        </w:rPr>
        <w:t>3</w:t>
      </w:r>
      <w:r w:rsidR="00256917" w:rsidRPr="00256917">
        <w:rPr>
          <w:rFonts w:ascii="Times New Roman" w:hAnsi="Times New Roman"/>
          <w:sz w:val="26"/>
          <w:szCs w:val="26"/>
        </w:rPr>
        <w:t>4</w:t>
      </w:r>
      <w:r w:rsidRPr="00256917">
        <w:rPr>
          <w:rFonts w:ascii="Times New Roman" w:hAnsi="Times New Roman"/>
          <w:sz w:val="26"/>
          <w:szCs w:val="26"/>
        </w:rPr>
        <w:t xml:space="preserve"> miljr. </w:t>
      </w:r>
      <w:r w:rsidRPr="00256917">
        <w:rPr>
          <w:rFonts w:ascii="Times New Roman" w:hAnsi="Times New Roman"/>
          <w:i/>
          <w:sz w:val="26"/>
          <w:szCs w:val="26"/>
        </w:rPr>
        <w:t xml:space="preserve">euro </w:t>
      </w:r>
      <w:r w:rsidR="002D40ED" w:rsidRPr="00256917">
        <w:rPr>
          <w:rFonts w:ascii="Times New Roman" w:hAnsi="Times New Roman"/>
          <w:sz w:val="26"/>
          <w:szCs w:val="26"/>
        </w:rPr>
        <w:t>apmērā.</w:t>
      </w:r>
    </w:p>
    <w:p w14:paraId="6691CEB0" w14:textId="36DD74E2" w:rsidR="00F21EDC" w:rsidRPr="00256917" w:rsidRDefault="00F21EDC" w:rsidP="00F21EDC">
      <w:pPr>
        <w:spacing w:after="120"/>
        <w:ind w:firstLine="567"/>
        <w:jc w:val="both"/>
        <w:rPr>
          <w:rFonts w:ascii="Times New Roman" w:hAnsi="Times New Roman"/>
          <w:color w:val="000000"/>
          <w:sz w:val="26"/>
          <w:szCs w:val="26"/>
        </w:rPr>
      </w:pPr>
      <w:r w:rsidRPr="00256917">
        <w:rPr>
          <w:rFonts w:ascii="Times New Roman" w:hAnsi="Times New Roman"/>
          <w:color w:val="000000"/>
          <w:sz w:val="26"/>
          <w:szCs w:val="26"/>
        </w:rPr>
        <w:t>Sākot no 2014.gada otrās puses</w:t>
      </w:r>
      <w:r w:rsidR="00AD1EC4" w:rsidRPr="00256917">
        <w:rPr>
          <w:rFonts w:ascii="Times New Roman" w:hAnsi="Times New Roman"/>
          <w:color w:val="000000"/>
          <w:sz w:val="26"/>
          <w:szCs w:val="26"/>
        </w:rPr>
        <w:t>,</w:t>
      </w:r>
      <w:r w:rsidRPr="00256917">
        <w:rPr>
          <w:rFonts w:ascii="Times New Roman" w:hAnsi="Times New Roman"/>
          <w:color w:val="000000"/>
          <w:sz w:val="26"/>
          <w:szCs w:val="26"/>
        </w:rPr>
        <w:t xml:space="preserve"> samazinājies nekustamo īpašumu ārvalstnieku pircēju skaits un īpatsvars. Būtisks kritums bija </w:t>
      </w:r>
      <w:r w:rsidR="00AC7C1D" w:rsidRPr="00256917">
        <w:rPr>
          <w:rFonts w:ascii="Times New Roman" w:hAnsi="Times New Roman"/>
          <w:color w:val="000000"/>
          <w:sz w:val="26"/>
          <w:szCs w:val="26"/>
        </w:rPr>
        <w:t>2015.gadā, un tendence saglabāja</w:t>
      </w:r>
      <w:r w:rsidRPr="00256917">
        <w:rPr>
          <w:rFonts w:ascii="Times New Roman" w:hAnsi="Times New Roman"/>
          <w:color w:val="000000"/>
          <w:sz w:val="26"/>
          <w:szCs w:val="26"/>
        </w:rPr>
        <w:t xml:space="preserve">s arī </w:t>
      </w:r>
      <w:r w:rsidR="00AC7C1D" w:rsidRPr="00256917">
        <w:rPr>
          <w:rFonts w:ascii="Times New Roman" w:hAnsi="Times New Roman"/>
          <w:color w:val="000000"/>
          <w:sz w:val="26"/>
          <w:szCs w:val="26"/>
        </w:rPr>
        <w:t>turpmākajos gados</w:t>
      </w:r>
      <w:r w:rsidRPr="00256917">
        <w:rPr>
          <w:rFonts w:ascii="Times New Roman" w:hAnsi="Times New Roman"/>
          <w:color w:val="000000"/>
          <w:sz w:val="26"/>
          <w:szCs w:val="26"/>
        </w:rPr>
        <w:t>. Galvenokārt tas skaidrojams ar 2014.gad</w:t>
      </w:r>
      <w:r w:rsidR="008B1059" w:rsidRPr="00256917">
        <w:rPr>
          <w:rFonts w:ascii="Times New Roman" w:hAnsi="Times New Roman"/>
          <w:color w:val="000000"/>
          <w:sz w:val="26"/>
          <w:szCs w:val="26"/>
        </w:rPr>
        <w:t>ā</w:t>
      </w:r>
      <w:r w:rsidRPr="00256917">
        <w:rPr>
          <w:rFonts w:ascii="Times New Roman" w:hAnsi="Times New Roman"/>
          <w:color w:val="000000"/>
          <w:sz w:val="26"/>
          <w:szCs w:val="26"/>
        </w:rPr>
        <w:t xml:space="preserve"> </w:t>
      </w:r>
      <w:r w:rsidR="008B1059" w:rsidRPr="00256917">
        <w:rPr>
          <w:rFonts w:ascii="Times New Roman" w:hAnsi="Times New Roman"/>
          <w:color w:val="000000"/>
          <w:sz w:val="26"/>
          <w:szCs w:val="26"/>
        </w:rPr>
        <w:t>veiktajiem g</w:t>
      </w:r>
      <w:r w:rsidRPr="00256917">
        <w:rPr>
          <w:rFonts w:ascii="Times New Roman" w:hAnsi="Times New Roman"/>
          <w:color w:val="000000"/>
          <w:sz w:val="26"/>
          <w:szCs w:val="26"/>
        </w:rPr>
        <w:t>rozījumiem Imigrācijas likumā</w:t>
      </w:r>
      <w:r w:rsidR="008B1059" w:rsidRPr="00256917">
        <w:rPr>
          <w:rFonts w:ascii="Times New Roman" w:hAnsi="Times New Roman"/>
          <w:color w:val="000000"/>
          <w:sz w:val="26"/>
          <w:szCs w:val="26"/>
        </w:rPr>
        <w:t xml:space="preserve">, </w:t>
      </w:r>
      <w:r w:rsidRPr="00256917">
        <w:rPr>
          <w:rFonts w:ascii="Times New Roman" w:hAnsi="Times New Roman"/>
          <w:color w:val="000000"/>
          <w:sz w:val="26"/>
          <w:szCs w:val="26"/>
        </w:rPr>
        <w:t>kas stājās spēkā 2014.gada 1.septembrī un noteica lielāku minimālo investīciju summu nekustamā īpašuma iegādes gadījumā</w:t>
      </w:r>
      <w:r w:rsidR="00AC7C1D" w:rsidRPr="00256917">
        <w:rPr>
          <w:rFonts w:ascii="Times New Roman" w:hAnsi="Times New Roman"/>
          <w:color w:val="000000"/>
          <w:sz w:val="26"/>
          <w:szCs w:val="26"/>
        </w:rPr>
        <w:t>.</w:t>
      </w:r>
    </w:p>
    <w:p w14:paraId="1819FC8D" w14:textId="77777777" w:rsidR="00256917" w:rsidRPr="00256917" w:rsidRDefault="002D40ED" w:rsidP="00E73DB6">
      <w:pPr>
        <w:spacing w:after="120"/>
        <w:ind w:firstLine="567"/>
        <w:jc w:val="both"/>
        <w:rPr>
          <w:rFonts w:ascii="Times New Roman" w:hAnsi="Times New Roman"/>
          <w:color w:val="000000"/>
          <w:sz w:val="26"/>
          <w:szCs w:val="26"/>
        </w:rPr>
      </w:pPr>
      <w:r w:rsidRPr="00256917">
        <w:rPr>
          <w:rFonts w:ascii="Times New Roman" w:hAnsi="Times New Roman"/>
          <w:color w:val="000000"/>
          <w:sz w:val="26"/>
          <w:szCs w:val="26"/>
        </w:rPr>
        <w:t>2021.gadā vērojams nekustamā īpašuma pircēju pieteikumu pieaugums, salīdzinot ar 2020.gadu, pieteikumu skaitam tomēr sasniedzot tikai 6</w:t>
      </w:r>
      <w:r w:rsidR="00990750" w:rsidRPr="00256917">
        <w:rPr>
          <w:rFonts w:ascii="Times New Roman" w:hAnsi="Times New Roman"/>
          <w:color w:val="000000"/>
          <w:sz w:val="26"/>
          <w:szCs w:val="26"/>
        </w:rPr>
        <w:t>,</w:t>
      </w:r>
      <w:r w:rsidRPr="00256917">
        <w:rPr>
          <w:rFonts w:ascii="Times New Roman" w:hAnsi="Times New Roman"/>
          <w:color w:val="000000"/>
          <w:sz w:val="26"/>
          <w:szCs w:val="26"/>
        </w:rPr>
        <w:t>3% no 2014</w:t>
      </w:r>
      <w:r w:rsidR="00256917">
        <w:rPr>
          <w:rFonts w:ascii="Times New Roman" w:hAnsi="Times New Roman"/>
          <w:color w:val="000000"/>
          <w:sz w:val="26"/>
          <w:szCs w:val="26"/>
        </w:rPr>
        <w:t xml:space="preserve">.gadā saņemto pieteikumu skaita, savukārt 2022.gadā investīcijas nekustamajā īpašumā, salīdzinot ar citiem investīciju veidiem, joprojām ir visbiežāk izmantotais TUA saņemšanas pamats, </w:t>
      </w:r>
      <w:r w:rsidR="00256917" w:rsidRPr="00256917">
        <w:rPr>
          <w:rFonts w:ascii="Times New Roman" w:hAnsi="Times New Roman"/>
          <w:color w:val="000000"/>
          <w:sz w:val="26"/>
          <w:szCs w:val="26"/>
        </w:rPr>
        <w:t xml:space="preserve">tomēr pieteikumu skaits ir samazinājies par 50%, salīdzinot ar 2021.gadu. </w:t>
      </w:r>
    </w:p>
    <w:p w14:paraId="2F6E2912" w14:textId="3A4073B4" w:rsidR="00EC2950" w:rsidRPr="00256917" w:rsidRDefault="00E62259" w:rsidP="00E73DB6">
      <w:pPr>
        <w:spacing w:after="120"/>
        <w:ind w:firstLine="567"/>
        <w:jc w:val="both"/>
        <w:rPr>
          <w:rFonts w:ascii="Times New Roman" w:hAnsi="Times New Roman"/>
          <w:color w:val="000000"/>
          <w:sz w:val="26"/>
          <w:szCs w:val="26"/>
        </w:rPr>
      </w:pPr>
      <w:r w:rsidRPr="00256917">
        <w:rPr>
          <w:rFonts w:ascii="Times New Roman" w:hAnsi="Times New Roman"/>
          <w:color w:val="000000"/>
          <w:sz w:val="26"/>
          <w:szCs w:val="26"/>
        </w:rPr>
        <w:t xml:space="preserve">TUA saņemšanai nepieciešamā minimālā ieguldījuma apmēra maiņa (palielinājums) nekustamā īpašuma iegādes gadījumā kopš 2014.gada 1.septembra ir samazinājusi darījumu skaitu ārpus Rīgas un Pierīgas (Jūrmala un Babītes, Mārupes, Olaines, Ķekavas, Baldones, Salaspils, Ikšķiles, Stopiņu, Ropažu, Garkalnes, Ādažu, Carnikavas un Saulkrastu novadi). No 2015.gadā iesniegtajiem 272 pieteikumiem tikai </w:t>
      </w:r>
      <w:r w:rsidRPr="00256917">
        <w:rPr>
          <w:rFonts w:ascii="Times New Roman" w:hAnsi="Times New Roman"/>
          <w:color w:val="000000"/>
          <w:sz w:val="26"/>
          <w:szCs w:val="26"/>
        </w:rPr>
        <w:lastRenderedPageBreak/>
        <w:t>72 notikuši pēc 2014.gada 1.septembra, t.i., atbilstoši jaunajām Imigrācijas likuma prasībām, turklāt neviens no tiem nav veikts ārpus Rīgas un Pierīgas. 2016.gadā n</w:t>
      </w:r>
      <w:r w:rsidR="00424678" w:rsidRPr="00256917">
        <w:rPr>
          <w:rFonts w:ascii="Times New Roman" w:hAnsi="Times New Roman"/>
          <w:color w:val="000000"/>
          <w:sz w:val="26"/>
          <w:szCs w:val="26"/>
        </w:rPr>
        <w:t>o 178</w:t>
      </w:r>
      <w:r w:rsidRPr="00256917">
        <w:rPr>
          <w:rFonts w:ascii="Times New Roman" w:hAnsi="Times New Roman"/>
          <w:color w:val="000000"/>
          <w:sz w:val="26"/>
          <w:szCs w:val="26"/>
        </w:rPr>
        <w:t xml:space="preserve"> pieteikumiem 140 atbilst jaunajām likuma prasībām, bet tikai četri īpašumi iegādāti ārpus Rīgas un Pierīgas – pa vienam īpašumam Jaunjelgavas, Bauskas, Engures un Kuldīgas novadā. No 2017.gada 1.janvāra pieteikumi par nekustamā īpašuma iegādi, kas veikta atbilstoši Imigrācijas likuma redakcijai, kas bija spēkā līdz 2014.gada 31.augustam, vairs </w:t>
      </w:r>
      <w:r w:rsidR="00424678" w:rsidRPr="00256917">
        <w:rPr>
          <w:rFonts w:ascii="Times New Roman" w:hAnsi="Times New Roman"/>
          <w:color w:val="000000"/>
          <w:sz w:val="26"/>
          <w:szCs w:val="26"/>
        </w:rPr>
        <w:t>nebija</w:t>
      </w:r>
      <w:r w:rsidRPr="00256917">
        <w:rPr>
          <w:rFonts w:ascii="Times New Roman" w:hAnsi="Times New Roman"/>
          <w:color w:val="000000"/>
          <w:sz w:val="26"/>
          <w:szCs w:val="26"/>
        </w:rPr>
        <w:t xml:space="preserve"> iesniedzami, līdz ar to visi nekustamā īpašuma iegādes darījumi (</w:t>
      </w:r>
      <w:r w:rsidR="00AC7C1D" w:rsidRPr="00256917">
        <w:rPr>
          <w:rFonts w:ascii="Times New Roman" w:hAnsi="Times New Roman"/>
          <w:color w:val="000000"/>
          <w:sz w:val="26"/>
          <w:szCs w:val="26"/>
        </w:rPr>
        <w:t>100</w:t>
      </w:r>
      <w:r w:rsidR="00424678" w:rsidRPr="00256917">
        <w:rPr>
          <w:rFonts w:ascii="Times New Roman" w:hAnsi="Times New Roman"/>
          <w:color w:val="000000"/>
          <w:sz w:val="26"/>
          <w:szCs w:val="26"/>
        </w:rPr>
        <w:t>) atbilda</w:t>
      </w:r>
      <w:r w:rsidRPr="00256917">
        <w:rPr>
          <w:rFonts w:ascii="Times New Roman" w:hAnsi="Times New Roman"/>
          <w:color w:val="000000"/>
          <w:sz w:val="26"/>
          <w:szCs w:val="26"/>
        </w:rPr>
        <w:t xml:space="preserve"> pašlaik spēkā esošajai minimālajai nekustamā īpašuma iegādes summai, t.i., vismaz 250 000 </w:t>
      </w:r>
      <w:r w:rsidRPr="00256917">
        <w:rPr>
          <w:rFonts w:ascii="Times New Roman" w:hAnsi="Times New Roman"/>
          <w:i/>
          <w:color w:val="000000"/>
          <w:sz w:val="26"/>
          <w:szCs w:val="26"/>
        </w:rPr>
        <w:t>euro</w:t>
      </w:r>
      <w:r w:rsidR="00424678" w:rsidRPr="00256917">
        <w:rPr>
          <w:rFonts w:ascii="Times New Roman" w:hAnsi="Times New Roman"/>
          <w:color w:val="000000"/>
          <w:sz w:val="26"/>
          <w:szCs w:val="26"/>
        </w:rPr>
        <w:t>, bet neviens no īpašumiem nebija</w:t>
      </w:r>
      <w:r w:rsidRPr="00256917">
        <w:rPr>
          <w:rFonts w:ascii="Times New Roman" w:hAnsi="Times New Roman"/>
          <w:color w:val="000000"/>
          <w:sz w:val="26"/>
          <w:szCs w:val="26"/>
        </w:rPr>
        <w:t xml:space="preserve"> iegādāts ārpus Rīgas vai Pierīgas</w:t>
      </w:r>
      <w:r w:rsidR="005E7487" w:rsidRPr="00256917">
        <w:rPr>
          <w:rFonts w:ascii="Times New Roman" w:hAnsi="Times New Roman"/>
          <w:color w:val="000000"/>
          <w:sz w:val="26"/>
          <w:szCs w:val="26"/>
        </w:rPr>
        <w:t>.</w:t>
      </w:r>
      <w:r w:rsidR="00AC7C1D" w:rsidRPr="00256917">
        <w:rPr>
          <w:rFonts w:ascii="Times New Roman" w:hAnsi="Times New Roman"/>
          <w:color w:val="000000"/>
          <w:sz w:val="26"/>
          <w:szCs w:val="26"/>
        </w:rPr>
        <w:t xml:space="preserve"> Līdzīga situācija </w:t>
      </w:r>
      <w:r w:rsidR="00424678" w:rsidRPr="00256917">
        <w:rPr>
          <w:rFonts w:ascii="Times New Roman" w:hAnsi="Times New Roman"/>
          <w:color w:val="000000"/>
          <w:sz w:val="26"/>
          <w:szCs w:val="26"/>
        </w:rPr>
        <w:t xml:space="preserve">vērojama arī </w:t>
      </w:r>
      <w:r w:rsidR="00256917" w:rsidRPr="00256917">
        <w:rPr>
          <w:rFonts w:ascii="Times New Roman" w:hAnsi="Times New Roman"/>
          <w:color w:val="000000"/>
          <w:sz w:val="26"/>
          <w:szCs w:val="26"/>
        </w:rPr>
        <w:t>turpmākajā periodā.</w:t>
      </w:r>
      <w:r w:rsidR="00EC2950" w:rsidRPr="00256917">
        <w:rPr>
          <w:rFonts w:ascii="Times New Roman" w:hAnsi="Times New Roman"/>
          <w:color w:val="000000"/>
          <w:sz w:val="26"/>
          <w:szCs w:val="26"/>
        </w:rPr>
        <w:t xml:space="preserve"> 2018.gadā</w:t>
      </w:r>
      <w:r w:rsidR="00424678" w:rsidRPr="00256917">
        <w:rPr>
          <w:rFonts w:ascii="Times New Roman" w:hAnsi="Times New Roman"/>
          <w:color w:val="000000"/>
          <w:sz w:val="26"/>
          <w:szCs w:val="26"/>
        </w:rPr>
        <w:t xml:space="preserve"> </w:t>
      </w:r>
      <w:r w:rsidR="00EC2950" w:rsidRPr="00256917">
        <w:rPr>
          <w:rFonts w:ascii="Times New Roman" w:hAnsi="Times New Roman"/>
          <w:color w:val="000000"/>
          <w:sz w:val="26"/>
          <w:szCs w:val="26"/>
        </w:rPr>
        <w:t>saņemti</w:t>
      </w:r>
      <w:r w:rsidR="00AC7C1D" w:rsidRPr="00256917">
        <w:rPr>
          <w:rFonts w:ascii="Times New Roman" w:hAnsi="Times New Roman"/>
          <w:color w:val="000000"/>
          <w:sz w:val="26"/>
          <w:szCs w:val="26"/>
        </w:rPr>
        <w:t xml:space="preserve"> </w:t>
      </w:r>
      <w:r w:rsidR="00424678" w:rsidRPr="00256917">
        <w:rPr>
          <w:rFonts w:ascii="Times New Roman" w:hAnsi="Times New Roman"/>
          <w:color w:val="000000"/>
          <w:sz w:val="26"/>
          <w:szCs w:val="26"/>
        </w:rPr>
        <w:t>99</w:t>
      </w:r>
      <w:r w:rsidR="00AC7C1D" w:rsidRPr="00256917">
        <w:rPr>
          <w:rFonts w:ascii="Times New Roman" w:hAnsi="Times New Roman"/>
          <w:color w:val="000000"/>
          <w:sz w:val="26"/>
          <w:szCs w:val="26"/>
        </w:rPr>
        <w:t xml:space="preserve"> pieteikumi, </w:t>
      </w:r>
      <w:bookmarkStart w:id="9" w:name="_Hlk60214881"/>
      <w:r w:rsidR="00AC7C1D" w:rsidRPr="00256917">
        <w:rPr>
          <w:rFonts w:ascii="Times New Roman" w:hAnsi="Times New Roman"/>
          <w:color w:val="000000"/>
          <w:sz w:val="26"/>
          <w:szCs w:val="26"/>
        </w:rPr>
        <w:t xml:space="preserve">visi – Rīgā vai Pierīgā, izņemot </w:t>
      </w:r>
      <w:r w:rsidR="00DE7B39" w:rsidRPr="00256917">
        <w:rPr>
          <w:rFonts w:ascii="Times New Roman" w:hAnsi="Times New Roman"/>
          <w:color w:val="000000"/>
          <w:sz w:val="26"/>
          <w:szCs w:val="26"/>
        </w:rPr>
        <w:t xml:space="preserve">trīs </w:t>
      </w:r>
      <w:r w:rsidR="00AC7C1D" w:rsidRPr="00256917">
        <w:rPr>
          <w:rFonts w:ascii="Times New Roman" w:hAnsi="Times New Roman"/>
          <w:color w:val="000000"/>
          <w:sz w:val="26"/>
          <w:szCs w:val="26"/>
        </w:rPr>
        <w:t>darīj</w:t>
      </w:r>
      <w:r w:rsidR="00424678" w:rsidRPr="00256917">
        <w:rPr>
          <w:rFonts w:ascii="Times New Roman" w:hAnsi="Times New Roman"/>
          <w:color w:val="000000"/>
          <w:sz w:val="26"/>
          <w:szCs w:val="26"/>
        </w:rPr>
        <w:t xml:space="preserve">umus, </w:t>
      </w:r>
      <w:bookmarkEnd w:id="9"/>
      <w:r w:rsidR="00424678" w:rsidRPr="00256917">
        <w:rPr>
          <w:rFonts w:ascii="Times New Roman" w:hAnsi="Times New Roman"/>
          <w:color w:val="000000"/>
          <w:sz w:val="26"/>
          <w:szCs w:val="26"/>
        </w:rPr>
        <w:t>kas veikti Bauskas novadā</w:t>
      </w:r>
      <w:r w:rsidR="00DE7B39" w:rsidRPr="00256917">
        <w:rPr>
          <w:rFonts w:ascii="Times New Roman" w:hAnsi="Times New Roman"/>
          <w:color w:val="000000"/>
          <w:sz w:val="26"/>
          <w:szCs w:val="26"/>
        </w:rPr>
        <w:t xml:space="preserve"> un vienu darījumu </w:t>
      </w:r>
      <w:bookmarkStart w:id="10" w:name="_Hlk60214906"/>
      <w:r w:rsidR="00DE7B39" w:rsidRPr="00256917">
        <w:rPr>
          <w:rFonts w:ascii="Times New Roman" w:hAnsi="Times New Roman"/>
          <w:color w:val="000000"/>
          <w:sz w:val="26"/>
          <w:szCs w:val="26"/>
        </w:rPr>
        <w:t>Pārgaujas novadā</w:t>
      </w:r>
      <w:bookmarkEnd w:id="10"/>
      <w:r w:rsidR="00424678" w:rsidRPr="00256917">
        <w:rPr>
          <w:rFonts w:ascii="Times New Roman" w:hAnsi="Times New Roman"/>
          <w:color w:val="000000"/>
          <w:sz w:val="26"/>
          <w:szCs w:val="26"/>
        </w:rPr>
        <w:t xml:space="preserve">, </w:t>
      </w:r>
      <w:r w:rsidR="00AD1EC4" w:rsidRPr="00256917">
        <w:rPr>
          <w:rFonts w:ascii="Times New Roman" w:hAnsi="Times New Roman"/>
          <w:color w:val="000000"/>
          <w:sz w:val="26"/>
          <w:szCs w:val="26"/>
        </w:rPr>
        <w:t>2</w:t>
      </w:r>
      <w:r w:rsidR="00424678" w:rsidRPr="00256917">
        <w:rPr>
          <w:rFonts w:ascii="Times New Roman" w:hAnsi="Times New Roman"/>
          <w:color w:val="000000"/>
          <w:sz w:val="26"/>
          <w:szCs w:val="26"/>
        </w:rPr>
        <w:t>019.gad</w:t>
      </w:r>
      <w:r w:rsidR="00EC2950" w:rsidRPr="00256917">
        <w:rPr>
          <w:rFonts w:ascii="Times New Roman" w:hAnsi="Times New Roman"/>
          <w:color w:val="000000"/>
          <w:sz w:val="26"/>
          <w:szCs w:val="26"/>
        </w:rPr>
        <w:t>ā – 10</w:t>
      </w:r>
      <w:r w:rsidR="00AD1EC4" w:rsidRPr="00256917">
        <w:rPr>
          <w:rFonts w:ascii="Times New Roman" w:hAnsi="Times New Roman"/>
          <w:color w:val="000000"/>
          <w:sz w:val="26"/>
          <w:szCs w:val="26"/>
        </w:rPr>
        <w:t xml:space="preserve">0 </w:t>
      </w:r>
      <w:r w:rsidR="00EC2950" w:rsidRPr="00256917">
        <w:rPr>
          <w:rFonts w:ascii="Times New Roman" w:hAnsi="Times New Roman"/>
          <w:color w:val="000000"/>
          <w:sz w:val="26"/>
          <w:szCs w:val="26"/>
        </w:rPr>
        <w:t>pieteikumi</w:t>
      </w:r>
      <w:r w:rsidR="00B118B7" w:rsidRPr="00256917">
        <w:rPr>
          <w:rFonts w:ascii="Times New Roman" w:hAnsi="Times New Roman"/>
          <w:color w:val="000000"/>
          <w:sz w:val="26"/>
          <w:szCs w:val="26"/>
        </w:rPr>
        <w:t xml:space="preserve">, </w:t>
      </w:r>
      <w:r w:rsidR="00E73DB6" w:rsidRPr="00256917">
        <w:rPr>
          <w:rFonts w:ascii="Times New Roman" w:hAnsi="Times New Roman"/>
          <w:color w:val="000000"/>
          <w:sz w:val="26"/>
          <w:szCs w:val="26"/>
        </w:rPr>
        <w:t>no kuriem</w:t>
      </w:r>
      <w:r w:rsidR="00B118B7" w:rsidRPr="00256917">
        <w:rPr>
          <w:rFonts w:ascii="Times New Roman" w:hAnsi="Times New Roman"/>
          <w:color w:val="000000"/>
          <w:sz w:val="26"/>
          <w:szCs w:val="26"/>
        </w:rPr>
        <w:t xml:space="preserve"> vien</w:t>
      </w:r>
      <w:r w:rsidR="00E73DB6" w:rsidRPr="00256917">
        <w:rPr>
          <w:rFonts w:ascii="Times New Roman" w:hAnsi="Times New Roman"/>
          <w:color w:val="000000"/>
          <w:sz w:val="26"/>
          <w:szCs w:val="26"/>
        </w:rPr>
        <w:t>s</w:t>
      </w:r>
      <w:r w:rsidR="00B118B7" w:rsidRPr="00256917">
        <w:rPr>
          <w:rFonts w:ascii="Times New Roman" w:hAnsi="Times New Roman"/>
          <w:color w:val="000000"/>
          <w:sz w:val="26"/>
          <w:szCs w:val="26"/>
        </w:rPr>
        <w:t xml:space="preserve"> darījum</w:t>
      </w:r>
      <w:r w:rsidR="00E73DB6" w:rsidRPr="00256917">
        <w:rPr>
          <w:rFonts w:ascii="Times New Roman" w:hAnsi="Times New Roman"/>
          <w:color w:val="000000"/>
          <w:sz w:val="26"/>
          <w:szCs w:val="26"/>
        </w:rPr>
        <w:t>s</w:t>
      </w:r>
      <w:r w:rsidR="00B118B7" w:rsidRPr="00256917">
        <w:t xml:space="preserve"> </w:t>
      </w:r>
      <w:r w:rsidR="00B118B7" w:rsidRPr="00256917">
        <w:rPr>
          <w:rFonts w:ascii="Times New Roman" w:hAnsi="Times New Roman"/>
          <w:color w:val="000000"/>
          <w:sz w:val="26"/>
          <w:szCs w:val="26"/>
        </w:rPr>
        <w:t>Pārgaujas novadā</w:t>
      </w:r>
      <w:r w:rsidR="00E73DB6" w:rsidRPr="00256917">
        <w:rPr>
          <w:rFonts w:ascii="Times New Roman" w:hAnsi="Times New Roman"/>
          <w:color w:val="000000"/>
          <w:sz w:val="26"/>
          <w:szCs w:val="26"/>
        </w:rPr>
        <w:t>, pārējie – Rīgā vai Pierīgā</w:t>
      </w:r>
      <w:r w:rsidR="00B118B7" w:rsidRPr="00256917">
        <w:rPr>
          <w:rFonts w:ascii="Times New Roman" w:hAnsi="Times New Roman"/>
          <w:color w:val="000000"/>
          <w:sz w:val="26"/>
          <w:szCs w:val="26"/>
        </w:rPr>
        <w:t>.</w:t>
      </w:r>
      <w:r w:rsidR="00B118B7" w:rsidRPr="00256917">
        <w:t xml:space="preserve"> </w:t>
      </w:r>
      <w:r w:rsidR="00B118B7" w:rsidRPr="00256917">
        <w:rPr>
          <w:rFonts w:ascii="Times New Roman" w:hAnsi="Times New Roman"/>
          <w:color w:val="000000"/>
          <w:sz w:val="26"/>
          <w:szCs w:val="26"/>
        </w:rPr>
        <w:t xml:space="preserve">2020.gadā saņemti </w:t>
      </w:r>
      <w:r w:rsidR="00AD1EC4" w:rsidRPr="00256917">
        <w:rPr>
          <w:rFonts w:ascii="Times New Roman" w:hAnsi="Times New Roman"/>
          <w:color w:val="000000"/>
          <w:sz w:val="26"/>
          <w:szCs w:val="26"/>
        </w:rPr>
        <w:t xml:space="preserve">69 </w:t>
      </w:r>
      <w:r w:rsidR="00B118B7" w:rsidRPr="00256917">
        <w:rPr>
          <w:rFonts w:ascii="Times New Roman" w:hAnsi="Times New Roman"/>
          <w:color w:val="000000"/>
          <w:sz w:val="26"/>
          <w:szCs w:val="26"/>
        </w:rPr>
        <w:t>pieteikumi, visi</w:t>
      </w:r>
      <w:r w:rsidR="00B118B7" w:rsidRPr="00256917">
        <w:t xml:space="preserve"> </w:t>
      </w:r>
      <w:r w:rsidR="00B118B7" w:rsidRPr="00256917">
        <w:rPr>
          <w:rFonts w:ascii="Times New Roman" w:hAnsi="Times New Roman"/>
          <w:color w:val="000000"/>
          <w:sz w:val="26"/>
          <w:szCs w:val="26"/>
        </w:rPr>
        <w:t>Rīgā</w:t>
      </w:r>
      <w:r w:rsidR="00287A2A" w:rsidRPr="00256917">
        <w:rPr>
          <w:rFonts w:ascii="Times New Roman" w:hAnsi="Times New Roman"/>
          <w:color w:val="000000"/>
          <w:sz w:val="26"/>
          <w:szCs w:val="26"/>
        </w:rPr>
        <w:t xml:space="preserve">, </w:t>
      </w:r>
      <w:r w:rsidR="00B118B7" w:rsidRPr="00256917">
        <w:rPr>
          <w:rFonts w:ascii="Times New Roman" w:hAnsi="Times New Roman"/>
          <w:color w:val="000000"/>
          <w:sz w:val="26"/>
          <w:szCs w:val="26"/>
        </w:rPr>
        <w:t>Pierīgā</w:t>
      </w:r>
      <w:r w:rsidR="002D40ED" w:rsidRPr="00256917">
        <w:rPr>
          <w:rFonts w:ascii="Times New Roman" w:hAnsi="Times New Roman"/>
          <w:color w:val="000000"/>
          <w:sz w:val="26"/>
          <w:szCs w:val="26"/>
        </w:rPr>
        <w:t>, 2021.gadā – 14</w:t>
      </w:r>
      <w:r w:rsidR="00EF776E" w:rsidRPr="00256917">
        <w:rPr>
          <w:rFonts w:ascii="Times New Roman" w:hAnsi="Times New Roman"/>
          <w:color w:val="000000"/>
          <w:sz w:val="26"/>
          <w:szCs w:val="26"/>
        </w:rPr>
        <w:t>5</w:t>
      </w:r>
      <w:r w:rsidR="002D40ED" w:rsidRPr="00256917">
        <w:rPr>
          <w:rFonts w:ascii="Times New Roman" w:hAnsi="Times New Roman"/>
          <w:color w:val="000000"/>
          <w:sz w:val="26"/>
          <w:szCs w:val="26"/>
        </w:rPr>
        <w:t xml:space="preserve"> pieteikumi, no kuriem visi – Rīgā vai Pierīgā</w:t>
      </w:r>
      <w:r w:rsidR="00287A2A" w:rsidRPr="00256917">
        <w:rPr>
          <w:rFonts w:ascii="Times New Roman" w:hAnsi="Times New Roman"/>
          <w:color w:val="000000"/>
          <w:sz w:val="26"/>
          <w:szCs w:val="26"/>
        </w:rPr>
        <w:t>, izņemot vienu Amatas pagastā iegādātu īpašumu</w:t>
      </w:r>
      <w:r w:rsidR="002D40ED" w:rsidRPr="00256917">
        <w:rPr>
          <w:rFonts w:ascii="Times New Roman" w:hAnsi="Times New Roman"/>
          <w:color w:val="000000"/>
          <w:sz w:val="26"/>
          <w:szCs w:val="26"/>
        </w:rPr>
        <w:t>.</w:t>
      </w:r>
      <w:r w:rsidR="00AD1EC4" w:rsidRPr="00256917">
        <w:rPr>
          <w:rFonts w:ascii="Times New Roman" w:hAnsi="Times New Roman"/>
          <w:color w:val="000000"/>
          <w:sz w:val="26"/>
          <w:szCs w:val="26"/>
        </w:rPr>
        <w:t xml:space="preserve"> </w:t>
      </w:r>
      <w:r w:rsidR="00256917" w:rsidRPr="00256917">
        <w:rPr>
          <w:rFonts w:ascii="Times New Roman" w:hAnsi="Times New Roman"/>
          <w:color w:val="000000"/>
          <w:sz w:val="26"/>
          <w:szCs w:val="26"/>
        </w:rPr>
        <w:t xml:space="preserve">2022.gadā visi iegādātie īpašumi atrodas Rīgā, Jūrmalā vai Pierīgā. </w:t>
      </w:r>
    </w:p>
    <w:p w14:paraId="451F9CF0" w14:textId="4A2889A2" w:rsidR="00A15702" w:rsidRPr="00256917" w:rsidRDefault="00A15702" w:rsidP="00A15702">
      <w:pPr>
        <w:tabs>
          <w:tab w:val="center" w:pos="1386"/>
          <w:tab w:val="center" w:pos="1624"/>
          <w:tab w:val="center" w:pos="2324"/>
          <w:tab w:val="center" w:pos="2660"/>
          <w:tab w:val="center" w:pos="3906"/>
        </w:tabs>
        <w:spacing w:after="120"/>
        <w:ind w:firstLine="567"/>
        <w:jc w:val="both"/>
        <w:rPr>
          <w:rFonts w:ascii="Times New Roman" w:eastAsia="Calibri" w:hAnsi="Times New Roman"/>
          <w:sz w:val="26"/>
          <w:szCs w:val="26"/>
        </w:rPr>
      </w:pPr>
      <w:r w:rsidRPr="00256917">
        <w:rPr>
          <w:rFonts w:ascii="Times New Roman" w:eastAsia="Calibri" w:hAnsi="Times New Roman"/>
          <w:sz w:val="26"/>
          <w:szCs w:val="26"/>
        </w:rPr>
        <w:t>Jāatzīmē, ka ar TUA saņemšanu saistītie nekustamā īpašuma iegādes darījumi veido mazu daļu kopējā Zemesgrāmatā reģistrēto pirkuma līgumu skaitā. Bez tam ar TUA saņemšanu ir saistīta tikai daļa no nerezidentu iegādātajiem nekustamajiem īpašumiem, uz ko norāda gan iepriekšējos gados Valsts zemes dienesta sniegtā informācija, gan arī ar TUA saistīto ieguldījumu apjoms kopējā nerezidentu ieguldījumā nekustamajos īpašumos (4.attēls).</w:t>
      </w:r>
    </w:p>
    <w:p w14:paraId="68D46DAA" w14:textId="77777777" w:rsidR="00A15702" w:rsidRPr="00256917" w:rsidRDefault="00A15702" w:rsidP="00A15702">
      <w:pPr>
        <w:tabs>
          <w:tab w:val="center" w:pos="1386"/>
          <w:tab w:val="center" w:pos="1624"/>
          <w:tab w:val="center" w:pos="2324"/>
          <w:tab w:val="center" w:pos="2660"/>
          <w:tab w:val="center" w:pos="3906"/>
        </w:tabs>
        <w:ind w:firstLine="567"/>
        <w:jc w:val="both"/>
        <w:rPr>
          <w:rFonts w:ascii="Times New Roman" w:eastAsia="Calibri" w:hAnsi="Times New Roman"/>
          <w:sz w:val="24"/>
          <w:szCs w:val="24"/>
        </w:rPr>
      </w:pPr>
    </w:p>
    <w:p w14:paraId="388001BA" w14:textId="6781F185" w:rsidR="00A15702" w:rsidRPr="00256917" w:rsidRDefault="00A15702" w:rsidP="00A15702">
      <w:pPr>
        <w:tabs>
          <w:tab w:val="center" w:pos="1386"/>
          <w:tab w:val="center" w:pos="1624"/>
          <w:tab w:val="center" w:pos="2324"/>
          <w:tab w:val="center" w:pos="2660"/>
          <w:tab w:val="center" w:pos="3906"/>
        </w:tabs>
        <w:spacing w:after="120"/>
        <w:ind w:left="567"/>
        <w:jc w:val="right"/>
        <w:rPr>
          <w:rFonts w:ascii="Times New Roman" w:hAnsi="Times New Roman"/>
          <w:sz w:val="26"/>
          <w:szCs w:val="26"/>
        </w:rPr>
      </w:pPr>
      <w:r w:rsidRPr="00256917">
        <w:rPr>
          <w:rFonts w:ascii="Times New Roman" w:hAnsi="Times New Roman"/>
          <w:sz w:val="26"/>
          <w:szCs w:val="26"/>
        </w:rPr>
        <w:t>4.attēls</w:t>
      </w:r>
    </w:p>
    <w:p w14:paraId="74A425A8" w14:textId="77777777" w:rsidR="00256917" w:rsidRPr="00997AB9" w:rsidRDefault="00256917" w:rsidP="00256917">
      <w:pPr>
        <w:tabs>
          <w:tab w:val="center" w:pos="1386"/>
          <w:tab w:val="center" w:pos="1624"/>
          <w:tab w:val="center" w:pos="2324"/>
          <w:tab w:val="center" w:pos="2660"/>
          <w:tab w:val="center" w:pos="3906"/>
        </w:tabs>
        <w:spacing w:after="120"/>
        <w:jc w:val="center"/>
        <w:rPr>
          <w:rFonts w:ascii="Times New Roman" w:hAnsi="Times New Roman"/>
        </w:rPr>
      </w:pPr>
      <w:r w:rsidRPr="00DF4CD8">
        <w:rPr>
          <w:rFonts w:ascii="Times New Roman" w:hAnsi="Times New Roman"/>
          <w:b/>
          <w:sz w:val="26"/>
          <w:szCs w:val="26"/>
        </w:rPr>
        <w:t>TUA saņēmušo ārzemnieku darījumi pret visiem Zemesgrāmatā reģistrētajiem pirkuma līgumiem</w:t>
      </w:r>
      <w:r w:rsidRPr="00287A2A">
        <w:rPr>
          <w:rFonts w:ascii="Times New Roman" w:hAnsi="Times New Roman"/>
          <w:sz w:val="26"/>
          <w:szCs w:val="26"/>
        </w:rPr>
        <w:br/>
      </w:r>
      <w:r w:rsidRPr="00287A2A">
        <w:rPr>
          <w:rFonts w:ascii="Times New Roman" w:hAnsi="Times New Roman"/>
        </w:rPr>
        <w:t xml:space="preserve">(kreisā ass – darījumu skaits tūkstošos; labā ass – darījumu summa milj. </w:t>
      </w:r>
      <w:r w:rsidRPr="00287A2A">
        <w:rPr>
          <w:rFonts w:ascii="Times New Roman" w:hAnsi="Times New Roman"/>
          <w:i/>
        </w:rPr>
        <w:t>euro</w:t>
      </w:r>
      <w:r w:rsidRPr="00287A2A">
        <w:rPr>
          <w:rFonts w:ascii="Times New Roman" w:hAnsi="Times New Roman"/>
        </w:rPr>
        <w:t>)</w:t>
      </w:r>
    </w:p>
    <w:p w14:paraId="58459158" w14:textId="77777777" w:rsidR="00256917" w:rsidRPr="002631EB" w:rsidRDefault="00256917" w:rsidP="00256917">
      <w:pPr>
        <w:tabs>
          <w:tab w:val="center" w:pos="1386"/>
          <w:tab w:val="center" w:pos="1624"/>
          <w:tab w:val="center" w:pos="2324"/>
          <w:tab w:val="center" w:pos="2660"/>
          <w:tab w:val="center" w:pos="3906"/>
        </w:tabs>
        <w:spacing w:after="240"/>
        <w:jc w:val="both"/>
        <w:rPr>
          <w:rFonts w:ascii="Times New Roman" w:eastAsia="Calibri" w:hAnsi="Times New Roman"/>
          <w:i/>
        </w:rPr>
      </w:pPr>
      <w:r w:rsidRPr="00997AB9">
        <w:rPr>
          <w:noProof/>
          <w:szCs w:val="20"/>
          <w:lang w:eastAsia="lv-LV"/>
        </w:rPr>
        <w:drawing>
          <wp:inline distT="0" distB="0" distL="0" distR="0" wp14:anchorId="2DC7D0A9" wp14:editId="659CB9EF">
            <wp:extent cx="5572125" cy="3209925"/>
            <wp:effectExtent l="0" t="0" r="9525" b="9525"/>
            <wp:docPr id="4" name="Chart 4">
              <a:extLst xmlns:a="http://schemas.openxmlformats.org/drawingml/2006/main">
                <a:ext uri="{FF2B5EF4-FFF2-40B4-BE49-F238E27FC236}">
                  <a16:creationId xmlns:a16="http://schemas.microsoft.com/office/drawing/2014/main" id="{4648BD14-EB68-4C7F-B27E-7E9502CF8CF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7FE5CBC9" w14:textId="77777777" w:rsidR="00256917" w:rsidRDefault="00256917" w:rsidP="00256917">
      <w:pPr>
        <w:tabs>
          <w:tab w:val="center" w:pos="1386"/>
          <w:tab w:val="center" w:pos="1624"/>
          <w:tab w:val="center" w:pos="2324"/>
          <w:tab w:val="center" w:pos="2660"/>
          <w:tab w:val="center" w:pos="3906"/>
        </w:tabs>
        <w:spacing w:after="240"/>
        <w:jc w:val="both"/>
        <w:rPr>
          <w:rFonts w:ascii="Times New Roman" w:hAnsi="Times New Roman"/>
          <w:sz w:val="26"/>
          <w:szCs w:val="26"/>
        </w:rPr>
      </w:pPr>
      <w:r w:rsidRPr="00287A2A">
        <w:rPr>
          <w:rFonts w:ascii="Times New Roman" w:eastAsia="Calibri" w:hAnsi="Times New Roman"/>
          <w:i/>
        </w:rPr>
        <w:t>Avots</w:t>
      </w:r>
      <w:r w:rsidRPr="00DF4CD8">
        <w:rPr>
          <w:rFonts w:ascii="Times New Roman" w:eastAsia="Calibri" w:hAnsi="Times New Roman"/>
          <w:i/>
        </w:rPr>
        <w:t>: PMLP,</w:t>
      </w:r>
      <w:r w:rsidRPr="00287A2A">
        <w:rPr>
          <w:rFonts w:ascii="Times New Roman" w:eastAsia="Calibri" w:hAnsi="Times New Roman"/>
          <w:i/>
        </w:rPr>
        <w:t xml:space="preserve"> Zemesgrāmatas, LB dati</w:t>
      </w:r>
      <w:r w:rsidRPr="00997AB9">
        <w:rPr>
          <w:rFonts w:ascii="Times New Roman" w:eastAsia="Calibri" w:hAnsi="Times New Roman"/>
          <w:i/>
        </w:rPr>
        <w:t xml:space="preserve">         </w:t>
      </w:r>
      <w:r>
        <w:rPr>
          <w:rFonts w:ascii="Times New Roman" w:hAnsi="Times New Roman"/>
          <w:sz w:val="26"/>
          <w:szCs w:val="26"/>
        </w:rPr>
        <w:tab/>
      </w:r>
      <w:r>
        <w:rPr>
          <w:rFonts w:ascii="Times New Roman" w:hAnsi="Times New Roman"/>
          <w:sz w:val="26"/>
          <w:szCs w:val="26"/>
        </w:rPr>
        <w:tab/>
      </w:r>
    </w:p>
    <w:p w14:paraId="35101310" w14:textId="615EA20F" w:rsidR="00256917" w:rsidRDefault="00256917" w:rsidP="00256917">
      <w:pPr>
        <w:spacing w:after="240"/>
        <w:ind w:firstLine="567"/>
        <w:jc w:val="both"/>
        <w:rPr>
          <w:rFonts w:ascii="Times New Roman" w:hAnsi="Times New Roman"/>
          <w:sz w:val="26"/>
          <w:szCs w:val="26"/>
        </w:rPr>
      </w:pPr>
      <w:r>
        <w:rPr>
          <w:rFonts w:ascii="Times New Roman" w:hAnsi="Times New Roman"/>
          <w:sz w:val="26"/>
          <w:szCs w:val="26"/>
        </w:rPr>
        <w:lastRenderedPageBreak/>
        <w:t>Kā liecina tirgus dati, k</w:t>
      </w:r>
      <w:r w:rsidRPr="003D5D24">
        <w:rPr>
          <w:rFonts w:ascii="Times New Roman" w:hAnsi="Times New Roman"/>
          <w:sz w:val="26"/>
          <w:szCs w:val="26"/>
        </w:rPr>
        <w:t>opš 2014.gada ievērojami samazinājies nekustamā īpašuma pircēju – ārzemnieku skaits,</w:t>
      </w:r>
      <w:r>
        <w:rPr>
          <w:rFonts w:ascii="Times New Roman" w:hAnsi="Times New Roman"/>
          <w:sz w:val="26"/>
          <w:szCs w:val="26"/>
        </w:rPr>
        <w:t xml:space="preserve"> un</w:t>
      </w:r>
      <w:r w:rsidRPr="003D5D24">
        <w:rPr>
          <w:rFonts w:ascii="Times New Roman" w:hAnsi="Times New Roman"/>
          <w:sz w:val="26"/>
          <w:szCs w:val="26"/>
        </w:rPr>
        <w:t xml:space="preserve"> nozare lielā mērā </w:t>
      </w:r>
      <w:r w:rsidRPr="00287A2A">
        <w:rPr>
          <w:rFonts w:ascii="Times New Roman" w:hAnsi="Times New Roman"/>
          <w:sz w:val="26"/>
          <w:szCs w:val="26"/>
        </w:rPr>
        <w:t xml:space="preserve">pārkārtojusies uz vietējo pieprasījumu. Jāatzīmē, ka Covid-19 izplatība un ieviestie ierobežojošie pasākumi </w:t>
      </w:r>
      <w:r>
        <w:rPr>
          <w:rFonts w:ascii="Times New Roman" w:hAnsi="Times New Roman"/>
          <w:sz w:val="26"/>
          <w:szCs w:val="26"/>
        </w:rPr>
        <w:t>būtiski neietekmēja</w:t>
      </w:r>
      <w:r w:rsidRPr="00287A2A">
        <w:rPr>
          <w:rFonts w:ascii="Times New Roman" w:hAnsi="Times New Roman"/>
          <w:sz w:val="26"/>
          <w:szCs w:val="26"/>
        </w:rPr>
        <w:t xml:space="preserve"> aktivitāti nekustamā īpašuma tirgū. Galvenās izmaiņas skār</w:t>
      </w:r>
      <w:r>
        <w:rPr>
          <w:rFonts w:ascii="Times New Roman" w:hAnsi="Times New Roman"/>
          <w:sz w:val="26"/>
          <w:szCs w:val="26"/>
        </w:rPr>
        <w:t xml:space="preserve">a </w:t>
      </w:r>
      <w:r w:rsidRPr="00287A2A">
        <w:rPr>
          <w:rFonts w:ascii="Times New Roman" w:hAnsi="Times New Roman"/>
          <w:sz w:val="26"/>
          <w:szCs w:val="26"/>
        </w:rPr>
        <w:t xml:space="preserve">īstermiņa īres segmentu, ko negatīvi </w:t>
      </w:r>
      <w:r>
        <w:rPr>
          <w:rFonts w:ascii="Times New Roman" w:hAnsi="Times New Roman"/>
          <w:sz w:val="26"/>
          <w:szCs w:val="26"/>
        </w:rPr>
        <w:t>ietekmējusi</w:t>
      </w:r>
      <w:r w:rsidRPr="00287A2A">
        <w:rPr>
          <w:rFonts w:ascii="Times New Roman" w:hAnsi="Times New Roman"/>
          <w:sz w:val="26"/>
          <w:szCs w:val="26"/>
        </w:rPr>
        <w:t xml:space="preserve"> situācija tūrisma jomā saistībā ar Covid-19 pandēmiju un ar to saistītajiem ceļošanas u.c. ierobežojumiem.</w:t>
      </w:r>
    </w:p>
    <w:p w14:paraId="44B8174B" w14:textId="1F96AE94" w:rsidR="00256917" w:rsidRDefault="00256917" w:rsidP="00256917">
      <w:pPr>
        <w:spacing w:after="240"/>
        <w:ind w:firstLine="567"/>
        <w:jc w:val="both"/>
        <w:rPr>
          <w:rFonts w:ascii="Times New Roman" w:hAnsi="Times New Roman"/>
          <w:sz w:val="26"/>
          <w:szCs w:val="26"/>
        </w:rPr>
      </w:pPr>
      <w:r>
        <w:rPr>
          <w:rFonts w:ascii="Times New Roman" w:hAnsi="Times New Roman"/>
          <w:sz w:val="26"/>
          <w:szCs w:val="26"/>
        </w:rPr>
        <w:t xml:space="preserve">Ņemot vērā 2022.gada </w:t>
      </w:r>
      <w:r w:rsidRPr="00F808A8">
        <w:rPr>
          <w:rFonts w:ascii="Times New Roman" w:hAnsi="Times New Roman"/>
          <w:sz w:val="26"/>
          <w:szCs w:val="26"/>
        </w:rPr>
        <w:t>Imigrācijas likuma grozījum</w:t>
      </w:r>
      <w:r>
        <w:rPr>
          <w:rFonts w:ascii="Times New Roman" w:hAnsi="Times New Roman"/>
          <w:sz w:val="26"/>
          <w:szCs w:val="26"/>
        </w:rPr>
        <w:t>us,</w:t>
      </w:r>
      <w:r w:rsidRPr="00F808A8">
        <w:rPr>
          <w:rFonts w:ascii="Times New Roman" w:hAnsi="Times New Roman"/>
          <w:sz w:val="26"/>
          <w:szCs w:val="26"/>
        </w:rPr>
        <w:t xml:space="preserve"> </w:t>
      </w:r>
      <w:r>
        <w:rPr>
          <w:rFonts w:ascii="Times New Roman" w:hAnsi="Times New Roman"/>
          <w:sz w:val="26"/>
          <w:szCs w:val="26"/>
        </w:rPr>
        <w:t>sagaidāms, ka tirgū</w:t>
      </w:r>
      <w:r w:rsidRPr="003C3FF1">
        <w:rPr>
          <w:rFonts w:ascii="Times New Roman" w:hAnsi="Times New Roman"/>
          <w:sz w:val="26"/>
          <w:szCs w:val="26"/>
        </w:rPr>
        <w:t xml:space="preserve"> </w:t>
      </w:r>
      <w:r>
        <w:rPr>
          <w:rFonts w:ascii="Times New Roman" w:hAnsi="Times New Roman"/>
          <w:sz w:val="26"/>
          <w:szCs w:val="26"/>
        </w:rPr>
        <w:t xml:space="preserve">varētu palielināties nekustamo </w:t>
      </w:r>
      <w:r w:rsidRPr="003C3FF1">
        <w:rPr>
          <w:rFonts w:ascii="Times New Roman" w:hAnsi="Times New Roman"/>
          <w:sz w:val="26"/>
          <w:szCs w:val="26"/>
        </w:rPr>
        <w:t>īpašumu skaits, kurus</w:t>
      </w:r>
      <w:r>
        <w:rPr>
          <w:rFonts w:ascii="Times New Roman" w:hAnsi="Times New Roman"/>
          <w:sz w:val="26"/>
          <w:szCs w:val="26"/>
        </w:rPr>
        <w:t xml:space="preserve"> vēlēsies pārdot vai izīrēt</w:t>
      </w:r>
      <w:r w:rsidRPr="003C3FF1">
        <w:rPr>
          <w:rFonts w:ascii="Times New Roman" w:hAnsi="Times New Roman"/>
          <w:sz w:val="26"/>
          <w:szCs w:val="26"/>
        </w:rPr>
        <w:t xml:space="preserve"> Krievijas un Baltkrievijas </w:t>
      </w:r>
      <w:r>
        <w:rPr>
          <w:rFonts w:ascii="Times New Roman" w:hAnsi="Times New Roman"/>
          <w:sz w:val="26"/>
          <w:szCs w:val="26"/>
        </w:rPr>
        <w:t>pilsoņi</w:t>
      </w:r>
      <w:r w:rsidRPr="003C3FF1">
        <w:rPr>
          <w:rFonts w:ascii="Times New Roman" w:hAnsi="Times New Roman"/>
          <w:sz w:val="26"/>
          <w:szCs w:val="26"/>
        </w:rPr>
        <w:t xml:space="preserve">, kuriem ir </w:t>
      </w:r>
      <w:r>
        <w:rPr>
          <w:rFonts w:ascii="Times New Roman" w:hAnsi="Times New Roman"/>
          <w:sz w:val="26"/>
          <w:szCs w:val="26"/>
        </w:rPr>
        <w:t>TUA</w:t>
      </w:r>
      <w:r w:rsidR="00B76664">
        <w:rPr>
          <w:rFonts w:ascii="Times New Roman" w:hAnsi="Times New Roman"/>
          <w:sz w:val="26"/>
          <w:szCs w:val="26"/>
        </w:rPr>
        <w:t xml:space="preserve"> bez iespējas</w:t>
      </w:r>
      <w:r>
        <w:rPr>
          <w:rFonts w:ascii="Times New Roman" w:hAnsi="Times New Roman"/>
          <w:sz w:val="26"/>
          <w:szCs w:val="26"/>
        </w:rPr>
        <w:t xml:space="preserve"> to pagarināt</w:t>
      </w:r>
      <w:r w:rsidR="00B76664">
        <w:rPr>
          <w:rFonts w:ascii="Times New Roman" w:hAnsi="Times New Roman"/>
          <w:sz w:val="26"/>
          <w:szCs w:val="26"/>
        </w:rPr>
        <w:t>.</w:t>
      </w:r>
      <w:r w:rsidR="005A5C02">
        <w:rPr>
          <w:rFonts w:ascii="Times New Roman" w:hAnsi="Times New Roman"/>
          <w:sz w:val="26"/>
          <w:szCs w:val="26"/>
        </w:rPr>
        <w:t xml:space="preserve"> T</w:t>
      </w:r>
      <w:r>
        <w:rPr>
          <w:rFonts w:ascii="Times New Roman" w:hAnsi="Times New Roman"/>
          <w:sz w:val="26"/>
          <w:szCs w:val="26"/>
        </w:rPr>
        <w:t>aču šobrīd nerezidentu īpašumu pārdošana</w:t>
      </w:r>
      <w:r w:rsidR="00926C7D">
        <w:rPr>
          <w:rFonts w:ascii="Times New Roman" w:hAnsi="Times New Roman"/>
          <w:sz w:val="26"/>
          <w:szCs w:val="26"/>
        </w:rPr>
        <w:t xml:space="preserve">s </w:t>
      </w:r>
      <w:r w:rsidRPr="00C6033E">
        <w:rPr>
          <w:rFonts w:ascii="Times New Roman" w:hAnsi="Times New Roman"/>
          <w:sz w:val="26"/>
          <w:szCs w:val="26"/>
        </w:rPr>
        <w:t xml:space="preserve">ietekme uz Latvijas nekustamā īpašuma tirgu un dažādiem tās segmentiem </w:t>
      </w:r>
      <w:r>
        <w:rPr>
          <w:rFonts w:ascii="Times New Roman" w:hAnsi="Times New Roman"/>
          <w:sz w:val="26"/>
          <w:szCs w:val="26"/>
        </w:rPr>
        <w:t xml:space="preserve">vērtējama kā </w:t>
      </w:r>
      <w:r w:rsidRPr="00C6033E">
        <w:rPr>
          <w:rFonts w:ascii="Times New Roman" w:hAnsi="Times New Roman"/>
          <w:sz w:val="26"/>
          <w:szCs w:val="26"/>
        </w:rPr>
        <w:t xml:space="preserve">nebūtiska. </w:t>
      </w:r>
    </w:p>
    <w:p w14:paraId="1B68B751" w14:textId="77777777" w:rsidR="00424678" w:rsidRPr="007320CD" w:rsidRDefault="00424678" w:rsidP="00B63E16">
      <w:pPr>
        <w:ind w:firstLine="567"/>
        <w:jc w:val="both"/>
        <w:rPr>
          <w:rFonts w:ascii="Times New Roman" w:hAnsi="Times New Roman"/>
          <w:sz w:val="26"/>
          <w:szCs w:val="26"/>
          <w:highlight w:val="yellow"/>
        </w:rPr>
      </w:pPr>
    </w:p>
    <w:p w14:paraId="6C31552F" w14:textId="77777777" w:rsidR="00FF58A0" w:rsidRPr="00926C7D" w:rsidRDefault="00A67CA7" w:rsidP="00F37FDA">
      <w:pPr>
        <w:spacing w:after="120"/>
        <w:ind w:firstLine="567"/>
        <w:jc w:val="center"/>
        <w:rPr>
          <w:rFonts w:ascii="Times New Roman" w:hAnsi="Times New Roman"/>
          <w:b/>
          <w:sz w:val="26"/>
          <w:szCs w:val="26"/>
        </w:rPr>
      </w:pPr>
      <w:r w:rsidRPr="00926C7D">
        <w:rPr>
          <w:rFonts w:ascii="Times New Roman" w:hAnsi="Times New Roman"/>
          <w:b/>
          <w:sz w:val="26"/>
          <w:szCs w:val="26"/>
        </w:rPr>
        <w:t>Investīcijas kredītiestāžu pakārtotajās saistībās</w:t>
      </w:r>
    </w:p>
    <w:p w14:paraId="5CDE8ECC" w14:textId="77777777" w:rsidR="0021121A" w:rsidRPr="007320CD" w:rsidRDefault="0021121A" w:rsidP="00F37FDA">
      <w:pPr>
        <w:spacing w:after="120"/>
        <w:ind w:firstLine="567"/>
        <w:jc w:val="center"/>
        <w:rPr>
          <w:rFonts w:ascii="Times New Roman" w:hAnsi="Times New Roman"/>
          <w:b/>
          <w:sz w:val="26"/>
          <w:szCs w:val="26"/>
          <w:highlight w:val="yellow"/>
        </w:rPr>
      </w:pPr>
    </w:p>
    <w:p w14:paraId="0B53F3AC" w14:textId="631DC949" w:rsidR="006E4446" w:rsidRPr="00926C7D" w:rsidRDefault="006E4446" w:rsidP="006E4446">
      <w:pPr>
        <w:spacing w:after="120"/>
        <w:ind w:firstLine="567"/>
        <w:jc w:val="both"/>
        <w:rPr>
          <w:rFonts w:ascii="Times New Roman" w:hAnsi="Times New Roman"/>
          <w:sz w:val="26"/>
          <w:szCs w:val="26"/>
        </w:rPr>
      </w:pPr>
      <w:r w:rsidRPr="00926C7D">
        <w:rPr>
          <w:rFonts w:ascii="Times New Roman" w:hAnsi="Times New Roman"/>
          <w:sz w:val="26"/>
          <w:szCs w:val="26"/>
        </w:rPr>
        <w:t>Imigrācijas likuma 23.panta pirmās daļas 30.punkts, kas stājā</w:t>
      </w:r>
      <w:r w:rsidR="00926C7D">
        <w:rPr>
          <w:rFonts w:ascii="Times New Roman" w:hAnsi="Times New Roman"/>
          <w:sz w:val="26"/>
          <w:szCs w:val="26"/>
        </w:rPr>
        <w:t xml:space="preserve">s spēkā 2010.gada 1.jūlijā, deva </w:t>
      </w:r>
      <w:r w:rsidRPr="00926C7D">
        <w:rPr>
          <w:rFonts w:ascii="Times New Roman" w:hAnsi="Times New Roman"/>
          <w:sz w:val="26"/>
          <w:szCs w:val="26"/>
        </w:rPr>
        <w:t>iespēju attīstīt un tirgū aktīvi piedāvāt iepriekš maz pieprasīto pakalpojumu – līgumu par pakārtotajām saistībām, kā rezultātā kredītiestādēm sniedzot iespēju paplašināt potenciālo klientu loku un palielināt depozītu skaitu. Piesaistītos līdzekļus kredītiestādes atgriež apgrozījumā, izsniedzot kredītus, t.i. attīsta kreditēšanas sfēru un ļauj naudai strādāt tautsaimniecības interesēs. Palielinoties piesaistītajam kapitālam, parādās iespēja refinansēt daļu no sliktajiem un kavētajiem kredītiem – tas nozīmē, ka to īpatsvaram parādās tendence samazināties, kā arī uzlabojas kredītiestāžu kapitāla pietiekamības rādītāji.</w:t>
      </w:r>
    </w:p>
    <w:p w14:paraId="2EB7C5C2" w14:textId="2E05C1FB" w:rsidR="006E4446" w:rsidRPr="00926C7D" w:rsidRDefault="006E4446" w:rsidP="006E4446">
      <w:pPr>
        <w:spacing w:after="120"/>
        <w:ind w:firstLine="567"/>
        <w:jc w:val="both"/>
        <w:rPr>
          <w:rFonts w:ascii="Times New Roman" w:hAnsi="Times New Roman"/>
          <w:sz w:val="26"/>
          <w:szCs w:val="26"/>
        </w:rPr>
      </w:pPr>
      <w:r w:rsidRPr="00926C7D">
        <w:rPr>
          <w:rFonts w:ascii="Times New Roman" w:hAnsi="Times New Roman"/>
          <w:sz w:val="26"/>
          <w:szCs w:val="26"/>
        </w:rPr>
        <w:t>Pakārtotās saistības tiek izmantotas tikai otrā līmeņa kapitālā (Tier 2 Capital) un tiek ņemt</w:t>
      </w:r>
      <w:r w:rsidR="0057460E" w:rsidRPr="00926C7D">
        <w:rPr>
          <w:rFonts w:ascii="Times New Roman" w:hAnsi="Times New Roman"/>
          <w:sz w:val="26"/>
          <w:szCs w:val="26"/>
        </w:rPr>
        <w:t>a</w:t>
      </w:r>
      <w:r w:rsidRPr="00926C7D">
        <w:rPr>
          <w:rFonts w:ascii="Times New Roman" w:hAnsi="Times New Roman"/>
          <w:sz w:val="26"/>
          <w:szCs w:val="26"/>
        </w:rPr>
        <w:t>s vērā kredītiestādes kapitāla pietiekamības aprēķinā. Tādējādi tas tiek izmantots attiecīgās bankas un visas banku sistēmas risku mazināšanai (pieaug kapitāla pietiekamība) un attiecīgi palielinās i</w:t>
      </w:r>
      <w:r w:rsidR="0057460E" w:rsidRPr="00926C7D">
        <w:rPr>
          <w:rFonts w:ascii="Times New Roman" w:hAnsi="Times New Roman"/>
          <w:sz w:val="26"/>
          <w:szCs w:val="26"/>
        </w:rPr>
        <w:t>espēja bankām izsniegt kredītus.</w:t>
      </w:r>
    </w:p>
    <w:p w14:paraId="341F55E2" w14:textId="181DC735" w:rsidR="00AB3AEF" w:rsidRPr="00926C7D" w:rsidRDefault="00AB3AEF" w:rsidP="006E4446">
      <w:pPr>
        <w:spacing w:after="120"/>
        <w:ind w:firstLine="567"/>
        <w:jc w:val="both"/>
        <w:rPr>
          <w:rFonts w:ascii="Times New Roman" w:hAnsi="Times New Roman"/>
          <w:sz w:val="26"/>
          <w:szCs w:val="26"/>
        </w:rPr>
      </w:pPr>
      <w:r w:rsidRPr="00926C7D">
        <w:rPr>
          <w:rFonts w:ascii="Times New Roman" w:hAnsi="Times New Roman"/>
          <w:sz w:val="26"/>
          <w:szCs w:val="26"/>
          <w:lang w:eastAsia="lv-LV"/>
        </w:rPr>
        <w:t xml:space="preserve">Kopš </w:t>
      </w:r>
      <w:r w:rsidR="00F21EDC" w:rsidRPr="00926C7D">
        <w:rPr>
          <w:rFonts w:ascii="Times New Roman" w:hAnsi="Times New Roman"/>
          <w:sz w:val="26"/>
          <w:szCs w:val="26"/>
          <w:lang w:eastAsia="lv-LV"/>
        </w:rPr>
        <w:t xml:space="preserve">2014.gada 1.septembrī stājās spēkā </w:t>
      </w:r>
      <w:r w:rsidRPr="00926C7D">
        <w:rPr>
          <w:rFonts w:ascii="Times New Roman" w:hAnsi="Times New Roman"/>
          <w:sz w:val="26"/>
          <w:szCs w:val="26"/>
          <w:lang w:eastAsia="lv-LV"/>
        </w:rPr>
        <w:t>grozījum</w:t>
      </w:r>
      <w:r w:rsidR="00F21EDC" w:rsidRPr="00926C7D">
        <w:rPr>
          <w:rFonts w:ascii="Times New Roman" w:hAnsi="Times New Roman"/>
          <w:sz w:val="26"/>
          <w:szCs w:val="26"/>
          <w:lang w:eastAsia="lv-LV"/>
        </w:rPr>
        <w:t>i</w:t>
      </w:r>
      <w:r w:rsidRPr="00926C7D">
        <w:rPr>
          <w:rFonts w:ascii="Times New Roman" w:hAnsi="Times New Roman"/>
          <w:sz w:val="26"/>
          <w:szCs w:val="26"/>
          <w:lang w:eastAsia="lv-LV"/>
        </w:rPr>
        <w:t xml:space="preserve"> Imigrācijas likumā, </w:t>
      </w:r>
      <w:r w:rsidR="00F21EDC" w:rsidRPr="00926C7D">
        <w:rPr>
          <w:rFonts w:ascii="Times New Roman" w:hAnsi="Times New Roman"/>
          <w:sz w:val="26"/>
          <w:szCs w:val="26"/>
          <w:lang w:eastAsia="lv-LV"/>
        </w:rPr>
        <w:t>ārzemnieku skaits</w:t>
      </w:r>
      <w:r w:rsidRPr="00926C7D">
        <w:rPr>
          <w:rFonts w:ascii="Times New Roman" w:hAnsi="Times New Roman"/>
          <w:sz w:val="26"/>
          <w:szCs w:val="26"/>
          <w:lang w:eastAsia="lv-LV"/>
        </w:rPr>
        <w:t xml:space="preserve">, kuri vēlas saņemt TUA saskaņā ar Imigrācijas likuma 23.panta pirmās daļas 30.punktu (iespēja saņemt TUA par ieguldījumu Latvijas kredītiestādes pakārtotajās saistībās vismaz 280 tūkst. </w:t>
      </w:r>
      <w:r w:rsidRPr="00926C7D">
        <w:rPr>
          <w:rFonts w:ascii="Times New Roman" w:hAnsi="Times New Roman"/>
          <w:i/>
          <w:sz w:val="26"/>
          <w:szCs w:val="26"/>
          <w:lang w:eastAsia="lv-LV"/>
        </w:rPr>
        <w:t>euro</w:t>
      </w:r>
      <w:r w:rsidRPr="00926C7D">
        <w:rPr>
          <w:rFonts w:ascii="Times New Roman" w:hAnsi="Times New Roman"/>
          <w:sz w:val="26"/>
          <w:szCs w:val="26"/>
          <w:lang w:eastAsia="lv-LV"/>
        </w:rPr>
        <w:t xml:space="preserve"> apmērā)</w:t>
      </w:r>
      <w:r w:rsidR="00F21EDC" w:rsidRPr="00926C7D">
        <w:rPr>
          <w:rFonts w:ascii="Times New Roman" w:hAnsi="Times New Roman"/>
          <w:sz w:val="26"/>
          <w:szCs w:val="26"/>
          <w:lang w:eastAsia="lv-LV"/>
        </w:rPr>
        <w:t>,</w:t>
      </w:r>
      <w:r w:rsidRPr="00926C7D">
        <w:rPr>
          <w:rFonts w:ascii="Times New Roman" w:hAnsi="Times New Roman"/>
          <w:sz w:val="26"/>
          <w:szCs w:val="26"/>
          <w:lang w:eastAsia="lv-LV"/>
        </w:rPr>
        <w:t xml:space="preserve"> ir </w:t>
      </w:r>
      <w:r w:rsidR="0057460E" w:rsidRPr="00926C7D">
        <w:rPr>
          <w:rFonts w:ascii="Times New Roman" w:hAnsi="Times New Roman"/>
          <w:sz w:val="26"/>
          <w:szCs w:val="26"/>
          <w:lang w:eastAsia="lv-LV"/>
        </w:rPr>
        <w:t xml:space="preserve">krasi </w:t>
      </w:r>
      <w:r w:rsidRPr="00926C7D">
        <w:rPr>
          <w:rFonts w:ascii="Times New Roman" w:hAnsi="Times New Roman"/>
          <w:sz w:val="26"/>
          <w:szCs w:val="26"/>
          <w:lang w:eastAsia="lv-LV"/>
        </w:rPr>
        <w:t xml:space="preserve">samazinājies. </w:t>
      </w:r>
      <w:r w:rsidRPr="00926C7D">
        <w:rPr>
          <w:rFonts w:ascii="Times New Roman" w:hAnsi="Times New Roman"/>
          <w:sz w:val="26"/>
          <w:szCs w:val="26"/>
        </w:rPr>
        <w:t>No 2014.gada 1.septembra līdz 201</w:t>
      </w:r>
      <w:r w:rsidR="005D6637" w:rsidRPr="00926C7D">
        <w:rPr>
          <w:rFonts w:ascii="Times New Roman" w:hAnsi="Times New Roman"/>
          <w:sz w:val="26"/>
          <w:szCs w:val="26"/>
        </w:rPr>
        <w:t>9</w:t>
      </w:r>
      <w:r w:rsidRPr="00926C7D">
        <w:rPr>
          <w:rFonts w:ascii="Times New Roman" w:hAnsi="Times New Roman"/>
          <w:sz w:val="26"/>
          <w:szCs w:val="26"/>
        </w:rPr>
        <w:t>.gada 3</w:t>
      </w:r>
      <w:r w:rsidR="005D6637" w:rsidRPr="00926C7D">
        <w:rPr>
          <w:rFonts w:ascii="Times New Roman" w:hAnsi="Times New Roman"/>
          <w:sz w:val="26"/>
          <w:szCs w:val="26"/>
        </w:rPr>
        <w:t>0</w:t>
      </w:r>
      <w:r w:rsidRPr="00926C7D">
        <w:rPr>
          <w:rFonts w:ascii="Times New Roman" w:hAnsi="Times New Roman"/>
          <w:sz w:val="26"/>
          <w:szCs w:val="26"/>
        </w:rPr>
        <w:t xml:space="preserve">.jūnijam TUA pieteikumus iesnieguši tikai </w:t>
      </w:r>
      <w:r w:rsidR="00AC7C1D" w:rsidRPr="00926C7D">
        <w:rPr>
          <w:rFonts w:ascii="Times New Roman" w:hAnsi="Times New Roman"/>
          <w:sz w:val="26"/>
          <w:szCs w:val="26"/>
        </w:rPr>
        <w:t>6</w:t>
      </w:r>
      <w:r w:rsidR="005D6637" w:rsidRPr="00926C7D">
        <w:rPr>
          <w:rFonts w:ascii="Times New Roman" w:hAnsi="Times New Roman"/>
          <w:sz w:val="26"/>
          <w:szCs w:val="26"/>
        </w:rPr>
        <w:t>5</w:t>
      </w:r>
      <w:r w:rsidRPr="00926C7D">
        <w:rPr>
          <w:rFonts w:ascii="Times New Roman" w:hAnsi="Times New Roman"/>
          <w:sz w:val="26"/>
          <w:szCs w:val="26"/>
        </w:rPr>
        <w:t xml:space="preserve"> investori</w:t>
      </w:r>
      <w:r w:rsidR="006E4446" w:rsidRPr="00926C7D">
        <w:rPr>
          <w:rFonts w:ascii="Times New Roman" w:hAnsi="Times New Roman"/>
          <w:sz w:val="26"/>
          <w:szCs w:val="26"/>
        </w:rPr>
        <w:t>.</w:t>
      </w:r>
      <w:r w:rsidR="00766F66" w:rsidRPr="00926C7D">
        <w:rPr>
          <w:rFonts w:ascii="Times New Roman" w:hAnsi="Times New Roman"/>
          <w:sz w:val="26"/>
          <w:szCs w:val="26"/>
        </w:rPr>
        <w:t xml:space="preserve"> </w:t>
      </w:r>
      <w:r w:rsidRPr="00926C7D">
        <w:rPr>
          <w:rFonts w:ascii="Times New Roman" w:hAnsi="Times New Roman"/>
          <w:sz w:val="26"/>
          <w:szCs w:val="26"/>
        </w:rPr>
        <w:t>Salīdzinot ar laikposmu no 2010.gada 1.jūlija līdz 2014.gada 31.augustam, kad pieteikumus iesniedza 427 investori (vidējais pieteikumu skaits gadā – ap 90 pieteikumiem),</w:t>
      </w:r>
      <w:r w:rsidR="00C95996" w:rsidRPr="00926C7D">
        <w:rPr>
          <w:rFonts w:ascii="Times New Roman" w:hAnsi="Times New Roman"/>
          <w:sz w:val="26"/>
          <w:szCs w:val="26"/>
        </w:rPr>
        <w:t xml:space="preserve"> pēdējos gados</w:t>
      </w:r>
      <w:r w:rsidRPr="00926C7D">
        <w:rPr>
          <w:rFonts w:ascii="Times New Roman" w:hAnsi="Times New Roman"/>
          <w:sz w:val="26"/>
          <w:szCs w:val="26"/>
        </w:rPr>
        <w:t xml:space="preserve"> vērojams būtisks pieteikumu skaita samazinājums </w:t>
      </w:r>
      <w:bookmarkStart w:id="11" w:name="_Hlk24734418"/>
      <w:r w:rsidR="00E909F7" w:rsidRPr="00926C7D">
        <w:rPr>
          <w:rFonts w:ascii="Times New Roman" w:hAnsi="Times New Roman"/>
          <w:sz w:val="26"/>
          <w:szCs w:val="26"/>
        </w:rPr>
        <w:t>–</w:t>
      </w:r>
      <w:r w:rsidRPr="00926C7D">
        <w:rPr>
          <w:rFonts w:ascii="Times New Roman" w:hAnsi="Times New Roman"/>
          <w:sz w:val="26"/>
          <w:szCs w:val="26"/>
        </w:rPr>
        <w:t xml:space="preserve"> </w:t>
      </w:r>
      <w:r w:rsidR="00E909F7" w:rsidRPr="00926C7D">
        <w:rPr>
          <w:rFonts w:ascii="Times New Roman" w:hAnsi="Times New Roman"/>
          <w:sz w:val="26"/>
          <w:szCs w:val="26"/>
        </w:rPr>
        <w:t>2016.gadā saņe</w:t>
      </w:r>
      <w:r w:rsidR="00FB784F" w:rsidRPr="00926C7D">
        <w:rPr>
          <w:rFonts w:ascii="Times New Roman" w:hAnsi="Times New Roman"/>
          <w:sz w:val="26"/>
          <w:szCs w:val="26"/>
        </w:rPr>
        <w:t xml:space="preserve">mti 13 pieteikumi, </w:t>
      </w:r>
      <w:r w:rsidR="00AC7C1D" w:rsidRPr="00926C7D">
        <w:rPr>
          <w:rFonts w:ascii="Times New Roman" w:hAnsi="Times New Roman"/>
          <w:sz w:val="26"/>
          <w:szCs w:val="26"/>
        </w:rPr>
        <w:t>2017.gadā – 12 pieteikumi,</w:t>
      </w:r>
      <w:r w:rsidR="007428B3" w:rsidRPr="00926C7D">
        <w:rPr>
          <w:rFonts w:ascii="Times New Roman" w:hAnsi="Times New Roman"/>
          <w:sz w:val="26"/>
          <w:szCs w:val="26"/>
        </w:rPr>
        <w:t xml:space="preserve"> 2018.gadā – 2 pieteikumi, bet 2019</w:t>
      </w:r>
      <w:r w:rsidR="00AC7C1D" w:rsidRPr="00926C7D">
        <w:rPr>
          <w:rFonts w:ascii="Times New Roman" w:hAnsi="Times New Roman"/>
          <w:sz w:val="26"/>
          <w:szCs w:val="26"/>
        </w:rPr>
        <w:t>.gad</w:t>
      </w:r>
      <w:r w:rsidR="0085150C" w:rsidRPr="00926C7D">
        <w:rPr>
          <w:rFonts w:ascii="Times New Roman" w:hAnsi="Times New Roman"/>
          <w:sz w:val="26"/>
          <w:szCs w:val="26"/>
        </w:rPr>
        <w:t>ā un 2020.</w:t>
      </w:r>
      <w:r w:rsidR="00AD1EC4" w:rsidRPr="00926C7D">
        <w:rPr>
          <w:rFonts w:ascii="Times New Roman" w:hAnsi="Times New Roman"/>
          <w:sz w:val="26"/>
          <w:szCs w:val="26"/>
        </w:rPr>
        <w:t>gadā</w:t>
      </w:r>
      <w:r w:rsidR="00AC7C1D" w:rsidRPr="00926C7D">
        <w:rPr>
          <w:rFonts w:ascii="Times New Roman" w:hAnsi="Times New Roman"/>
          <w:sz w:val="26"/>
          <w:szCs w:val="26"/>
        </w:rPr>
        <w:t xml:space="preserve"> </w:t>
      </w:r>
      <w:r w:rsidR="007428B3" w:rsidRPr="00926C7D">
        <w:rPr>
          <w:rFonts w:ascii="Times New Roman" w:hAnsi="Times New Roman"/>
          <w:sz w:val="26"/>
          <w:szCs w:val="26"/>
        </w:rPr>
        <w:t>pieteikumi nav saņemti</w:t>
      </w:r>
      <w:r w:rsidRPr="00926C7D">
        <w:rPr>
          <w:rFonts w:ascii="Times New Roman" w:hAnsi="Times New Roman"/>
          <w:sz w:val="26"/>
          <w:szCs w:val="26"/>
        </w:rPr>
        <w:t>.</w:t>
      </w:r>
      <w:r w:rsidR="0057460E" w:rsidRPr="00926C7D">
        <w:rPr>
          <w:rFonts w:ascii="Times New Roman" w:hAnsi="Times New Roman"/>
          <w:sz w:val="26"/>
          <w:szCs w:val="26"/>
        </w:rPr>
        <w:t xml:space="preserve"> 2021.gadā saņemti 2 pieteikumi</w:t>
      </w:r>
      <w:bookmarkEnd w:id="11"/>
      <w:r w:rsidR="00926C7D">
        <w:rPr>
          <w:rFonts w:ascii="Times New Roman" w:hAnsi="Times New Roman"/>
          <w:sz w:val="26"/>
          <w:szCs w:val="26"/>
        </w:rPr>
        <w:t xml:space="preserve">, 2022.gadā nav saņemts neviens pieteikums. </w:t>
      </w:r>
      <w:r w:rsidR="00C95996" w:rsidRPr="00926C7D">
        <w:rPr>
          <w:rFonts w:ascii="Times New Roman" w:hAnsi="Times New Roman"/>
          <w:sz w:val="26"/>
          <w:szCs w:val="26"/>
        </w:rPr>
        <w:t xml:space="preserve">Tas skaidrojams ar </w:t>
      </w:r>
      <w:r w:rsidR="00B93CBE" w:rsidRPr="00926C7D">
        <w:rPr>
          <w:rFonts w:ascii="Times New Roman" w:hAnsi="Times New Roman"/>
          <w:sz w:val="26"/>
          <w:szCs w:val="26"/>
        </w:rPr>
        <w:t>veiktajiem pasākumiem saistībā ar finanšu sektora sakārtošanu, pastiprinot uzraudzību nerezidentu noguldījumiem Latvijas komercbankās</w:t>
      </w:r>
      <w:r w:rsidR="00C95996" w:rsidRPr="00926C7D">
        <w:rPr>
          <w:rFonts w:ascii="Times New Roman" w:hAnsi="Times New Roman"/>
          <w:sz w:val="26"/>
          <w:szCs w:val="26"/>
        </w:rPr>
        <w:t>.</w:t>
      </w:r>
    </w:p>
    <w:p w14:paraId="1C12A369" w14:textId="62990EDB" w:rsidR="0021121A" w:rsidRDefault="0021121A" w:rsidP="0085150C">
      <w:pPr>
        <w:rPr>
          <w:rFonts w:ascii="Times New Roman" w:hAnsi="Times New Roman"/>
          <w:sz w:val="26"/>
          <w:szCs w:val="26"/>
          <w:highlight w:val="yellow"/>
        </w:rPr>
      </w:pPr>
    </w:p>
    <w:p w14:paraId="24DBD315" w14:textId="203D9935" w:rsidR="007D2771" w:rsidRDefault="007D2771" w:rsidP="0085150C">
      <w:pPr>
        <w:rPr>
          <w:rFonts w:ascii="Times New Roman" w:hAnsi="Times New Roman"/>
          <w:sz w:val="26"/>
          <w:szCs w:val="26"/>
          <w:highlight w:val="yellow"/>
        </w:rPr>
      </w:pPr>
    </w:p>
    <w:p w14:paraId="762B5227" w14:textId="76FBA271" w:rsidR="007D2771" w:rsidRDefault="007D2771" w:rsidP="0085150C">
      <w:pPr>
        <w:rPr>
          <w:rFonts w:ascii="Times New Roman" w:hAnsi="Times New Roman"/>
          <w:sz w:val="26"/>
          <w:szCs w:val="26"/>
          <w:highlight w:val="yellow"/>
        </w:rPr>
      </w:pPr>
    </w:p>
    <w:p w14:paraId="2E93C80E" w14:textId="766E966D" w:rsidR="007D2771" w:rsidRDefault="007D2771" w:rsidP="0085150C">
      <w:pPr>
        <w:rPr>
          <w:rFonts w:ascii="Times New Roman" w:hAnsi="Times New Roman"/>
          <w:sz w:val="26"/>
          <w:szCs w:val="26"/>
          <w:highlight w:val="yellow"/>
        </w:rPr>
      </w:pPr>
    </w:p>
    <w:p w14:paraId="0B8DCF88" w14:textId="77777777" w:rsidR="007D2771" w:rsidRPr="007320CD" w:rsidRDefault="007D2771" w:rsidP="0085150C">
      <w:pPr>
        <w:rPr>
          <w:rFonts w:ascii="Times New Roman" w:hAnsi="Times New Roman"/>
          <w:sz w:val="26"/>
          <w:szCs w:val="26"/>
          <w:highlight w:val="yellow"/>
        </w:rPr>
      </w:pPr>
    </w:p>
    <w:p w14:paraId="563B8BE5" w14:textId="3E209991" w:rsidR="00F21F22" w:rsidRPr="00926C7D" w:rsidRDefault="00A67CA7" w:rsidP="000E0613">
      <w:pPr>
        <w:spacing w:after="120"/>
        <w:jc w:val="center"/>
        <w:rPr>
          <w:rFonts w:ascii="Times New Roman" w:hAnsi="Times New Roman"/>
          <w:b/>
          <w:sz w:val="26"/>
          <w:szCs w:val="26"/>
        </w:rPr>
      </w:pPr>
      <w:r w:rsidRPr="00926C7D">
        <w:rPr>
          <w:rFonts w:ascii="Times New Roman" w:hAnsi="Times New Roman"/>
          <w:b/>
          <w:sz w:val="26"/>
          <w:szCs w:val="26"/>
        </w:rPr>
        <w:lastRenderedPageBreak/>
        <w:t>Investīcijas kapitālsabiedrību pamatkapitālā</w:t>
      </w:r>
    </w:p>
    <w:p w14:paraId="19E2D14B" w14:textId="77777777" w:rsidR="0021121A" w:rsidRPr="007320CD" w:rsidRDefault="0021121A" w:rsidP="000E0613">
      <w:pPr>
        <w:spacing w:after="120"/>
        <w:jc w:val="center"/>
        <w:rPr>
          <w:rFonts w:ascii="Times New Roman" w:hAnsi="Times New Roman"/>
          <w:b/>
          <w:sz w:val="26"/>
          <w:szCs w:val="26"/>
          <w:highlight w:val="yellow"/>
        </w:rPr>
      </w:pPr>
    </w:p>
    <w:p w14:paraId="0B7760CA" w14:textId="7C252CAE" w:rsidR="00683E40" w:rsidRPr="00926C7D" w:rsidRDefault="00A67CA7" w:rsidP="005D4E28">
      <w:pPr>
        <w:spacing w:after="120"/>
        <w:ind w:firstLine="567"/>
        <w:jc w:val="both"/>
        <w:rPr>
          <w:rFonts w:ascii="Times New Roman" w:hAnsi="Times New Roman"/>
          <w:sz w:val="26"/>
          <w:szCs w:val="26"/>
        </w:rPr>
      </w:pPr>
      <w:r w:rsidRPr="00926C7D">
        <w:rPr>
          <w:rFonts w:ascii="Times New Roman" w:hAnsi="Times New Roman"/>
          <w:sz w:val="26"/>
          <w:szCs w:val="26"/>
        </w:rPr>
        <w:t>P</w:t>
      </w:r>
      <w:r w:rsidR="00AB3AEF" w:rsidRPr="00926C7D">
        <w:rPr>
          <w:rFonts w:ascii="Times New Roman" w:hAnsi="Times New Roman"/>
          <w:sz w:val="26"/>
          <w:szCs w:val="26"/>
        </w:rPr>
        <w:t>ieteikumu skaita TUA saņemšanai samazināšanās</w:t>
      </w:r>
      <w:r w:rsidR="007A13E7" w:rsidRPr="00926C7D">
        <w:rPr>
          <w:rFonts w:ascii="Times New Roman" w:hAnsi="Times New Roman"/>
          <w:sz w:val="26"/>
          <w:szCs w:val="26"/>
        </w:rPr>
        <w:t xml:space="preserve"> no</w:t>
      </w:r>
      <w:r w:rsidR="00E822D2" w:rsidRPr="00926C7D">
        <w:rPr>
          <w:rFonts w:ascii="Times New Roman" w:hAnsi="Times New Roman"/>
          <w:sz w:val="26"/>
          <w:szCs w:val="26"/>
        </w:rPr>
        <w:t xml:space="preserve"> </w:t>
      </w:r>
      <w:r w:rsidR="00AB3AEF" w:rsidRPr="00926C7D">
        <w:rPr>
          <w:rFonts w:ascii="Times New Roman" w:hAnsi="Times New Roman"/>
          <w:sz w:val="26"/>
          <w:szCs w:val="26"/>
        </w:rPr>
        <w:t>2015.gad</w:t>
      </w:r>
      <w:r w:rsidR="007A13E7" w:rsidRPr="00926C7D">
        <w:rPr>
          <w:rFonts w:ascii="Times New Roman" w:hAnsi="Times New Roman"/>
          <w:sz w:val="26"/>
          <w:szCs w:val="26"/>
        </w:rPr>
        <w:t>a</w:t>
      </w:r>
      <w:r w:rsidR="00AB3AEF" w:rsidRPr="00926C7D">
        <w:rPr>
          <w:rFonts w:ascii="Times New Roman" w:hAnsi="Times New Roman"/>
          <w:sz w:val="26"/>
          <w:szCs w:val="26"/>
        </w:rPr>
        <w:t xml:space="preserve"> ir vērojama arī attiecībā uz Imigrācijas likuma 23.panta pirmās daļas 28.punkta sniegto iespēju saņemt TUA par ieguldījumu kapitālsabiedrību pamatkapitālā. </w:t>
      </w:r>
      <w:r w:rsidR="005D4E28" w:rsidRPr="00926C7D">
        <w:rPr>
          <w:rFonts w:ascii="Times New Roman" w:hAnsi="Times New Roman"/>
          <w:sz w:val="26"/>
          <w:szCs w:val="26"/>
        </w:rPr>
        <w:t xml:space="preserve">TUA pieteikumu skaits ir samazinājies no 178 pieteikumiem 2014 gadā līdz 89 pieteikumiem 2018.gadā. </w:t>
      </w:r>
      <w:r w:rsidR="009C59F2" w:rsidRPr="00926C7D">
        <w:rPr>
          <w:rFonts w:ascii="Times New Roman" w:hAnsi="Times New Roman"/>
          <w:sz w:val="26"/>
          <w:szCs w:val="26"/>
        </w:rPr>
        <w:t>2019.gad</w:t>
      </w:r>
      <w:r w:rsidR="007E526E" w:rsidRPr="00926C7D">
        <w:rPr>
          <w:rFonts w:ascii="Times New Roman" w:hAnsi="Times New Roman"/>
          <w:sz w:val="26"/>
          <w:szCs w:val="26"/>
        </w:rPr>
        <w:t>ā pieteikumu skaits turpināja samazināties</w:t>
      </w:r>
      <w:r w:rsidR="00DB2527" w:rsidRPr="00926C7D">
        <w:rPr>
          <w:rFonts w:ascii="Times New Roman" w:hAnsi="Times New Roman"/>
          <w:sz w:val="26"/>
          <w:szCs w:val="26"/>
        </w:rPr>
        <w:t xml:space="preserve"> </w:t>
      </w:r>
      <w:r w:rsidR="007E526E" w:rsidRPr="00926C7D">
        <w:rPr>
          <w:rFonts w:ascii="Times New Roman" w:hAnsi="Times New Roman"/>
          <w:sz w:val="26"/>
          <w:szCs w:val="26"/>
        </w:rPr>
        <w:t xml:space="preserve">un bija </w:t>
      </w:r>
      <w:r w:rsidR="007A13E7" w:rsidRPr="00926C7D">
        <w:rPr>
          <w:rFonts w:ascii="Times New Roman" w:hAnsi="Times New Roman"/>
          <w:sz w:val="26"/>
          <w:szCs w:val="26"/>
        </w:rPr>
        <w:t xml:space="preserve">mazāk nekā puse </w:t>
      </w:r>
      <w:r w:rsidR="007E526E" w:rsidRPr="00926C7D">
        <w:rPr>
          <w:rFonts w:ascii="Times New Roman" w:hAnsi="Times New Roman"/>
          <w:sz w:val="26"/>
          <w:szCs w:val="26"/>
        </w:rPr>
        <w:t>(</w:t>
      </w:r>
      <w:r w:rsidR="007A13E7" w:rsidRPr="00926C7D">
        <w:rPr>
          <w:rFonts w:ascii="Times New Roman" w:hAnsi="Times New Roman"/>
          <w:sz w:val="26"/>
          <w:szCs w:val="26"/>
        </w:rPr>
        <w:t>39</w:t>
      </w:r>
      <w:r w:rsidR="007E526E" w:rsidRPr="00926C7D">
        <w:rPr>
          <w:rFonts w:ascii="Times New Roman" w:hAnsi="Times New Roman"/>
          <w:sz w:val="26"/>
          <w:szCs w:val="26"/>
        </w:rPr>
        <w:t xml:space="preserve"> pieteikumi) no 2018.gada pieteikumu skaita. </w:t>
      </w:r>
      <w:r w:rsidR="007A13E7" w:rsidRPr="00926C7D">
        <w:rPr>
          <w:rFonts w:ascii="Times New Roman" w:hAnsi="Times New Roman"/>
          <w:sz w:val="26"/>
          <w:szCs w:val="26"/>
        </w:rPr>
        <w:t>2020.gadā</w:t>
      </w:r>
      <w:r w:rsidR="007E526E" w:rsidRPr="00926C7D">
        <w:rPr>
          <w:rFonts w:ascii="Times New Roman" w:hAnsi="Times New Roman"/>
          <w:sz w:val="26"/>
          <w:szCs w:val="26"/>
        </w:rPr>
        <w:t xml:space="preserve"> saņemti </w:t>
      </w:r>
      <w:r w:rsidR="007A13E7" w:rsidRPr="00926C7D">
        <w:rPr>
          <w:rFonts w:ascii="Times New Roman" w:hAnsi="Times New Roman"/>
          <w:sz w:val="26"/>
          <w:szCs w:val="26"/>
        </w:rPr>
        <w:t>25</w:t>
      </w:r>
      <w:r w:rsidR="007E526E" w:rsidRPr="00926C7D">
        <w:rPr>
          <w:rFonts w:ascii="Times New Roman" w:hAnsi="Times New Roman"/>
          <w:sz w:val="26"/>
          <w:szCs w:val="26"/>
        </w:rPr>
        <w:t xml:space="preserve"> pieteikumi, no kuriem 1</w:t>
      </w:r>
      <w:r w:rsidR="007A13E7" w:rsidRPr="00926C7D">
        <w:rPr>
          <w:rFonts w:ascii="Times New Roman" w:hAnsi="Times New Roman"/>
          <w:sz w:val="26"/>
          <w:szCs w:val="26"/>
        </w:rPr>
        <w:t>5</w:t>
      </w:r>
      <w:r w:rsidR="007E526E" w:rsidRPr="00926C7D">
        <w:rPr>
          <w:rFonts w:ascii="Times New Roman" w:hAnsi="Times New Roman"/>
          <w:sz w:val="26"/>
          <w:szCs w:val="26"/>
        </w:rPr>
        <w:t xml:space="preserve"> ir Vjetnamas pilsoņu pieteikumi</w:t>
      </w:r>
      <w:r w:rsidR="0057460E" w:rsidRPr="00926C7D">
        <w:rPr>
          <w:rFonts w:ascii="Times New Roman" w:hAnsi="Times New Roman"/>
          <w:sz w:val="26"/>
          <w:szCs w:val="26"/>
        </w:rPr>
        <w:t xml:space="preserve">, savukārt 2021.gadā </w:t>
      </w:r>
      <w:r w:rsidR="002370BD" w:rsidRPr="00926C7D">
        <w:rPr>
          <w:rFonts w:ascii="Times New Roman" w:hAnsi="Times New Roman"/>
          <w:sz w:val="26"/>
          <w:szCs w:val="26"/>
        </w:rPr>
        <w:t>–</w:t>
      </w:r>
      <w:r w:rsidR="0057460E" w:rsidRPr="00926C7D">
        <w:rPr>
          <w:rFonts w:ascii="Times New Roman" w:hAnsi="Times New Roman"/>
          <w:sz w:val="26"/>
          <w:szCs w:val="26"/>
        </w:rPr>
        <w:t xml:space="preserve"> </w:t>
      </w:r>
      <w:r w:rsidR="002370BD" w:rsidRPr="00926C7D">
        <w:rPr>
          <w:rFonts w:ascii="Times New Roman" w:hAnsi="Times New Roman"/>
          <w:sz w:val="26"/>
          <w:szCs w:val="26"/>
        </w:rPr>
        <w:t>20 pieteikumi</w:t>
      </w:r>
      <w:r w:rsidR="00926C7D" w:rsidRPr="00926C7D">
        <w:rPr>
          <w:rFonts w:ascii="Times New Roman" w:hAnsi="Times New Roman"/>
          <w:sz w:val="26"/>
          <w:szCs w:val="26"/>
        </w:rPr>
        <w:t>, bet 2022.gadā – 28.</w:t>
      </w:r>
    </w:p>
    <w:p w14:paraId="7CEE7AC9" w14:textId="75E949A0" w:rsidR="00926C7D" w:rsidRDefault="00926C7D" w:rsidP="00926C7D">
      <w:pPr>
        <w:spacing w:after="120"/>
        <w:ind w:firstLine="567"/>
        <w:jc w:val="both"/>
        <w:rPr>
          <w:rFonts w:ascii="Times New Roman" w:hAnsi="Times New Roman"/>
          <w:sz w:val="26"/>
          <w:szCs w:val="26"/>
        </w:rPr>
      </w:pPr>
      <w:r w:rsidRPr="002370BD">
        <w:rPr>
          <w:rFonts w:ascii="Times New Roman" w:hAnsi="Times New Roman"/>
          <w:sz w:val="26"/>
          <w:szCs w:val="26"/>
        </w:rPr>
        <w:t>202</w:t>
      </w:r>
      <w:r>
        <w:rPr>
          <w:rFonts w:ascii="Times New Roman" w:hAnsi="Times New Roman"/>
          <w:sz w:val="26"/>
          <w:szCs w:val="26"/>
        </w:rPr>
        <w:t>2</w:t>
      </w:r>
      <w:r w:rsidRPr="002370BD">
        <w:rPr>
          <w:rFonts w:ascii="Times New Roman" w:hAnsi="Times New Roman"/>
          <w:sz w:val="26"/>
          <w:szCs w:val="26"/>
        </w:rPr>
        <w:t>. gadā publicētajā ANO ziņojumā par pasaules investīcijām (</w:t>
      </w:r>
      <w:r w:rsidRPr="002370BD">
        <w:rPr>
          <w:rFonts w:ascii="Times New Roman" w:hAnsi="Times New Roman"/>
          <w:i/>
          <w:iCs/>
          <w:sz w:val="26"/>
          <w:szCs w:val="26"/>
        </w:rPr>
        <w:t>World Investment Report</w:t>
      </w:r>
      <w:r w:rsidRPr="002370BD">
        <w:rPr>
          <w:rFonts w:ascii="Times New Roman" w:hAnsi="Times New Roman"/>
          <w:sz w:val="26"/>
          <w:szCs w:val="26"/>
        </w:rPr>
        <w:t>)</w:t>
      </w:r>
      <w:r w:rsidRPr="002370BD">
        <w:rPr>
          <w:rStyle w:val="FootnoteReference"/>
          <w:rFonts w:ascii="Times New Roman" w:hAnsi="Times New Roman"/>
          <w:sz w:val="26"/>
          <w:szCs w:val="26"/>
        </w:rPr>
        <w:footnoteReference w:id="2"/>
      </w:r>
      <w:r w:rsidRPr="002370BD">
        <w:rPr>
          <w:rFonts w:ascii="Times New Roman" w:hAnsi="Times New Roman"/>
          <w:sz w:val="26"/>
          <w:szCs w:val="26"/>
        </w:rPr>
        <w:t xml:space="preserve"> atzīmēts</w:t>
      </w:r>
      <w:r>
        <w:rPr>
          <w:rFonts w:ascii="Times New Roman" w:hAnsi="Times New Roman"/>
          <w:sz w:val="26"/>
          <w:szCs w:val="26"/>
        </w:rPr>
        <w:t>, ka globālo ārvalstu tiešo investīciju plūsmas  pēc būtiskā krituma 2020. gadā 2021.gadā sasniedza pirms Covid-19 pandēmijas līmeni un bija 1,6 triljoni ASV dolāru apjomā. Taču 2022. gadā investīciju vide dramatiski mainījās. Karš Ukrainā un vēl nepārvarētās Covid-19 izraisītās pandēmijas sekas palielināja nenoteiktību vairākās pasaules valstīs. Tiek prognozēts, ka globālās kapitāla pārrobežu plūsmas tuvākajos gados visticamāk saglabāsies esošajā līmenī vai arī nedaudz samazināsies.</w:t>
      </w:r>
      <w:bookmarkStart w:id="12" w:name="_Hlk127376559"/>
      <w:r w:rsidR="00CB6646">
        <w:rPr>
          <w:rFonts w:ascii="Times New Roman" w:hAnsi="Times New Roman"/>
          <w:sz w:val="26"/>
          <w:szCs w:val="26"/>
        </w:rPr>
        <w:t xml:space="preserve"> Tas var ietekmēt ārvalstu investīciju ieplūdi arī</w:t>
      </w:r>
      <w:r>
        <w:rPr>
          <w:rFonts w:ascii="Times New Roman" w:hAnsi="Times New Roman"/>
          <w:sz w:val="26"/>
          <w:szCs w:val="26"/>
        </w:rPr>
        <w:t xml:space="preserve"> </w:t>
      </w:r>
      <w:bookmarkEnd w:id="12"/>
      <w:r w:rsidR="00CB6646">
        <w:rPr>
          <w:rFonts w:ascii="Times New Roman" w:hAnsi="Times New Roman"/>
          <w:sz w:val="26"/>
          <w:szCs w:val="26"/>
        </w:rPr>
        <w:t xml:space="preserve">Latvijā. </w:t>
      </w:r>
      <w:bookmarkStart w:id="13" w:name="_Hlk128412238"/>
      <w:r w:rsidRPr="00F324A8">
        <w:rPr>
          <w:rFonts w:ascii="Times New Roman" w:hAnsi="Times New Roman"/>
          <w:sz w:val="26"/>
          <w:szCs w:val="26"/>
        </w:rPr>
        <w:t>Saskaņā ar LURSOFT datiem, nerezidentu uzkrātās investīcijas Latvijā reģistrēto uzņēmumu pamatkapitālā laika periodā no 2010.gada līdz 2022</w:t>
      </w:r>
      <w:r w:rsidRPr="004203ED">
        <w:rPr>
          <w:rFonts w:ascii="Times New Roman" w:hAnsi="Times New Roman"/>
          <w:sz w:val="26"/>
          <w:szCs w:val="26"/>
        </w:rPr>
        <w:t>.gada beigām kopumā pieauga par 1</w:t>
      </w:r>
      <w:r w:rsidRPr="00F324A8">
        <w:rPr>
          <w:rFonts w:ascii="Times New Roman" w:hAnsi="Times New Roman"/>
          <w:sz w:val="26"/>
          <w:szCs w:val="26"/>
        </w:rPr>
        <w:t>33</w:t>
      </w:r>
      <w:r w:rsidRPr="004203ED">
        <w:rPr>
          <w:rFonts w:ascii="Times New Roman" w:hAnsi="Times New Roman"/>
          <w:sz w:val="26"/>
          <w:szCs w:val="26"/>
        </w:rPr>
        <w:t>,</w:t>
      </w:r>
      <w:r w:rsidRPr="00F324A8">
        <w:rPr>
          <w:rFonts w:ascii="Times New Roman" w:hAnsi="Times New Roman"/>
          <w:sz w:val="26"/>
          <w:szCs w:val="26"/>
        </w:rPr>
        <w:t>3</w:t>
      </w:r>
      <w:r w:rsidRPr="004203ED">
        <w:rPr>
          <w:rFonts w:ascii="Times New Roman" w:hAnsi="Times New Roman"/>
          <w:sz w:val="26"/>
          <w:szCs w:val="26"/>
        </w:rPr>
        <w:t xml:space="preserve">% </w:t>
      </w:r>
      <w:bookmarkEnd w:id="13"/>
      <w:r w:rsidRPr="004203ED">
        <w:rPr>
          <w:rFonts w:ascii="Times New Roman" w:hAnsi="Times New Roman"/>
          <w:sz w:val="26"/>
          <w:szCs w:val="26"/>
        </w:rPr>
        <w:t>(tai skaitā 202</w:t>
      </w:r>
      <w:r w:rsidRPr="00F324A8">
        <w:rPr>
          <w:rFonts w:ascii="Times New Roman" w:hAnsi="Times New Roman"/>
          <w:sz w:val="26"/>
          <w:szCs w:val="26"/>
        </w:rPr>
        <w:t>2</w:t>
      </w:r>
      <w:r w:rsidRPr="004203ED">
        <w:rPr>
          <w:rFonts w:ascii="Times New Roman" w:hAnsi="Times New Roman"/>
          <w:sz w:val="26"/>
          <w:szCs w:val="26"/>
        </w:rPr>
        <w:t>. gadā</w:t>
      </w:r>
      <w:r>
        <w:rPr>
          <w:rFonts w:ascii="Times New Roman" w:hAnsi="Times New Roman"/>
          <w:sz w:val="26"/>
          <w:szCs w:val="26"/>
        </w:rPr>
        <w:t>,</w:t>
      </w:r>
      <w:r w:rsidRPr="004203ED">
        <w:rPr>
          <w:rFonts w:ascii="Times New Roman" w:hAnsi="Times New Roman"/>
          <w:sz w:val="26"/>
          <w:szCs w:val="26"/>
        </w:rPr>
        <w:t xml:space="preserve"> salīdzinot ar iepriekšējo gadu - par </w:t>
      </w:r>
      <w:r w:rsidRPr="00F324A8">
        <w:rPr>
          <w:rFonts w:ascii="Times New Roman" w:hAnsi="Times New Roman"/>
          <w:sz w:val="26"/>
          <w:szCs w:val="26"/>
        </w:rPr>
        <w:t>1,3</w:t>
      </w:r>
      <w:r w:rsidRPr="004203ED">
        <w:rPr>
          <w:rFonts w:ascii="Times New Roman" w:hAnsi="Times New Roman"/>
          <w:sz w:val="26"/>
          <w:szCs w:val="26"/>
        </w:rPr>
        <w:t xml:space="preserve">%). </w:t>
      </w:r>
      <w:bookmarkStart w:id="14" w:name="_Hlk128412154"/>
      <w:r w:rsidR="006122EF">
        <w:rPr>
          <w:rFonts w:ascii="Times New Roman" w:hAnsi="Times New Roman"/>
          <w:sz w:val="26"/>
          <w:szCs w:val="26"/>
        </w:rPr>
        <w:t>Saskaņā ar</w:t>
      </w:r>
      <w:r w:rsidR="00CB6646">
        <w:rPr>
          <w:rFonts w:ascii="Times New Roman" w:hAnsi="Times New Roman"/>
          <w:sz w:val="26"/>
          <w:szCs w:val="26"/>
        </w:rPr>
        <w:t xml:space="preserve"> </w:t>
      </w:r>
      <w:r w:rsidRPr="004203ED">
        <w:rPr>
          <w:rFonts w:ascii="Times New Roman" w:hAnsi="Times New Roman"/>
          <w:sz w:val="26"/>
          <w:szCs w:val="26"/>
        </w:rPr>
        <w:t xml:space="preserve">EM </w:t>
      </w:r>
      <w:r w:rsidR="00CB6646" w:rsidRPr="004203ED">
        <w:rPr>
          <w:rFonts w:ascii="Times New Roman" w:hAnsi="Times New Roman"/>
          <w:sz w:val="26"/>
          <w:szCs w:val="26"/>
        </w:rPr>
        <w:t>novērtējum</w:t>
      </w:r>
      <w:r w:rsidR="006122EF">
        <w:rPr>
          <w:rFonts w:ascii="Times New Roman" w:hAnsi="Times New Roman"/>
          <w:sz w:val="26"/>
          <w:szCs w:val="26"/>
        </w:rPr>
        <w:t>u,</w:t>
      </w:r>
      <w:r w:rsidR="00CB6646" w:rsidRPr="004203ED">
        <w:rPr>
          <w:rFonts w:ascii="Times New Roman" w:hAnsi="Times New Roman"/>
          <w:sz w:val="26"/>
          <w:szCs w:val="26"/>
        </w:rPr>
        <w:t xml:space="preserve"> </w:t>
      </w:r>
      <w:r w:rsidRPr="004203ED">
        <w:rPr>
          <w:rFonts w:ascii="Times New Roman" w:hAnsi="Times New Roman"/>
          <w:sz w:val="26"/>
          <w:szCs w:val="26"/>
        </w:rPr>
        <w:t xml:space="preserve">ar TUA saistīto </w:t>
      </w:r>
      <w:r w:rsidR="00CB6646">
        <w:rPr>
          <w:rFonts w:ascii="Times New Roman" w:hAnsi="Times New Roman"/>
          <w:sz w:val="26"/>
          <w:szCs w:val="26"/>
        </w:rPr>
        <w:t>darījumu</w:t>
      </w:r>
      <w:r w:rsidRPr="004203ED">
        <w:rPr>
          <w:rFonts w:ascii="Times New Roman" w:hAnsi="Times New Roman"/>
          <w:sz w:val="26"/>
          <w:szCs w:val="26"/>
        </w:rPr>
        <w:t xml:space="preserve"> devums ārvalstu investīciju kopējā pieaugumā Latvijas tautsaimniecībā bija neliels - aptuveni </w:t>
      </w:r>
      <w:r w:rsidRPr="00F324A8">
        <w:rPr>
          <w:rFonts w:ascii="Times New Roman" w:hAnsi="Times New Roman"/>
          <w:sz w:val="26"/>
          <w:szCs w:val="26"/>
        </w:rPr>
        <w:t>1,5</w:t>
      </w:r>
      <w:r w:rsidRPr="004203ED">
        <w:rPr>
          <w:rFonts w:ascii="Times New Roman" w:hAnsi="Times New Roman"/>
          <w:sz w:val="26"/>
          <w:szCs w:val="26"/>
        </w:rPr>
        <w:t xml:space="preserve"> procentpunkti. </w:t>
      </w:r>
      <w:bookmarkEnd w:id="14"/>
      <w:r w:rsidRPr="004203ED">
        <w:rPr>
          <w:rFonts w:ascii="Times New Roman" w:hAnsi="Times New Roman"/>
          <w:sz w:val="26"/>
          <w:szCs w:val="26"/>
        </w:rPr>
        <w:t xml:space="preserve">Tas liecina, ka TUA instruments nav noteicošs stimuls ārvalstu kapitāla piesaistei reālajā sektorā un šī instrumenta  ietekme ir vāja. Tomēr atsevišķu valstu, kā piemēram, Krievijas un </w:t>
      </w:r>
      <w:r w:rsidR="00026308">
        <w:rPr>
          <w:rFonts w:ascii="Times New Roman" w:hAnsi="Times New Roman"/>
          <w:sz w:val="26"/>
          <w:szCs w:val="26"/>
        </w:rPr>
        <w:t>iepriekšējos</w:t>
      </w:r>
      <w:r w:rsidR="00026308" w:rsidRPr="004203ED">
        <w:rPr>
          <w:rFonts w:ascii="Times New Roman" w:hAnsi="Times New Roman"/>
          <w:sz w:val="26"/>
          <w:szCs w:val="26"/>
        </w:rPr>
        <w:t xml:space="preserve"> </w:t>
      </w:r>
      <w:r w:rsidRPr="004203ED">
        <w:rPr>
          <w:rFonts w:ascii="Times New Roman" w:hAnsi="Times New Roman"/>
          <w:sz w:val="26"/>
          <w:szCs w:val="26"/>
        </w:rPr>
        <w:t>gados Vjetnamas investoriem</w:t>
      </w:r>
      <w:r w:rsidRPr="004203ED">
        <w:rPr>
          <w:rStyle w:val="FootnoteReference"/>
          <w:rFonts w:ascii="Times New Roman" w:hAnsi="Times New Roman"/>
          <w:sz w:val="26"/>
          <w:szCs w:val="26"/>
        </w:rPr>
        <w:footnoteReference w:id="3"/>
      </w:r>
      <w:r w:rsidRPr="004203ED">
        <w:rPr>
          <w:rFonts w:ascii="Times New Roman" w:hAnsi="Times New Roman"/>
          <w:sz w:val="26"/>
          <w:szCs w:val="26"/>
        </w:rPr>
        <w:t xml:space="preserve">, tas ir bijis </w:t>
      </w:r>
      <w:r w:rsidR="00651AD7">
        <w:rPr>
          <w:rFonts w:ascii="Times New Roman" w:hAnsi="Times New Roman"/>
          <w:sz w:val="26"/>
          <w:szCs w:val="26"/>
        </w:rPr>
        <w:t>nozīmīgs</w:t>
      </w:r>
      <w:r w:rsidR="00651AD7" w:rsidRPr="004203ED">
        <w:rPr>
          <w:rFonts w:ascii="Times New Roman" w:hAnsi="Times New Roman"/>
          <w:sz w:val="26"/>
          <w:szCs w:val="26"/>
        </w:rPr>
        <w:t xml:space="preserve"> </w:t>
      </w:r>
      <w:r w:rsidRPr="004203ED">
        <w:rPr>
          <w:rFonts w:ascii="Times New Roman" w:hAnsi="Times New Roman"/>
          <w:sz w:val="26"/>
          <w:szCs w:val="26"/>
        </w:rPr>
        <w:t>stimuls ieguldījumiem Latvijā reģistrētu uzņēmumu pamatkapitālā.</w:t>
      </w:r>
    </w:p>
    <w:p w14:paraId="5B8CFF98" w14:textId="40780F9E" w:rsidR="00FF58A0" w:rsidRPr="007320CD" w:rsidRDefault="00926C7D" w:rsidP="00926C7D">
      <w:pPr>
        <w:spacing w:after="120"/>
        <w:ind w:firstLine="567"/>
        <w:jc w:val="both"/>
        <w:rPr>
          <w:rFonts w:ascii="Times New Roman" w:hAnsi="Times New Roman"/>
          <w:sz w:val="26"/>
          <w:szCs w:val="26"/>
          <w:highlight w:val="yellow"/>
        </w:rPr>
      </w:pPr>
      <w:r>
        <w:rPr>
          <w:rFonts w:ascii="Times New Roman" w:hAnsi="Times New Roman"/>
          <w:sz w:val="26"/>
          <w:szCs w:val="26"/>
        </w:rPr>
        <w:t xml:space="preserve">Pēdējos gados neliels bijis arī to personu skaits, kas pieprasa TUA atbilstoši Imigrācijas likuma 23.panta pirmās daļas 3.punktam – kā komercreģistrā reģistrētas amatpersonas. Pieprasot šāda veida TUA, persona var būt veikusi ieguldījumu uzņēmuma pamatkapitālā, bet tas nav obligāts priekšnosacījums. 2019. gadā pirmreizējas TUA saskaņā ar šo iemeslu izsniegtas 65, 2020.gadā – 33, 2021.gadā – 60, bet 2022.gadā - 30 personām. Galvenā šā veida TUA saņēmēju izcelsmes valsts līdz 2021.gadam bija Krievijas Federācija – 61 TUA saņēmējs jeb 39% no visiem šā veida TUA saņēmējiem no 2019.-2021.gadam, bet 2022.gadā atbilstoši Imigrācijas likumā noteiktajiem ierobežojumiem pirmreizējās TUA saistībā ar </w:t>
      </w:r>
      <w:r w:rsidR="00651AD7">
        <w:rPr>
          <w:rFonts w:ascii="Times New Roman" w:hAnsi="Times New Roman"/>
          <w:sz w:val="26"/>
          <w:szCs w:val="26"/>
        </w:rPr>
        <w:t xml:space="preserve">ieguldījumiem uzņēmumu pamatkapitālā </w:t>
      </w:r>
      <w:r>
        <w:rPr>
          <w:rFonts w:ascii="Times New Roman" w:hAnsi="Times New Roman"/>
          <w:sz w:val="26"/>
          <w:szCs w:val="26"/>
        </w:rPr>
        <w:t>izsniegtas tikai 3 Krievijas Federācijas pilsoņiem.</w:t>
      </w:r>
    </w:p>
    <w:p w14:paraId="074FA80F" w14:textId="77777777" w:rsidR="00926C7D" w:rsidRDefault="00926C7D" w:rsidP="000E0613">
      <w:pPr>
        <w:spacing w:after="120"/>
        <w:ind w:firstLine="567"/>
        <w:jc w:val="center"/>
        <w:rPr>
          <w:rFonts w:ascii="Times New Roman" w:hAnsi="Times New Roman"/>
          <w:b/>
          <w:sz w:val="26"/>
          <w:szCs w:val="26"/>
        </w:rPr>
      </w:pPr>
    </w:p>
    <w:p w14:paraId="617D69D0" w14:textId="77777777" w:rsidR="00F27977" w:rsidRDefault="00F27977" w:rsidP="000E0613">
      <w:pPr>
        <w:spacing w:after="120"/>
        <w:ind w:firstLine="567"/>
        <w:jc w:val="center"/>
        <w:rPr>
          <w:rFonts w:ascii="Times New Roman" w:hAnsi="Times New Roman"/>
          <w:b/>
          <w:sz w:val="26"/>
          <w:szCs w:val="26"/>
        </w:rPr>
      </w:pPr>
    </w:p>
    <w:p w14:paraId="3B20FF99" w14:textId="77777777" w:rsidR="00F27977" w:rsidRDefault="00F27977" w:rsidP="000E0613">
      <w:pPr>
        <w:spacing w:after="120"/>
        <w:ind w:firstLine="567"/>
        <w:jc w:val="center"/>
        <w:rPr>
          <w:rFonts w:ascii="Times New Roman" w:hAnsi="Times New Roman"/>
          <w:b/>
          <w:sz w:val="26"/>
          <w:szCs w:val="26"/>
        </w:rPr>
      </w:pPr>
    </w:p>
    <w:p w14:paraId="7F44E857" w14:textId="77777777" w:rsidR="00F27977" w:rsidRDefault="00F27977" w:rsidP="000E0613">
      <w:pPr>
        <w:spacing w:after="120"/>
        <w:ind w:firstLine="567"/>
        <w:jc w:val="center"/>
        <w:rPr>
          <w:rFonts w:ascii="Times New Roman" w:hAnsi="Times New Roman"/>
          <w:b/>
          <w:sz w:val="26"/>
          <w:szCs w:val="26"/>
        </w:rPr>
      </w:pPr>
    </w:p>
    <w:p w14:paraId="7CF1B8B4" w14:textId="3AAC4E4E" w:rsidR="00FF58A0" w:rsidRPr="000206B6" w:rsidRDefault="00A67CA7" w:rsidP="000E0613">
      <w:pPr>
        <w:spacing w:after="120"/>
        <w:ind w:firstLine="567"/>
        <w:jc w:val="center"/>
        <w:rPr>
          <w:rFonts w:ascii="Times New Roman" w:hAnsi="Times New Roman"/>
          <w:b/>
          <w:sz w:val="26"/>
          <w:szCs w:val="26"/>
        </w:rPr>
      </w:pPr>
      <w:r w:rsidRPr="000206B6">
        <w:rPr>
          <w:rFonts w:ascii="Times New Roman" w:hAnsi="Times New Roman"/>
          <w:b/>
          <w:sz w:val="26"/>
          <w:szCs w:val="26"/>
        </w:rPr>
        <w:lastRenderedPageBreak/>
        <w:t>Bezprocentu valsts vērtspapīru iegāde kā TUA saņemšanas pamats</w:t>
      </w:r>
    </w:p>
    <w:p w14:paraId="2D83F5DA" w14:textId="77777777" w:rsidR="0021121A" w:rsidRPr="000206B6" w:rsidRDefault="0021121A" w:rsidP="000E0613">
      <w:pPr>
        <w:spacing w:after="120"/>
        <w:ind w:firstLine="567"/>
        <w:jc w:val="center"/>
        <w:rPr>
          <w:rFonts w:ascii="Times New Roman" w:hAnsi="Times New Roman"/>
          <w:b/>
          <w:sz w:val="26"/>
          <w:szCs w:val="26"/>
        </w:rPr>
      </w:pPr>
    </w:p>
    <w:p w14:paraId="6047C527" w14:textId="459C61FA" w:rsidR="005D4A94" w:rsidRPr="000206B6" w:rsidRDefault="005D4A94" w:rsidP="005D4A94">
      <w:pPr>
        <w:spacing w:after="120"/>
        <w:ind w:firstLine="567"/>
        <w:jc w:val="both"/>
        <w:rPr>
          <w:rFonts w:ascii="Times New Roman" w:eastAsiaTheme="minorHAnsi" w:hAnsi="Times New Roman" w:cstheme="minorBidi"/>
          <w:i/>
          <w:sz w:val="26"/>
          <w:szCs w:val="26"/>
        </w:rPr>
      </w:pPr>
      <w:r w:rsidRPr="000206B6">
        <w:rPr>
          <w:rFonts w:ascii="Times New Roman" w:eastAsiaTheme="minorHAnsi" w:hAnsi="Times New Roman" w:cstheme="minorBidi"/>
          <w:sz w:val="26"/>
          <w:szCs w:val="26"/>
        </w:rPr>
        <w:t xml:space="preserve">Imigrācijas likuma 23.panta pirmās daļas 31.punkts – iespēja pieprasīt TUA uz laiku līdz pieciem gadiem, ja ārzemnieks iegādājas īpašam mērķim noteiktus bezprocentu valsts vērtspapīrus par nominālvērtību 250 000 </w:t>
      </w:r>
      <w:r w:rsidRPr="000206B6">
        <w:rPr>
          <w:rFonts w:ascii="Times New Roman" w:eastAsiaTheme="minorHAnsi" w:hAnsi="Times New Roman" w:cstheme="minorBidi"/>
          <w:i/>
          <w:sz w:val="26"/>
          <w:szCs w:val="26"/>
        </w:rPr>
        <w:t>euro</w:t>
      </w:r>
      <w:r w:rsidR="00285B28" w:rsidRPr="000206B6">
        <w:rPr>
          <w:rFonts w:ascii="Times New Roman" w:eastAsiaTheme="minorHAnsi" w:hAnsi="Times New Roman" w:cstheme="minorBidi"/>
          <w:i/>
          <w:sz w:val="26"/>
          <w:szCs w:val="26"/>
        </w:rPr>
        <w:t xml:space="preserve">, </w:t>
      </w:r>
      <w:r w:rsidR="00285B28" w:rsidRPr="000206B6">
        <w:rPr>
          <w:rFonts w:ascii="Times New Roman" w:eastAsiaTheme="minorHAnsi" w:hAnsi="Times New Roman" w:cstheme="minorBidi"/>
          <w:sz w:val="26"/>
          <w:szCs w:val="26"/>
        </w:rPr>
        <w:t>ir spēkā no 2015.gada 1.janvāra</w:t>
      </w:r>
      <w:r w:rsidRPr="000206B6">
        <w:rPr>
          <w:rFonts w:ascii="Times New Roman" w:eastAsiaTheme="minorHAnsi" w:hAnsi="Times New Roman" w:cstheme="minorBidi"/>
          <w:i/>
          <w:sz w:val="26"/>
          <w:szCs w:val="26"/>
        </w:rPr>
        <w:t xml:space="preserve">. </w:t>
      </w:r>
      <w:r w:rsidRPr="000206B6">
        <w:rPr>
          <w:rFonts w:ascii="Times New Roman" w:eastAsiaTheme="minorHAnsi" w:hAnsi="Times New Roman" w:cstheme="minorBidi"/>
          <w:sz w:val="26"/>
          <w:szCs w:val="26"/>
        </w:rPr>
        <w:t xml:space="preserve">Saņemot TUA, ārzemniekam jāveic iemaksa valsts budžetā 38 000 </w:t>
      </w:r>
      <w:r w:rsidRPr="000206B6">
        <w:rPr>
          <w:rFonts w:ascii="Times New Roman" w:eastAsiaTheme="minorHAnsi" w:hAnsi="Times New Roman" w:cstheme="minorBidi"/>
          <w:i/>
          <w:sz w:val="26"/>
          <w:szCs w:val="26"/>
        </w:rPr>
        <w:t xml:space="preserve">euro </w:t>
      </w:r>
      <w:r w:rsidRPr="000206B6">
        <w:rPr>
          <w:rFonts w:ascii="Times New Roman" w:eastAsiaTheme="minorHAnsi" w:hAnsi="Times New Roman" w:cstheme="minorBidi"/>
          <w:sz w:val="26"/>
          <w:szCs w:val="26"/>
        </w:rPr>
        <w:t>apmērā</w:t>
      </w:r>
      <w:r w:rsidRPr="000206B6">
        <w:rPr>
          <w:rFonts w:ascii="Times New Roman" w:eastAsiaTheme="minorHAnsi" w:hAnsi="Times New Roman" w:cstheme="minorBidi"/>
          <w:i/>
          <w:sz w:val="26"/>
          <w:szCs w:val="26"/>
        </w:rPr>
        <w:t xml:space="preserve">. </w:t>
      </w:r>
    </w:p>
    <w:p w14:paraId="3C635B6F" w14:textId="207AAB9F" w:rsidR="0079208C" w:rsidRPr="000206B6" w:rsidRDefault="00FB784F" w:rsidP="0079208C">
      <w:pPr>
        <w:spacing w:after="120"/>
        <w:ind w:firstLine="709"/>
        <w:jc w:val="both"/>
        <w:rPr>
          <w:rFonts w:ascii="Times New Roman" w:eastAsiaTheme="minorHAnsi" w:hAnsi="Times New Roman" w:cstheme="minorBidi"/>
          <w:sz w:val="26"/>
          <w:szCs w:val="26"/>
        </w:rPr>
      </w:pPr>
      <w:r w:rsidRPr="000206B6">
        <w:rPr>
          <w:rFonts w:ascii="Times New Roman" w:eastAsiaTheme="minorHAnsi" w:hAnsi="Times New Roman" w:cstheme="minorBidi"/>
          <w:sz w:val="26"/>
          <w:szCs w:val="26"/>
        </w:rPr>
        <w:t>No 2015.gada 1.janvāra līdz 20</w:t>
      </w:r>
      <w:r w:rsidR="00404D36" w:rsidRPr="000206B6">
        <w:rPr>
          <w:rFonts w:ascii="Times New Roman" w:eastAsiaTheme="minorHAnsi" w:hAnsi="Times New Roman" w:cstheme="minorBidi"/>
          <w:sz w:val="26"/>
          <w:szCs w:val="26"/>
        </w:rPr>
        <w:t>2</w:t>
      </w:r>
      <w:r w:rsidR="000206B6" w:rsidRPr="000206B6">
        <w:rPr>
          <w:rFonts w:ascii="Times New Roman" w:eastAsiaTheme="minorHAnsi" w:hAnsi="Times New Roman" w:cstheme="minorBidi"/>
          <w:sz w:val="26"/>
          <w:szCs w:val="26"/>
        </w:rPr>
        <w:t>2</w:t>
      </w:r>
      <w:r w:rsidR="00404D36" w:rsidRPr="000206B6">
        <w:rPr>
          <w:rFonts w:ascii="Times New Roman" w:eastAsiaTheme="minorHAnsi" w:hAnsi="Times New Roman" w:cstheme="minorBidi"/>
          <w:sz w:val="26"/>
          <w:szCs w:val="26"/>
        </w:rPr>
        <w:t>.gada 31</w:t>
      </w:r>
      <w:r w:rsidR="005D4A94" w:rsidRPr="000206B6">
        <w:rPr>
          <w:rFonts w:ascii="Times New Roman" w:eastAsiaTheme="minorHAnsi" w:hAnsi="Times New Roman" w:cstheme="minorBidi"/>
          <w:sz w:val="26"/>
          <w:szCs w:val="26"/>
        </w:rPr>
        <w:t>.</w:t>
      </w:r>
      <w:r w:rsidR="00404D36" w:rsidRPr="000206B6">
        <w:rPr>
          <w:rFonts w:ascii="Times New Roman" w:eastAsiaTheme="minorHAnsi" w:hAnsi="Times New Roman" w:cstheme="minorBidi"/>
          <w:sz w:val="26"/>
          <w:szCs w:val="26"/>
        </w:rPr>
        <w:t>decembrim</w:t>
      </w:r>
      <w:r w:rsidR="005D4A94" w:rsidRPr="000206B6">
        <w:rPr>
          <w:rFonts w:ascii="Times New Roman" w:eastAsiaTheme="minorHAnsi" w:hAnsi="Times New Roman" w:cstheme="minorBidi"/>
          <w:sz w:val="26"/>
          <w:szCs w:val="26"/>
        </w:rPr>
        <w:t xml:space="preserve"> TUA saskaņā ar īpašam mērķim noteiktu bezprocentu valsts v</w:t>
      </w:r>
      <w:r w:rsidR="000206B6" w:rsidRPr="000206B6">
        <w:rPr>
          <w:rFonts w:ascii="Times New Roman" w:eastAsiaTheme="minorHAnsi" w:hAnsi="Times New Roman" w:cstheme="minorBidi"/>
          <w:sz w:val="26"/>
          <w:szCs w:val="26"/>
        </w:rPr>
        <w:t>ērtspapīru iegādi pieprasījuši</w:t>
      </w:r>
      <w:r w:rsidRPr="000206B6">
        <w:rPr>
          <w:rFonts w:ascii="Times New Roman" w:eastAsiaTheme="minorHAnsi" w:hAnsi="Times New Roman" w:cstheme="minorBidi"/>
          <w:sz w:val="26"/>
          <w:szCs w:val="26"/>
        </w:rPr>
        <w:t xml:space="preserve"> </w:t>
      </w:r>
      <w:r w:rsidR="000206B6" w:rsidRPr="000206B6">
        <w:rPr>
          <w:rFonts w:ascii="Times New Roman" w:eastAsiaTheme="minorHAnsi" w:hAnsi="Times New Roman" w:cstheme="minorBidi"/>
          <w:sz w:val="26"/>
          <w:szCs w:val="26"/>
        </w:rPr>
        <w:t>84 investori</w:t>
      </w:r>
      <w:r w:rsidRPr="000206B6">
        <w:rPr>
          <w:rFonts w:ascii="Times New Roman" w:eastAsiaTheme="minorHAnsi" w:hAnsi="Times New Roman" w:cstheme="minorBidi"/>
          <w:sz w:val="26"/>
          <w:szCs w:val="26"/>
        </w:rPr>
        <w:t xml:space="preserve"> un </w:t>
      </w:r>
      <w:r w:rsidR="000206B6" w:rsidRPr="000206B6">
        <w:rPr>
          <w:rFonts w:ascii="Times New Roman" w:eastAsiaTheme="minorHAnsi" w:hAnsi="Times New Roman" w:cstheme="minorBidi"/>
          <w:sz w:val="26"/>
          <w:szCs w:val="26"/>
        </w:rPr>
        <w:t>12</w:t>
      </w:r>
      <w:r w:rsidR="00404D36" w:rsidRPr="000206B6">
        <w:rPr>
          <w:rFonts w:ascii="Times New Roman" w:eastAsiaTheme="minorHAnsi" w:hAnsi="Times New Roman" w:cstheme="minorBidi"/>
          <w:sz w:val="26"/>
          <w:szCs w:val="26"/>
        </w:rPr>
        <w:t>6</w:t>
      </w:r>
      <w:r w:rsidR="005D4A94" w:rsidRPr="000206B6">
        <w:rPr>
          <w:rFonts w:ascii="Times New Roman" w:eastAsiaTheme="minorHAnsi" w:hAnsi="Times New Roman" w:cstheme="minorBidi"/>
          <w:sz w:val="26"/>
          <w:szCs w:val="26"/>
        </w:rPr>
        <w:t xml:space="preserve"> viņu ģimenes locekļi. Investoru pilsonības – Krievijas Federācija – </w:t>
      </w:r>
      <w:r w:rsidR="002370BD" w:rsidRPr="000206B6">
        <w:rPr>
          <w:rFonts w:ascii="Times New Roman" w:eastAsiaTheme="minorHAnsi" w:hAnsi="Times New Roman" w:cstheme="minorBidi"/>
          <w:sz w:val="26"/>
          <w:szCs w:val="26"/>
        </w:rPr>
        <w:t>4</w:t>
      </w:r>
      <w:r w:rsidR="000206B6" w:rsidRPr="000206B6">
        <w:rPr>
          <w:rFonts w:ascii="Times New Roman" w:eastAsiaTheme="minorHAnsi" w:hAnsi="Times New Roman" w:cstheme="minorBidi"/>
          <w:sz w:val="26"/>
          <w:szCs w:val="26"/>
        </w:rPr>
        <w:t>3</w:t>
      </w:r>
      <w:r w:rsidR="005D4A94" w:rsidRPr="000206B6">
        <w:rPr>
          <w:rFonts w:ascii="Times New Roman" w:eastAsiaTheme="minorHAnsi" w:hAnsi="Times New Roman" w:cstheme="minorBidi"/>
          <w:sz w:val="26"/>
          <w:szCs w:val="26"/>
        </w:rPr>
        <w:t xml:space="preserve">, Ukraina – </w:t>
      </w:r>
      <w:r w:rsidR="002370BD" w:rsidRPr="000206B6">
        <w:rPr>
          <w:rFonts w:ascii="Times New Roman" w:eastAsiaTheme="minorHAnsi" w:hAnsi="Times New Roman" w:cstheme="minorBidi"/>
          <w:sz w:val="26"/>
          <w:szCs w:val="26"/>
        </w:rPr>
        <w:t>11</w:t>
      </w:r>
      <w:r w:rsidR="005D4A94" w:rsidRPr="000206B6">
        <w:rPr>
          <w:rFonts w:ascii="Times New Roman" w:eastAsiaTheme="minorHAnsi" w:hAnsi="Times New Roman" w:cstheme="minorBidi"/>
          <w:sz w:val="26"/>
          <w:szCs w:val="26"/>
        </w:rPr>
        <w:t xml:space="preserve">, </w:t>
      </w:r>
      <w:r w:rsidR="005F0DF1" w:rsidRPr="000206B6">
        <w:rPr>
          <w:rFonts w:ascii="Times New Roman" w:eastAsiaTheme="minorHAnsi" w:hAnsi="Times New Roman" w:cstheme="minorBidi"/>
          <w:sz w:val="26"/>
          <w:szCs w:val="26"/>
        </w:rPr>
        <w:t xml:space="preserve">Ķīna </w:t>
      </w:r>
      <w:r w:rsidRPr="000206B6">
        <w:rPr>
          <w:rFonts w:ascii="Times New Roman" w:eastAsiaTheme="minorHAnsi" w:hAnsi="Times New Roman" w:cstheme="minorBidi"/>
          <w:sz w:val="26"/>
          <w:szCs w:val="26"/>
        </w:rPr>
        <w:t xml:space="preserve">– </w:t>
      </w:r>
      <w:r w:rsidR="00404D36" w:rsidRPr="000206B6">
        <w:rPr>
          <w:rFonts w:ascii="Times New Roman" w:eastAsiaTheme="minorHAnsi" w:hAnsi="Times New Roman" w:cstheme="minorBidi"/>
          <w:sz w:val="26"/>
          <w:szCs w:val="26"/>
        </w:rPr>
        <w:t>12</w:t>
      </w:r>
      <w:r w:rsidRPr="000206B6">
        <w:rPr>
          <w:rFonts w:ascii="Times New Roman" w:eastAsiaTheme="minorHAnsi" w:hAnsi="Times New Roman" w:cstheme="minorBidi"/>
          <w:sz w:val="26"/>
          <w:szCs w:val="26"/>
        </w:rPr>
        <w:t xml:space="preserve">, </w:t>
      </w:r>
      <w:r w:rsidR="00A54144" w:rsidRPr="000206B6">
        <w:rPr>
          <w:rFonts w:ascii="Times New Roman" w:eastAsiaTheme="minorHAnsi" w:hAnsi="Times New Roman" w:cstheme="minorBidi"/>
          <w:sz w:val="26"/>
          <w:szCs w:val="26"/>
        </w:rPr>
        <w:t xml:space="preserve">Azerbaidžāna - 6, </w:t>
      </w:r>
      <w:r w:rsidR="005D4A94" w:rsidRPr="000206B6">
        <w:rPr>
          <w:rFonts w:ascii="Times New Roman" w:eastAsiaTheme="minorHAnsi" w:hAnsi="Times New Roman" w:cstheme="minorBidi"/>
          <w:sz w:val="26"/>
          <w:szCs w:val="26"/>
        </w:rPr>
        <w:t xml:space="preserve">Baltkrievija – </w:t>
      </w:r>
      <w:r w:rsidRPr="000206B6">
        <w:rPr>
          <w:rFonts w:ascii="Times New Roman" w:eastAsiaTheme="minorHAnsi" w:hAnsi="Times New Roman" w:cstheme="minorBidi"/>
          <w:sz w:val="26"/>
          <w:szCs w:val="26"/>
        </w:rPr>
        <w:t>4</w:t>
      </w:r>
      <w:r w:rsidR="005D4A94" w:rsidRPr="000206B6">
        <w:rPr>
          <w:rFonts w:ascii="Times New Roman" w:eastAsiaTheme="minorHAnsi" w:hAnsi="Times New Roman" w:cstheme="minorBidi"/>
          <w:sz w:val="26"/>
          <w:szCs w:val="26"/>
        </w:rPr>
        <w:t xml:space="preserve">, </w:t>
      </w:r>
      <w:r w:rsidRPr="000206B6">
        <w:rPr>
          <w:rFonts w:ascii="Times New Roman" w:eastAsiaTheme="minorHAnsi" w:hAnsi="Times New Roman" w:cstheme="minorBidi"/>
          <w:sz w:val="26"/>
          <w:szCs w:val="26"/>
        </w:rPr>
        <w:t xml:space="preserve">Uzbekistāna – </w:t>
      </w:r>
      <w:r w:rsidR="000206B6" w:rsidRPr="000206B6">
        <w:rPr>
          <w:rFonts w:ascii="Times New Roman" w:eastAsiaTheme="minorHAnsi" w:hAnsi="Times New Roman" w:cstheme="minorBidi"/>
          <w:sz w:val="26"/>
          <w:szCs w:val="26"/>
        </w:rPr>
        <w:t>3</w:t>
      </w:r>
      <w:r w:rsidRPr="000206B6">
        <w:rPr>
          <w:rFonts w:ascii="Times New Roman" w:eastAsiaTheme="minorHAnsi" w:hAnsi="Times New Roman" w:cstheme="minorBidi"/>
          <w:sz w:val="26"/>
          <w:szCs w:val="26"/>
        </w:rPr>
        <w:t xml:space="preserve">, </w:t>
      </w:r>
      <w:r w:rsidR="005D4A94" w:rsidRPr="000206B6">
        <w:rPr>
          <w:rFonts w:ascii="Times New Roman" w:eastAsiaTheme="minorHAnsi" w:hAnsi="Times New Roman" w:cstheme="minorBidi"/>
          <w:sz w:val="26"/>
          <w:szCs w:val="26"/>
        </w:rPr>
        <w:t xml:space="preserve">Kazahstāna – </w:t>
      </w:r>
      <w:r w:rsidR="002370BD" w:rsidRPr="000206B6">
        <w:rPr>
          <w:rFonts w:ascii="Times New Roman" w:eastAsiaTheme="minorHAnsi" w:hAnsi="Times New Roman" w:cstheme="minorBidi"/>
          <w:sz w:val="26"/>
          <w:szCs w:val="26"/>
        </w:rPr>
        <w:t>2</w:t>
      </w:r>
      <w:r w:rsidR="005D4A94" w:rsidRPr="000206B6">
        <w:rPr>
          <w:rFonts w:ascii="Times New Roman" w:eastAsiaTheme="minorHAnsi" w:hAnsi="Times New Roman" w:cstheme="minorBidi"/>
          <w:sz w:val="26"/>
          <w:szCs w:val="26"/>
        </w:rPr>
        <w:t xml:space="preserve">, Irāka – 1, </w:t>
      </w:r>
      <w:r w:rsidR="005F0DF1" w:rsidRPr="000206B6">
        <w:rPr>
          <w:rFonts w:ascii="Times New Roman" w:eastAsiaTheme="minorHAnsi" w:hAnsi="Times New Roman" w:cstheme="minorBidi"/>
          <w:sz w:val="26"/>
          <w:szCs w:val="26"/>
        </w:rPr>
        <w:t>Indija – 1</w:t>
      </w:r>
      <w:r w:rsidR="002370BD" w:rsidRPr="000206B6">
        <w:rPr>
          <w:rFonts w:ascii="Times New Roman" w:eastAsiaTheme="minorHAnsi" w:hAnsi="Times New Roman" w:cstheme="minorBidi"/>
          <w:sz w:val="26"/>
          <w:szCs w:val="26"/>
        </w:rPr>
        <w:t>, Kanāda - 1</w:t>
      </w:r>
      <w:r w:rsidRPr="000206B6">
        <w:rPr>
          <w:rFonts w:ascii="Times New Roman" w:eastAsiaTheme="minorHAnsi" w:hAnsi="Times New Roman" w:cstheme="minorBidi"/>
          <w:sz w:val="26"/>
          <w:szCs w:val="26"/>
        </w:rPr>
        <w:t xml:space="preserve">. </w:t>
      </w:r>
    </w:p>
    <w:p w14:paraId="3259F699" w14:textId="77777777" w:rsidR="000206B6" w:rsidRPr="000206B6" w:rsidRDefault="000206B6" w:rsidP="000206B6">
      <w:pPr>
        <w:spacing w:after="120"/>
        <w:ind w:firstLine="567"/>
        <w:jc w:val="both"/>
        <w:rPr>
          <w:rFonts w:ascii="Times New Roman" w:hAnsi="Times New Roman"/>
          <w:sz w:val="26"/>
          <w:szCs w:val="26"/>
        </w:rPr>
      </w:pPr>
      <w:r w:rsidRPr="000206B6">
        <w:rPr>
          <w:rFonts w:ascii="Times New Roman" w:hAnsi="Times New Roman"/>
          <w:sz w:val="26"/>
          <w:szCs w:val="26"/>
        </w:rPr>
        <w:t xml:space="preserve">2022. gadā emitētas sešas bezprocentu obligācijas 1,50 </w:t>
      </w:r>
      <w:r w:rsidRPr="000206B6">
        <w:rPr>
          <w:rFonts w:ascii="Times New Roman" w:hAnsi="Times New Roman"/>
          <w:bCs/>
          <w:iCs/>
          <w:sz w:val="26"/>
          <w:szCs w:val="26"/>
        </w:rPr>
        <w:t xml:space="preserve">milj. </w:t>
      </w:r>
      <w:r w:rsidRPr="000206B6">
        <w:rPr>
          <w:rFonts w:ascii="Times New Roman" w:hAnsi="Times New Roman"/>
          <w:bCs/>
          <w:i/>
          <w:iCs/>
          <w:sz w:val="26"/>
          <w:szCs w:val="26"/>
        </w:rPr>
        <w:t>euro</w:t>
      </w:r>
      <w:r w:rsidRPr="000206B6">
        <w:rPr>
          <w:rFonts w:ascii="Times New Roman" w:hAnsi="Times New Roman"/>
          <w:sz w:val="26"/>
          <w:szCs w:val="26"/>
        </w:rPr>
        <w:t xml:space="preserve"> apjomā, dzēstas deviņas bezprocentu obligācijas 2,25 </w:t>
      </w:r>
      <w:r w:rsidRPr="000206B6">
        <w:rPr>
          <w:rFonts w:ascii="Times New Roman" w:hAnsi="Times New Roman"/>
          <w:bCs/>
          <w:iCs/>
          <w:sz w:val="26"/>
          <w:szCs w:val="26"/>
        </w:rPr>
        <w:t xml:space="preserve">milj. </w:t>
      </w:r>
      <w:r w:rsidRPr="000206B6">
        <w:rPr>
          <w:rFonts w:ascii="Times New Roman" w:hAnsi="Times New Roman"/>
          <w:bCs/>
          <w:i/>
          <w:iCs/>
          <w:sz w:val="26"/>
          <w:szCs w:val="26"/>
        </w:rPr>
        <w:t>euro</w:t>
      </w:r>
      <w:r w:rsidRPr="000206B6">
        <w:rPr>
          <w:rFonts w:ascii="Times New Roman" w:hAnsi="Times New Roman"/>
          <w:sz w:val="26"/>
          <w:szCs w:val="26"/>
        </w:rPr>
        <w:t xml:space="preserve"> apjomā. Ņemot vērā kopējo aizņemšanās apjomu 2022.gadā 2,2 mljrd. </w:t>
      </w:r>
      <w:r w:rsidRPr="000206B6">
        <w:rPr>
          <w:rFonts w:ascii="Times New Roman" w:hAnsi="Times New Roman"/>
          <w:i/>
          <w:sz w:val="26"/>
          <w:szCs w:val="26"/>
        </w:rPr>
        <w:t>euro</w:t>
      </w:r>
      <w:r w:rsidRPr="000206B6">
        <w:rPr>
          <w:rFonts w:ascii="Times New Roman" w:hAnsi="Times New Roman"/>
          <w:sz w:val="26"/>
          <w:szCs w:val="26"/>
        </w:rPr>
        <w:t xml:space="preserve"> apmērā, kuru galvenokārt veidoja eiroobligāciju emisija finanšu tirgos, kā arī valsts parāda apjomu, kas 2022. gada beigās veidoja 16,8 mljrd. </w:t>
      </w:r>
      <w:r w:rsidRPr="000206B6">
        <w:rPr>
          <w:rFonts w:ascii="Times New Roman" w:hAnsi="Times New Roman"/>
          <w:i/>
          <w:sz w:val="26"/>
          <w:szCs w:val="26"/>
        </w:rPr>
        <w:t>euro</w:t>
      </w:r>
      <w:r w:rsidRPr="000206B6">
        <w:rPr>
          <w:rFonts w:ascii="Times New Roman" w:hAnsi="Times New Roman"/>
          <w:sz w:val="26"/>
          <w:szCs w:val="26"/>
        </w:rPr>
        <w:t xml:space="preserve"> (pēc nacionālās metodoloģijas), no valsts parāda vadības viedokļa šis instruments nav izmantojams kā vērā ņemams finansēšanas avots, salīdzinot ar citiem aizņemšanās instrumentiem (piemēram, eiroobligāciju emisiju). </w:t>
      </w:r>
    </w:p>
    <w:p w14:paraId="545134DC" w14:textId="77777777" w:rsidR="00285B28" w:rsidRPr="007320CD" w:rsidRDefault="00285B28" w:rsidP="00285B28">
      <w:pPr>
        <w:ind w:firstLine="720"/>
        <w:jc w:val="right"/>
        <w:rPr>
          <w:rFonts w:asciiTheme="majorBidi" w:hAnsiTheme="majorBidi" w:cstheme="majorBidi"/>
          <w:sz w:val="24"/>
          <w:szCs w:val="24"/>
          <w:highlight w:val="yellow"/>
        </w:rPr>
      </w:pPr>
    </w:p>
    <w:p w14:paraId="5F511FE8" w14:textId="760095DA" w:rsidR="00D40C50" w:rsidRDefault="00D40C50" w:rsidP="00D40C50">
      <w:pPr>
        <w:spacing w:after="120"/>
        <w:ind w:firstLine="567"/>
        <w:jc w:val="center"/>
        <w:rPr>
          <w:rFonts w:ascii="Times New Roman" w:hAnsi="Times New Roman"/>
          <w:b/>
          <w:sz w:val="26"/>
          <w:szCs w:val="26"/>
        </w:rPr>
      </w:pPr>
      <w:bookmarkStart w:id="15" w:name="_Hlk96986703"/>
      <w:r w:rsidRPr="00926C7D">
        <w:rPr>
          <w:rFonts w:ascii="Times New Roman" w:hAnsi="Times New Roman"/>
          <w:b/>
          <w:sz w:val="26"/>
          <w:szCs w:val="26"/>
        </w:rPr>
        <w:t>Valsts pamatbudžeta programmā “Ekonomikas attīstības programma” ārzemnieku veikto maksājumu izlietojums</w:t>
      </w:r>
    </w:p>
    <w:p w14:paraId="0F81CCA0" w14:textId="77777777" w:rsidR="00926C7D" w:rsidRPr="00926C7D" w:rsidRDefault="00926C7D" w:rsidP="00D40C50">
      <w:pPr>
        <w:spacing w:after="120"/>
        <w:ind w:firstLine="567"/>
        <w:jc w:val="center"/>
        <w:rPr>
          <w:rFonts w:ascii="Times New Roman" w:hAnsi="Times New Roman"/>
          <w:b/>
          <w:sz w:val="26"/>
          <w:szCs w:val="26"/>
        </w:rPr>
      </w:pPr>
    </w:p>
    <w:bookmarkEnd w:id="15"/>
    <w:p w14:paraId="057F06A3" w14:textId="77777777" w:rsidR="00926C7D" w:rsidRPr="00203D32" w:rsidRDefault="00926C7D" w:rsidP="00926C7D">
      <w:pPr>
        <w:spacing w:before="60" w:after="60"/>
        <w:ind w:firstLine="567"/>
        <w:jc w:val="both"/>
        <w:rPr>
          <w:rFonts w:ascii="Times New Roman" w:hAnsi="Times New Roman"/>
          <w:sz w:val="26"/>
          <w:szCs w:val="26"/>
        </w:rPr>
      </w:pPr>
      <w:r w:rsidRPr="00203D32">
        <w:rPr>
          <w:rFonts w:ascii="Times New Roman" w:hAnsi="Times New Roman"/>
          <w:sz w:val="26"/>
          <w:szCs w:val="26"/>
        </w:rPr>
        <w:t xml:space="preserve">“Ekonomikas attīstības programmas” darbība tika uzsākta 2014. gada 1. septembrī, kad spēkā stājās </w:t>
      </w:r>
      <w:r w:rsidRPr="006122EF">
        <w:rPr>
          <w:rFonts w:ascii="Times New Roman" w:hAnsi="Times New Roman"/>
          <w:sz w:val="26"/>
          <w:szCs w:val="26"/>
        </w:rPr>
        <w:t xml:space="preserve">grozījumi </w:t>
      </w:r>
      <w:r w:rsidRPr="00F37C2B">
        <w:rPr>
          <w:rFonts w:ascii="Times New Roman" w:hAnsi="Times New Roman"/>
          <w:sz w:val="26"/>
          <w:szCs w:val="26"/>
        </w:rPr>
        <w:t>Imigrācijas likumā</w:t>
      </w:r>
      <w:r w:rsidRPr="00203D32">
        <w:rPr>
          <w:rFonts w:ascii="Times New Roman" w:hAnsi="Times New Roman"/>
          <w:sz w:val="26"/>
          <w:szCs w:val="26"/>
        </w:rPr>
        <w:t xml:space="preserve">, kas noteica, ka pirms termiņuzturēšanās atļaujas (turpmāk – TUA) saņemšanas ārzemniekam jāveic maksājums valsts pamatbudžeta programmai 33.00.00 “Ekonomikas attīstības programma” atvērtajā valsts pamatbudžeta izdevumu kontā Valsts kasē. </w:t>
      </w:r>
    </w:p>
    <w:p w14:paraId="752E5847" w14:textId="77777777" w:rsidR="00926C7D" w:rsidRPr="00203D32" w:rsidRDefault="00926C7D" w:rsidP="00926C7D">
      <w:pPr>
        <w:spacing w:after="60"/>
        <w:ind w:firstLine="567"/>
        <w:jc w:val="both"/>
        <w:rPr>
          <w:rFonts w:ascii="Times New Roman" w:hAnsi="Times New Roman"/>
          <w:sz w:val="26"/>
          <w:szCs w:val="26"/>
        </w:rPr>
      </w:pPr>
      <w:r w:rsidRPr="00203D32">
        <w:rPr>
          <w:rFonts w:ascii="Times New Roman" w:hAnsi="Times New Roman"/>
          <w:sz w:val="26"/>
          <w:szCs w:val="26"/>
        </w:rPr>
        <w:t>Lai izsniegtu pirmreizēju TUA, veicamo iemaksu apjoms valsts pamatbudžeta programmā “Ekonomikas attīstības programma” ir:</w:t>
      </w:r>
    </w:p>
    <w:p w14:paraId="0DFD9D6C" w14:textId="77777777" w:rsidR="00926C7D" w:rsidRPr="00156836" w:rsidRDefault="00926C7D" w:rsidP="00926C7D">
      <w:pPr>
        <w:pStyle w:val="ListParagraph"/>
        <w:numPr>
          <w:ilvl w:val="0"/>
          <w:numId w:val="15"/>
        </w:numPr>
        <w:ind w:left="1134" w:hanging="567"/>
        <w:contextualSpacing w:val="0"/>
        <w:jc w:val="both"/>
        <w:rPr>
          <w:rFonts w:ascii="Times New Roman" w:hAnsi="Times New Roman"/>
          <w:lang w:eastAsia="lv-LV"/>
        </w:rPr>
      </w:pPr>
      <w:r w:rsidRPr="009936BF">
        <w:rPr>
          <w:rFonts w:ascii="Times New Roman" w:hAnsi="Times New Roman"/>
          <w:sz w:val="26"/>
          <w:szCs w:val="26"/>
        </w:rPr>
        <w:t xml:space="preserve">10 000 </w:t>
      </w:r>
      <w:r w:rsidRPr="009936BF">
        <w:rPr>
          <w:rFonts w:ascii="Times New Roman" w:hAnsi="Times New Roman"/>
          <w:i/>
          <w:sz w:val="26"/>
          <w:szCs w:val="26"/>
        </w:rPr>
        <w:t>euro,</w:t>
      </w:r>
      <w:r w:rsidRPr="009936BF">
        <w:rPr>
          <w:rFonts w:ascii="Times New Roman" w:hAnsi="Times New Roman"/>
          <w:sz w:val="26"/>
          <w:szCs w:val="26"/>
        </w:rPr>
        <w:t xml:space="preserve"> saskaņā </w:t>
      </w:r>
      <w:r w:rsidRPr="0026267A">
        <w:rPr>
          <w:rFonts w:ascii="Times New Roman" w:hAnsi="Times New Roman"/>
          <w:sz w:val="26"/>
          <w:szCs w:val="26"/>
        </w:rPr>
        <w:t xml:space="preserve">ar </w:t>
      </w:r>
      <w:r w:rsidRPr="00F37C2B">
        <w:rPr>
          <w:rFonts w:ascii="Times New Roman" w:hAnsi="Times New Roman"/>
          <w:sz w:val="26"/>
          <w:szCs w:val="26"/>
        </w:rPr>
        <w:t>Imigrācijas likuma</w:t>
      </w:r>
      <w:r w:rsidRPr="0026267A">
        <w:rPr>
          <w:rFonts w:ascii="Times New Roman" w:hAnsi="Times New Roman"/>
          <w:sz w:val="26"/>
          <w:szCs w:val="26"/>
        </w:rPr>
        <w:t xml:space="preserve"> 23.panta pirmās daļas 28.punkta nosacījumiem, veicot ieguldījumus kapitālsabiedrības pamatkapitālā;</w:t>
      </w:r>
    </w:p>
    <w:p w14:paraId="558CF500" w14:textId="77777777" w:rsidR="00926C7D" w:rsidRPr="00156836" w:rsidRDefault="00926C7D" w:rsidP="00926C7D">
      <w:pPr>
        <w:pStyle w:val="ListParagraph"/>
        <w:numPr>
          <w:ilvl w:val="0"/>
          <w:numId w:val="15"/>
        </w:numPr>
        <w:ind w:left="1134" w:hanging="567"/>
        <w:contextualSpacing w:val="0"/>
        <w:jc w:val="both"/>
        <w:rPr>
          <w:rFonts w:ascii="Times New Roman" w:hAnsi="Times New Roman"/>
          <w:lang w:eastAsia="lv-LV"/>
        </w:rPr>
      </w:pPr>
      <w:r w:rsidRPr="00156836">
        <w:rPr>
          <w:rFonts w:ascii="Times New Roman" w:hAnsi="Times New Roman"/>
          <w:sz w:val="26"/>
          <w:szCs w:val="26"/>
        </w:rPr>
        <w:t>5% no nekustamā īpašuma vērtības, s</w:t>
      </w:r>
      <w:r w:rsidRPr="007D2771">
        <w:rPr>
          <w:rFonts w:ascii="Times New Roman" w:hAnsi="Times New Roman"/>
          <w:sz w:val="26"/>
          <w:szCs w:val="26"/>
        </w:rPr>
        <w:t xml:space="preserve">askaņā ar </w:t>
      </w:r>
      <w:r w:rsidRPr="00F37C2B">
        <w:rPr>
          <w:rFonts w:ascii="Times New Roman" w:hAnsi="Times New Roman"/>
          <w:sz w:val="26"/>
          <w:szCs w:val="26"/>
        </w:rPr>
        <w:t>Imigrācijas likuma</w:t>
      </w:r>
      <w:r w:rsidRPr="0026267A">
        <w:rPr>
          <w:rFonts w:ascii="Times New Roman" w:hAnsi="Times New Roman"/>
          <w:sz w:val="26"/>
          <w:szCs w:val="26"/>
        </w:rPr>
        <w:t xml:space="preserve"> 23.panta pirmās daļas 29.punkta nosacījumiem, iegādājoties nekustamo īpašumu;</w:t>
      </w:r>
    </w:p>
    <w:p w14:paraId="1B9FE6C1" w14:textId="77777777" w:rsidR="00926C7D" w:rsidRPr="00156836" w:rsidRDefault="00926C7D" w:rsidP="00926C7D">
      <w:pPr>
        <w:pStyle w:val="ListParagraph"/>
        <w:numPr>
          <w:ilvl w:val="0"/>
          <w:numId w:val="15"/>
        </w:numPr>
        <w:ind w:left="1134" w:hanging="567"/>
        <w:jc w:val="both"/>
        <w:rPr>
          <w:rFonts w:ascii="Times New Roman" w:hAnsi="Times New Roman"/>
          <w:lang w:eastAsia="lv-LV"/>
        </w:rPr>
      </w:pPr>
      <w:r w:rsidRPr="00156836">
        <w:rPr>
          <w:rFonts w:ascii="Times New Roman" w:hAnsi="Times New Roman"/>
          <w:sz w:val="26"/>
          <w:szCs w:val="26"/>
        </w:rPr>
        <w:t xml:space="preserve">25 000 </w:t>
      </w:r>
      <w:r w:rsidRPr="00F37C2B">
        <w:rPr>
          <w:rFonts w:ascii="Times New Roman" w:hAnsi="Times New Roman"/>
          <w:sz w:val="26"/>
          <w:szCs w:val="26"/>
        </w:rPr>
        <w:t>euro</w:t>
      </w:r>
      <w:r w:rsidRPr="0026267A">
        <w:rPr>
          <w:rFonts w:ascii="Times New Roman" w:hAnsi="Times New Roman"/>
          <w:sz w:val="26"/>
          <w:szCs w:val="26"/>
        </w:rPr>
        <w:t xml:space="preserve">, saskaņā ar </w:t>
      </w:r>
      <w:r w:rsidRPr="00F37C2B">
        <w:rPr>
          <w:rFonts w:ascii="Times New Roman" w:hAnsi="Times New Roman"/>
          <w:sz w:val="26"/>
          <w:szCs w:val="26"/>
        </w:rPr>
        <w:t>Imigrācijas likuma</w:t>
      </w:r>
      <w:r w:rsidRPr="0026267A">
        <w:rPr>
          <w:rFonts w:ascii="Times New Roman" w:hAnsi="Times New Roman"/>
          <w:sz w:val="26"/>
          <w:szCs w:val="26"/>
        </w:rPr>
        <w:t xml:space="preserve"> 23.panta pirmās daļas 30.punkta nosacījumiem, veidojot pakārtotās saistības ar Latvijas Republikas kredīti</w:t>
      </w:r>
      <w:r w:rsidRPr="00156836">
        <w:rPr>
          <w:rFonts w:ascii="Times New Roman" w:hAnsi="Times New Roman"/>
          <w:sz w:val="26"/>
          <w:szCs w:val="26"/>
        </w:rPr>
        <w:t>estādi;</w:t>
      </w:r>
    </w:p>
    <w:p w14:paraId="60644736" w14:textId="77777777" w:rsidR="00926C7D" w:rsidRPr="009936BF" w:rsidRDefault="00926C7D" w:rsidP="00926C7D">
      <w:pPr>
        <w:pStyle w:val="ListParagraph"/>
        <w:numPr>
          <w:ilvl w:val="0"/>
          <w:numId w:val="15"/>
        </w:numPr>
        <w:spacing w:after="60"/>
        <w:ind w:left="1134" w:hanging="567"/>
        <w:jc w:val="both"/>
        <w:rPr>
          <w:rFonts w:ascii="Times New Roman" w:hAnsi="Times New Roman"/>
          <w:lang w:eastAsia="lv-LV"/>
        </w:rPr>
      </w:pPr>
      <w:r w:rsidRPr="007D2771">
        <w:rPr>
          <w:rFonts w:ascii="Times New Roman" w:hAnsi="Times New Roman"/>
          <w:sz w:val="26"/>
          <w:szCs w:val="26"/>
        </w:rPr>
        <w:t xml:space="preserve">38 000 </w:t>
      </w:r>
      <w:r w:rsidRPr="00F37C2B">
        <w:rPr>
          <w:rFonts w:ascii="Times New Roman" w:hAnsi="Times New Roman"/>
          <w:sz w:val="26"/>
          <w:szCs w:val="26"/>
        </w:rPr>
        <w:t>euro,</w:t>
      </w:r>
      <w:r w:rsidRPr="0026267A">
        <w:rPr>
          <w:rFonts w:ascii="Times New Roman" w:hAnsi="Times New Roman"/>
          <w:sz w:val="26"/>
          <w:szCs w:val="26"/>
        </w:rPr>
        <w:t xml:space="preserve"> saskaņā ar </w:t>
      </w:r>
      <w:r w:rsidRPr="00F37C2B">
        <w:rPr>
          <w:rFonts w:ascii="Times New Roman" w:hAnsi="Times New Roman"/>
          <w:sz w:val="26"/>
          <w:szCs w:val="26"/>
        </w:rPr>
        <w:t>Imigrācijas likuma</w:t>
      </w:r>
      <w:r w:rsidRPr="009936BF">
        <w:rPr>
          <w:rFonts w:ascii="Times New Roman" w:hAnsi="Times New Roman"/>
          <w:sz w:val="26"/>
          <w:szCs w:val="26"/>
        </w:rPr>
        <w:t xml:space="preserve"> 23.panta pirmās daļas 31.punkta nosacījumiem, iegādājoties bezprocentu valsts vērtspapīrus. </w:t>
      </w:r>
    </w:p>
    <w:p w14:paraId="020CDF4D" w14:textId="2F023350" w:rsidR="00926C7D" w:rsidRPr="002134DD" w:rsidRDefault="00926C7D" w:rsidP="00926C7D">
      <w:pPr>
        <w:spacing w:before="60" w:after="60"/>
        <w:ind w:firstLine="567"/>
        <w:jc w:val="both"/>
        <w:rPr>
          <w:rFonts w:ascii="Times New Roman" w:hAnsi="Times New Roman"/>
          <w:sz w:val="26"/>
          <w:szCs w:val="26"/>
        </w:rPr>
      </w:pPr>
      <w:bookmarkStart w:id="16" w:name="p23"/>
      <w:bookmarkStart w:id="17" w:name="p-614242"/>
      <w:bookmarkStart w:id="18" w:name="p24"/>
      <w:bookmarkStart w:id="19" w:name="p-614105"/>
      <w:bookmarkEnd w:id="16"/>
      <w:bookmarkEnd w:id="17"/>
      <w:bookmarkEnd w:id="18"/>
      <w:bookmarkEnd w:id="19"/>
      <w:r w:rsidRPr="002134DD">
        <w:rPr>
          <w:rFonts w:ascii="Times New Roman" w:hAnsi="Times New Roman"/>
          <w:sz w:val="26"/>
          <w:szCs w:val="26"/>
        </w:rPr>
        <w:t xml:space="preserve">2017. gadā bija vērojama kopējā pieteikumu skaita un investīciju apjoma samazināšanās visos pirmreizēju TUA ieguves veidos, t.sk. darījumos ar nekustamo īpašumu, kas šī regulējuma pastāvēšanas laika periodā no 2015. gada līdz 2019. gadam veidoja programmas lielāko ieņēmumu daļu. Tas atspoguļojās arī valsts pamatbudžeta programmā “Ekonomikas attīstības programma” veikto iemaksu skaita un iemaksātās </w:t>
      </w:r>
      <w:r w:rsidRPr="002134DD">
        <w:rPr>
          <w:rFonts w:ascii="Times New Roman" w:hAnsi="Times New Roman"/>
          <w:sz w:val="26"/>
          <w:szCs w:val="26"/>
        </w:rPr>
        <w:lastRenderedPageBreak/>
        <w:t xml:space="preserve">summas apjoma kritumā, kas bija vērojams 2017. gada 3. ceturksnī (skatīt </w:t>
      </w:r>
      <w:r w:rsidR="006A2CAA">
        <w:rPr>
          <w:rFonts w:ascii="Times New Roman" w:hAnsi="Times New Roman"/>
          <w:sz w:val="26"/>
          <w:szCs w:val="26"/>
        </w:rPr>
        <w:t>5</w:t>
      </w:r>
      <w:r w:rsidRPr="002134DD">
        <w:rPr>
          <w:rFonts w:ascii="Times New Roman" w:hAnsi="Times New Roman"/>
          <w:sz w:val="26"/>
          <w:szCs w:val="26"/>
        </w:rPr>
        <w:t>.attēlu). Turpmākajos gados situācija mainījās un 2018.-2020. gadā iemaksu apjoms stabilizējās.</w:t>
      </w:r>
    </w:p>
    <w:p w14:paraId="42DF4A0A" w14:textId="6B28AFBD" w:rsidR="00926C7D" w:rsidRPr="002134DD" w:rsidRDefault="00926C7D" w:rsidP="00926C7D">
      <w:pPr>
        <w:spacing w:before="60" w:after="60"/>
        <w:ind w:firstLine="567"/>
        <w:jc w:val="both"/>
        <w:rPr>
          <w:rFonts w:ascii="Times New Roman" w:hAnsi="Times New Roman"/>
          <w:sz w:val="26"/>
          <w:szCs w:val="26"/>
        </w:rPr>
      </w:pPr>
      <w:r w:rsidRPr="002134DD">
        <w:rPr>
          <w:rFonts w:ascii="Times New Roman" w:hAnsi="Times New Roman"/>
          <w:sz w:val="26"/>
          <w:szCs w:val="26"/>
        </w:rPr>
        <w:t xml:space="preserve">2020. gada 2. ceturksnī Covid-19 izraisītā ārkārtas situācija krasi samazināja pirmreizējo TUA saņemšanai ārvalstnieku veiktās iemaksas. Faktiski iemaksas šajā periodā tika veiktas par iepriekšējos ceturkšņos (lielākoties 2019. gadā) iesniegtajiem pirmreizējo TUA saņemšanas pieteikumiem. Nākamajos ceturkšņos bija vērojama situācijas uzlabošanās un iemaksu pieaugums (skatīt </w:t>
      </w:r>
      <w:r w:rsidR="006A2CAA">
        <w:rPr>
          <w:rFonts w:ascii="Times New Roman" w:hAnsi="Times New Roman"/>
          <w:sz w:val="26"/>
          <w:szCs w:val="26"/>
        </w:rPr>
        <w:t>5</w:t>
      </w:r>
      <w:r w:rsidRPr="002134DD">
        <w:rPr>
          <w:rFonts w:ascii="Times New Roman" w:hAnsi="Times New Roman"/>
          <w:sz w:val="26"/>
          <w:szCs w:val="26"/>
        </w:rPr>
        <w:t xml:space="preserve">.attēlu). Būtiski pirmreizējo TUA saņemšanas iemaksas ir palielinājušās 2021. gada 3. ceturkšņa laikā, kam par iemeslu ir Covid-19 pandēmijas izraisīto ierobežojumu mazināšanās un epidemioloģiskās situācijas uzlabošanās. </w:t>
      </w:r>
    </w:p>
    <w:p w14:paraId="0B283CE7" w14:textId="77777777" w:rsidR="00926C7D" w:rsidRPr="00203D32" w:rsidRDefault="00926C7D" w:rsidP="00926C7D">
      <w:pPr>
        <w:spacing w:before="60" w:after="60"/>
        <w:ind w:firstLine="567"/>
        <w:jc w:val="both"/>
        <w:rPr>
          <w:rFonts w:ascii="Times New Roman" w:hAnsi="Times New Roman"/>
          <w:sz w:val="26"/>
          <w:szCs w:val="26"/>
          <w:highlight w:val="yellow"/>
        </w:rPr>
      </w:pPr>
      <w:r w:rsidRPr="002134DD">
        <w:rPr>
          <w:rFonts w:ascii="Times New Roman" w:hAnsi="Times New Roman"/>
          <w:sz w:val="26"/>
          <w:szCs w:val="26"/>
        </w:rPr>
        <w:t xml:space="preserve">Savu lomu spēlēja arī pieņemtās izmaiņas tiesību aktos. Pandēmijas </w:t>
      </w:r>
      <w:r w:rsidRPr="006122EF">
        <w:rPr>
          <w:rFonts w:ascii="Times New Roman" w:hAnsi="Times New Roman"/>
          <w:sz w:val="26"/>
          <w:szCs w:val="26"/>
        </w:rPr>
        <w:t xml:space="preserve">laikā pieņemtā </w:t>
      </w:r>
      <w:r w:rsidRPr="00F37C2B">
        <w:rPr>
          <w:rFonts w:ascii="Times New Roman" w:hAnsi="Times New Roman"/>
          <w:sz w:val="26"/>
          <w:szCs w:val="26"/>
        </w:rPr>
        <w:t>Covid-19 infekcijas izplatības pārvaldības likuma</w:t>
      </w:r>
      <w:r w:rsidRPr="006122EF">
        <w:rPr>
          <w:rStyle w:val="FootnoteReference"/>
          <w:rFonts w:ascii="Times New Roman" w:hAnsi="Times New Roman"/>
          <w:sz w:val="26"/>
          <w:szCs w:val="26"/>
        </w:rPr>
        <w:footnoteReference w:id="4"/>
      </w:r>
      <w:r w:rsidRPr="006122EF">
        <w:rPr>
          <w:rFonts w:ascii="Times New Roman" w:hAnsi="Times New Roman"/>
          <w:sz w:val="26"/>
          <w:szCs w:val="26"/>
        </w:rPr>
        <w:t xml:space="preserve"> 32.panta piektā daļa paredzēja, ja pieņemts lēmums par uzturēšanās atļaujas izsniegšanu</w:t>
      </w:r>
      <w:r w:rsidRPr="00156836">
        <w:rPr>
          <w:rFonts w:ascii="Times New Roman" w:hAnsi="Times New Roman"/>
          <w:sz w:val="26"/>
          <w:szCs w:val="26"/>
        </w:rPr>
        <w:t xml:space="preserve"> vai reģistrēšanu</w:t>
      </w:r>
      <w:r w:rsidRPr="002134DD">
        <w:rPr>
          <w:rFonts w:ascii="Times New Roman" w:hAnsi="Times New Roman"/>
          <w:sz w:val="26"/>
          <w:szCs w:val="26"/>
        </w:rPr>
        <w:t xml:space="preserve">, tā derīguma termiņā neieskaita laikposmu no 2020. gada 12. marta līdz 2021. gada 30. jūnijam. Ja ārzemnieks, attiecībā uz kuru pieņemts pozitīvs lēmums par uzturēšanās atļaujas izsniegšanu vai reģistrēšanu, lēmuma derīguma termiņa laikā, uzturoties ārpus Latvijas Republikas, nav saņēmis uzturēšanās tiesības apliecinošu dokumentu, viņam nav </w:t>
      </w:r>
      <w:r w:rsidRPr="006122EF">
        <w:rPr>
          <w:rFonts w:ascii="Times New Roman" w:hAnsi="Times New Roman"/>
          <w:sz w:val="26"/>
          <w:szCs w:val="26"/>
        </w:rPr>
        <w:t xml:space="preserve">piemērojams </w:t>
      </w:r>
      <w:hyperlink r:id="rId12" w:tgtFrame="_blank" w:history="1">
        <w:r w:rsidRPr="00F37C2B">
          <w:rPr>
            <w:rFonts w:ascii="Times New Roman" w:hAnsi="Times New Roman"/>
            <w:sz w:val="26"/>
            <w:szCs w:val="26"/>
          </w:rPr>
          <w:t>Imigrācijas likuma</w:t>
        </w:r>
      </w:hyperlink>
      <w:r w:rsidRPr="002134DD">
        <w:rPr>
          <w:rFonts w:ascii="Times New Roman" w:hAnsi="Times New Roman"/>
          <w:sz w:val="26"/>
          <w:szCs w:val="26"/>
        </w:rPr>
        <w:t xml:space="preserve"> </w:t>
      </w:r>
      <w:hyperlink r:id="rId13" w:anchor="p35" w:tgtFrame="_blank" w:history="1">
        <w:r w:rsidRPr="002134DD">
          <w:rPr>
            <w:rFonts w:ascii="Times New Roman" w:hAnsi="Times New Roman"/>
            <w:sz w:val="26"/>
            <w:szCs w:val="26"/>
          </w:rPr>
          <w:t>35.</w:t>
        </w:r>
      </w:hyperlink>
      <w:r w:rsidRPr="002134DD">
        <w:rPr>
          <w:rFonts w:ascii="Times New Roman" w:hAnsi="Times New Roman"/>
          <w:sz w:val="26"/>
          <w:szCs w:val="26"/>
        </w:rPr>
        <w:t xml:space="preserve"> panta pirmās daļas 21. punktā un </w:t>
      </w:r>
      <w:hyperlink r:id="rId14" w:anchor="p36" w:tgtFrame="_blank" w:history="1">
        <w:r w:rsidRPr="002134DD">
          <w:rPr>
            <w:rFonts w:ascii="Times New Roman" w:hAnsi="Times New Roman"/>
            <w:sz w:val="26"/>
            <w:szCs w:val="26"/>
          </w:rPr>
          <w:t>36.</w:t>
        </w:r>
      </w:hyperlink>
      <w:r w:rsidRPr="002134DD">
        <w:rPr>
          <w:rFonts w:ascii="Times New Roman" w:hAnsi="Times New Roman"/>
          <w:sz w:val="26"/>
          <w:szCs w:val="26"/>
        </w:rPr>
        <w:t xml:space="preserve"> panta pirmās daļas 14. punktā minētais uzturēšanās atļaujas anulēšanas pamats. Tāpēc virknē gadījumu ārzemnieki par pirmreizēju TUA saņemšanu paredzētos maksājumus ir veikuši vēlākā laika periodā, proti, par 2020. gada laikā iesniegtajiem pirmreizējo TUA pieteikumiem, maksājumus veicot tikai 2021. gadā vai 2022. gada sākumā. </w:t>
      </w:r>
      <w:r>
        <w:rPr>
          <w:rFonts w:ascii="Times New Roman" w:hAnsi="Times New Roman"/>
          <w:sz w:val="26"/>
          <w:szCs w:val="26"/>
        </w:rPr>
        <w:t>J</w:t>
      </w:r>
      <w:r w:rsidRPr="002134DD">
        <w:rPr>
          <w:rFonts w:ascii="Times New Roman" w:hAnsi="Times New Roman"/>
          <w:sz w:val="26"/>
          <w:szCs w:val="26"/>
        </w:rPr>
        <w:t>āatzīmē arī pirmreizējo TUA pieteikumu pieaugums 2021. gada vasaras mēnešos, samazinoties ar Covid-19 pandēmiju izraisītajiem apdraudējumiem un ierobežojumiem.</w:t>
      </w:r>
      <w:r>
        <w:rPr>
          <w:rFonts w:ascii="Times New Roman" w:hAnsi="Times New Roman"/>
          <w:sz w:val="26"/>
          <w:szCs w:val="26"/>
        </w:rPr>
        <w:t xml:space="preserve"> </w:t>
      </w:r>
      <w:r w:rsidRPr="002134DD">
        <w:rPr>
          <w:rFonts w:ascii="Times New Roman" w:hAnsi="Times New Roman"/>
          <w:sz w:val="26"/>
          <w:szCs w:val="26"/>
        </w:rPr>
        <w:t>Nenoliedzam</w:t>
      </w:r>
      <w:r>
        <w:rPr>
          <w:rFonts w:ascii="Times New Roman" w:hAnsi="Times New Roman"/>
          <w:sz w:val="26"/>
          <w:szCs w:val="26"/>
        </w:rPr>
        <w:t xml:space="preserve">u iespaidu atstāja politiskās situācijas saasināšanās kaimiņvalstīs (Krievijā un Baltkrievijā), ievērojami paaugstinot veiktās iemaksas TUA saņemšanai. </w:t>
      </w:r>
    </w:p>
    <w:p w14:paraId="21B5172D" w14:textId="12EADE26" w:rsidR="00926C7D" w:rsidRPr="008401E2" w:rsidRDefault="00926C7D" w:rsidP="00926C7D">
      <w:pPr>
        <w:spacing w:before="60" w:after="60"/>
        <w:ind w:firstLine="567"/>
        <w:jc w:val="both"/>
        <w:rPr>
          <w:rFonts w:ascii="Times New Roman" w:hAnsi="Times New Roman"/>
          <w:sz w:val="26"/>
          <w:szCs w:val="26"/>
        </w:rPr>
      </w:pPr>
      <w:r w:rsidRPr="008401E2">
        <w:rPr>
          <w:rFonts w:ascii="Times New Roman" w:hAnsi="Times New Roman"/>
          <w:sz w:val="26"/>
          <w:szCs w:val="26"/>
        </w:rPr>
        <w:t xml:space="preserve">Ar </w:t>
      </w:r>
      <w:r w:rsidRPr="006A2CAA">
        <w:rPr>
          <w:rFonts w:ascii="Times New Roman" w:hAnsi="Times New Roman"/>
          <w:sz w:val="26"/>
          <w:szCs w:val="26"/>
        </w:rPr>
        <w:t>pirmreizējo TUA saņemšanu saistīto</w:t>
      </w:r>
      <w:r w:rsidRPr="00F37C2B">
        <w:rPr>
          <w:rFonts w:ascii="Times New Roman" w:hAnsi="Times New Roman"/>
          <w:b/>
          <w:bCs/>
          <w:sz w:val="26"/>
          <w:szCs w:val="26"/>
        </w:rPr>
        <w:t xml:space="preserve"> kopējais ārzemnieku veikto</w:t>
      </w:r>
      <w:r w:rsidRPr="008401E2">
        <w:rPr>
          <w:rFonts w:ascii="Times New Roman" w:hAnsi="Times New Roman"/>
          <w:sz w:val="26"/>
          <w:szCs w:val="26"/>
        </w:rPr>
        <w:t xml:space="preserve"> </w:t>
      </w:r>
      <w:r w:rsidRPr="008401E2">
        <w:rPr>
          <w:rFonts w:ascii="Times New Roman" w:hAnsi="Times New Roman"/>
          <w:b/>
          <w:bCs/>
          <w:sz w:val="26"/>
          <w:szCs w:val="26"/>
        </w:rPr>
        <w:t>iemaksu skaits ir sasniedzis 1177</w:t>
      </w:r>
      <w:r w:rsidRPr="008401E2">
        <w:rPr>
          <w:rFonts w:ascii="Times New Roman" w:hAnsi="Times New Roman"/>
          <w:sz w:val="26"/>
          <w:szCs w:val="26"/>
        </w:rPr>
        <w:t xml:space="preserve"> no programmas uzsākšanas brīža 2014. gada 1. septembra līdz 2023. gada 15. februārim, veidojot </w:t>
      </w:r>
      <w:r w:rsidRPr="008401E2">
        <w:rPr>
          <w:rFonts w:ascii="Times New Roman" w:hAnsi="Times New Roman"/>
          <w:b/>
          <w:bCs/>
          <w:sz w:val="26"/>
          <w:szCs w:val="26"/>
        </w:rPr>
        <w:t>ieņēmumus 18,7</w:t>
      </w:r>
      <w:r>
        <w:rPr>
          <w:rFonts w:ascii="Times New Roman" w:hAnsi="Times New Roman"/>
          <w:b/>
          <w:bCs/>
          <w:sz w:val="26"/>
          <w:szCs w:val="26"/>
        </w:rPr>
        <w:t> </w:t>
      </w:r>
      <w:r w:rsidRPr="008401E2">
        <w:rPr>
          <w:rFonts w:ascii="Times New Roman" w:hAnsi="Times New Roman"/>
          <w:b/>
          <w:bCs/>
          <w:sz w:val="26"/>
          <w:szCs w:val="26"/>
        </w:rPr>
        <w:t>milj.</w:t>
      </w:r>
      <w:r>
        <w:rPr>
          <w:rFonts w:ascii="Times New Roman" w:hAnsi="Times New Roman"/>
          <w:b/>
          <w:bCs/>
          <w:sz w:val="26"/>
          <w:szCs w:val="26"/>
        </w:rPr>
        <w:t> </w:t>
      </w:r>
      <w:r w:rsidRPr="008401E2">
        <w:rPr>
          <w:rFonts w:ascii="Times New Roman" w:hAnsi="Times New Roman"/>
          <w:b/>
          <w:bCs/>
          <w:i/>
          <w:iCs/>
          <w:sz w:val="26"/>
          <w:szCs w:val="26"/>
        </w:rPr>
        <w:t>euro</w:t>
      </w:r>
      <w:r w:rsidRPr="008401E2">
        <w:rPr>
          <w:rFonts w:ascii="Times New Roman" w:hAnsi="Times New Roman"/>
          <w:b/>
          <w:bCs/>
          <w:sz w:val="26"/>
          <w:szCs w:val="26"/>
        </w:rPr>
        <w:t xml:space="preserve"> apmērā</w:t>
      </w:r>
    </w:p>
    <w:p w14:paraId="3B46E819" w14:textId="6AA9526A" w:rsidR="00926C7D" w:rsidRDefault="006122EF" w:rsidP="00926C7D">
      <w:pPr>
        <w:spacing w:before="60" w:after="60"/>
        <w:ind w:firstLine="567"/>
        <w:jc w:val="both"/>
        <w:rPr>
          <w:rFonts w:ascii="Times New Roman" w:hAnsi="Times New Roman"/>
          <w:sz w:val="26"/>
          <w:szCs w:val="26"/>
        </w:rPr>
      </w:pPr>
      <w:r>
        <w:rPr>
          <w:rFonts w:ascii="Times New Roman" w:hAnsi="Times New Roman"/>
          <w:sz w:val="26"/>
          <w:szCs w:val="26"/>
        </w:rPr>
        <w:t>(</w:t>
      </w:r>
      <w:r w:rsidR="00926C7D" w:rsidRPr="007F7668">
        <w:rPr>
          <w:rFonts w:ascii="Times New Roman" w:hAnsi="Times New Roman"/>
          <w:sz w:val="26"/>
          <w:szCs w:val="26"/>
        </w:rPr>
        <w:t>neņemot vērā uz ziņojuma sagatavošanas brīdi iespējami veicamās atmaksas, kad ārzemnieks ir veicis kļūdainu iemaksu</w:t>
      </w:r>
      <w:r>
        <w:rPr>
          <w:rFonts w:ascii="Times New Roman" w:hAnsi="Times New Roman"/>
          <w:sz w:val="26"/>
          <w:szCs w:val="26"/>
        </w:rPr>
        <w:t>).</w:t>
      </w:r>
      <w:r w:rsidR="00926C7D" w:rsidRPr="003A1F19">
        <w:rPr>
          <w:rFonts w:ascii="Times New Roman" w:hAnsi="Times New Roman"/>
          <w:sz w:val="26"/>
          <w:szCs w:val="26"/>
        </w:rPr>
        <w:t xml:space="preserve"> </w:t>
      </w:r>
    </w:p>
    <w:p w14:paraId="2A42DD40" w14:textId="35F498A5" w:rsidR="00926C7D" w:rsidRPr="003A1F19" w:rsidRDefault="009936BF" w:rsidP="00926C7D">
      <w:pPr>
        <w:spacing w:before="60" w:after="60"/>
        <w:ind w:firstLine="567"/>
        <w:jc w:val="both"/>
        <w:rPr>
          <w:rFonts w:ascii="Times New Roman" w:hAnsi="Times New Roman"/>
          <w:sz w:val="26"/>
          <w:szCs w:val="26"/>
        </w:rPr>
      </w:pPr>
      <w:r>
        <w:rPr>
          <w:rFonts w:ascii="Times New Roman" w:hAnsi="Times New Roman"/>
          <w:sz w:val="26"/>
          <w:szCs w:val="26"/>
        </w:rPr>
        <w:t>Tajā pašā</w:t>
      </w:r>
      <w:r w:rsidR="00926C7D">
        <w:rPr>
          <w:rFonts w:ascii="Times New Roman" w:hAnsi="Times New Roman"/>
          <w:sz w:val="26"/>
          <w:szCs w:val="26"/>
        </w:rPr>
        <w:t xml:space="preserve"> laikā k</w:t>
      </w:r>
      <w:r w:rsidR="00926C7D" w:rsidRPr="004C2BFB">
        <w:rPr>
          <w:rFonts w:ascii="Times New Roman" w:hAnsi="Times New Roman"/>
          <w:sz w:val="26"/>
          <w:szCs w:val="26"/>
        </w:rPr>
        <w:t xml:space="preserve">alendārā </w:t>
      </w:r>
      <w:r w:rsidR="00926C7D" w:rsidRPr="003A1F19">
        <w:rPr>
          <w:rFonts w:ascii="Times New Roman" w:hAnsi="Times New Roman"/>
          <w:b/>
          <w:bCs/>
          <w:sz w:val="26"/>
          <w:szCs w:val="26"/>
        </w:rPr>
        <w:t>2022. gada laikā (12 mēnešos) ir veiktas 93 iemaksas 1,52 milj.</w:t>
      </w:r>
      <w:r w:rsidR="00926C7D">
        <w:rPr>
          <w:rFonts w:ascii="Times New Roman" w:hAnsi="Times New Roman"/>
          <w:b/>
          <w:bCs/>
          <w:sz w:val="26"/>
          <w:szCs w:val="26"/>
        </w:rPr>
        <w:t> </w:t>
      </w:r>
      <w:r w:rsidR="00926C7D" w:rsidRPr="003A1F19">
        <w:rPr>
          <w:rFonts w:ascii="Times New Roman" w:hAnsi="Times New Roman"/>
          <w:b/>
          <w:bCs/>
          <w:i/>
          <w:iCs/>
          <w:sz w:val="26"/>
          <w:szCs w:val="26"/>
        </w:rPr>
        <w:t>euro</w:t>
      </w:r>
      <w:r w:rsidR="00926C7D" w:rsidRPr="003A1F19">
        <w:rPr>
          <w:rFonts w:ascii="Times New Roman" w:hAnsi="Times New Roman"/>
          <w:b/>
          <w:bCs/>
          <w:sz w:val="26"/>
          <w:szCs w:val="26"/>
        </w:rPr>
        <w:t xml:space="preserve"> </w:t>
      </w:r>
      <w:r w:rsidR="00926C7D" w:rsidRPr="00AD1F5E">
        <w:rPr>
          <w:rFonts w:ascii="Times New Roman" w:hAnsi="Times New Roman"/>
          <w:b/>
          <w:bCs/>
          <w:sz w:val="26"/>
          <w:szCs w:val="26"/>
        </w:rPr>
        <w:t>apmērā</w:t>
      </w:r>
      <w:r w:rsidR="00926C7D" w:rsidRPr="003A1F19">
        <w:rPr>
          <w:rFonts w:ascii="Times New Roman" w:hAnsi="Times New Roman"/>
          <w:sz w:val="26"/>
          <w:szCs w:val="26"/>
        </w:rPr>
        <w:t xml:space="preserve"> un 2023. gada 1. ceturksnī (līdz 15. februārim) pirmreizējo TUA saņemšanai ir veiktas vien 5 iemaksas 53 tūkst. </w:t>
      </w:r>
      <w:r w:rsidR="00926C7D" w:rsidRPr="003A1F19">
        <w:rPr>
          <w:rFonts w:ascii="Times New Roman" w:hAnsi="Times New Roman"/>
          <w:i/>
          <w:iCs/>
          <w:sz w:val="26"/>
          <w:szCs w:val="26"/>
        </w:rPr>
        <w:t>euro</w:t>
      </w:r>
      <w:r w:rsidR="00926C7D" w:rsidRPr="003A1F19">
        <w:rPr>
          <w:rFonts w:ascii="Times New Roman" w:hAnsi="Times New Roman"/>
          <w:sz w:val="26"/>
          <w:szCs w:val="26"/>
        </w:rPr>
        <w:t xml:space="preserve"> apmērā.</w:t>
      </w:r>
    </w:p>
    <w:p w14:paraId="622EB5BE" w14:textId="7B3A65B5" w:rsidR="00926C7D" w:rsidRPr="004C2BFB" w:rsidRDefault="00926C7D" w:rsidP="00926C7D">
      <w:pPr>
        <w:spacing w:before="60" w:after="60"/>
        <w:ind w:firstLine="567"/>
        <w:jc w:val="both"/>
        <w:rPr>
          <w:rFonts w:ascii="Times New Roman" w:hAnsi="Times New Roman"/>
          <w:sz w:val="26"/>
          <w:szCs w:val="26"/>
        </w:rPr>
      </w:pPr>
      <w:r w:rsidRPr="004C2BFB">
        <w:rPr>
          <w:rFonts w:ascii="Times New Roman" w:hAnsi="Times New Roman"/>
          <w:sz w:val="26"/>
          <w:szCs w:val="26"/>
        </w:rPr>
        <w:t xml:space="preserve">Pamatojoties uz </w:t>
      </w:r>
      <w:r w:rsidRPr="006122EF">
        <w:rPr>
          <w:rFonts w:ascii="Times New Roman" w:hAnsi="Times New Roman"/>
          <w:sz w:val="26"/>
          <w:szCs w:val="26"/>
        </w:rPr>
        <w:t>Imigrācijas likuma 23</w:t>
      </w:r>
      <w:r w:rsidRPr="004C2BFB">
        <w:rPr>
          <w:rFonts w:ascii="Times New Roman" w:hAnsi="Times New Roman"/>
          <w:sz w:val="26"/>
          <w:szCs w:val="26"/>
        </w:rPr>
        <w:t>.panta 7.</w:t>
      </w:r>
      <w:r w:rsidRPr="004C2BFB">
        <w:rPr>
          <w:rFonts w:ascii="Times New Roman" w:hAnsi="Times New Roman"/>
          <w:sz w:val="26"/>
          <w:szCs w:val="26"/>
          <w:vertAlign w:val="superscript"/>
        </w:rPr>
        <w:t>3</w:t>
      </w:r>
      <w:r w:rsidRPr="004C2BFB">
        <w:rPr>
          <w:rFonts w:ascii="Times New Roman" w:hAnsi="Times New Roman"/>
          <w:sz w:val="26"/>
          <w:szCs w:val="26"/>
        </w:rPr>
        <w:t> daļu ārzemniekam, kuram saskaņā ar šā panta pirmās daļas 28., 29. vai 30.punktu ir izsniegta vai bija izsniegta TUA, ir</w:t>
      </w:r>
      <w:r w:rsidR="009936BF">
        <w:rPr>
          <w:rFonts w:ascii="Times New Roman" w:hAnsi="Times New Roman"/>
          <w:sz w:val="26"/>
          <w:szCs w:val="26"/>
        </w:rPr>
        <w:t xml:space="preserve"> tiesības atkārtoti pieprasīt T</w:t>
      </w:r>
      <w:r w:rsidRPr="004C2BFB">
        <w:rPr>
          <w:rFonts w:ascii="Times New Roman" w:hAnsi="Times New Roman"/>
          <w:sz w:val="26"/>
          <w:szCs w:val="26"/>
        </w:rPr>
        <w:t>U</w:t>
      </w:r>
      <w:r w:rsidR="009936BF">
        <w:rPr>
          <w:rFonts w:ascii="Times New Roman" w:hAnsi="Times New Roman"/>
          <w:sz w:val="26"/>
          <w:szCs w:val="26"/>
        </w:rPr>
        <w:t>A</w:t>
      </w:r>
      <w:r w:rsidRPr="004C2BFB">
        <w:rPr>
          <w:rFonts w:ascii="Times New Roman" w:hAnsi="Times New Roman"/>
          <w:sz w:val="26"/>
          <w:szCs w:val="26"/>
        </w:rPr>
        <w:t>, ja joprojām pastāv tās izsniegšanai nepieciešamie nosacījumi un viņš, atkārtoti saņemot TUA, samaksā valsts budžetā 5 000 </w:t>
      </w:r>
      <w:r w:rsidRPr="004C2BFB">
        <w:rPr>
          <w:rFonts w:ascii="Times New Roman" w:hAnsi="Times New Roman"/>
          <w:i/>
          <w:sz w:val="26"/>
          <w:szCs w:val="26"/>
        </w:rPr>
        <w:t>euro</w:t>
      </w:r>
      <w:r w:rsidRPr="004C2BFB">
        <w:rPr>
          <w:rFonts w:ascii="Times New Roman" w:hAnsi="Times New Roman"/>
          <w:sz w:val="26"/>
          <w:szCs w:val="26"/>
        </w:rPr>
        <w:t xml:space="preserve">. Pieņemot 2017. gada 22. novembrī Saeimā grozījumus </w:t>
      </w:r>
      <w:r w:rsidRPr="006122EF">
        <w:rPr>
          <w:rFonts w:ascii="Times New Roman" w:hAnsi="Times New Roman"/>
          <w:sz w:val="26"/>
          <w:szCs w:val="26"/>
        </w:rPr>
        <w:t>Imigrācijas likumā</w:t>
      </w:r>
      <w:r w:rsidRPr="004C2BFB">
        <w:rPr>
          <w:rFonts w:ascii="Times New Roman" w:hAnsi="Times New Roman"/>
          <w:sz w:val="26"/>
          <w:szCs w:val="26"/>
        </w:rPr>
        <w:t xml:space="preserve">, kas stājās spēkā 2018.gada 1.janvārī, tā Pārejas noteikumos tika noteikts, ka </w:t>
      </w:r>
      <w:r w:rsidRPr="004C2BFB">
        <w:rPr>
          <w:rFonts w:ascii="Times New Roman" w:hAnsi="Times New Roman"/>
          <w:sz w:val="26"/>
          <w:szCs w:val="26"/>
          <w:lang w:eastAsia="lv-LV"/>
        </w:rPr>
        <w:t>pirmo reizi atkārtoti pieprasot TUA, Imigrācijas likuma 23.panta 7.</w:t>
      </w:r>
      <w:r w:rsidRPr="004C2BFB">
        <w:rPr>
          <w:rFonts w:ascii="Times New Roman" w:hAnsi="Times New Roman"/>
          <w:sz w:val="26"/>
          <w:szCs w:val="26"/>
          <w:vertAlign w:val="superscript"/>
          <w:lang w:eastAsia="lv-LV"/>
        </w:rPr>
        <w:t>3</w:t>
      </w:r>
      <w:r w:rsidRPr="004C2BFB">
        <w:rPr>
          <w:rFonts w:ascii="Times New Roman" w:hAnsi="Times New Roman"/>
          <w:sz w:val="26"/>
          <w:szCs w:val="26"/>
          <w:lang w:eastAsia="lv-LV"/>
        </w:rPr>
        <w:t> daļā noteikto maksājumu valsts budžetā 5 000 </w:t>
      </w:r>
      <w:r w:rsidRPr="004C2BFB">
        <w:rPr>
          <w:rFonts w:ascii="Times New Roman" w:hAnsi="Times New Roman"/>
          <w:i/>
          <w:iCs/>
          <w:sz w:val="26"/>
          <w:szCs w:val="26"/>
          <w:lang w:eastAsia="lv-LV"/>
        </w:rPr>
        <w:t>euro</w:t>
      </w:r>
      <w:r w:rsidRPr="004C2BFB">
        <w:rPr>
          <w:rFonts w:ascii="Times New Roman" w:hAnsi="Times New Roman"/>
          <w:sz w:val="26"/>
          <w:szCs w:val="26"/>
          <w:lang w:eastAsia="lv-LV"/>
        </w:rPr>
        <w:t xml:space="preserve"> apmērā veic vienā maksājumā atkārtotās TUA saņemšanas brīdī vai pa daļām, pirmo daļējo maksājumu 1 000 </w:t>
      </w:r>
      <w:r w:rsidRPr="004C2BFB">
        <w:rPr>
          <w:rFonts w:ascii="Times New Roman" w:hAnsi="Times New Roman"/>
          <w:i/>
          <w:iCs/>
          <w:sz w:val="26"/>
          <w:szCs w:val="26"/>
          <w:lang w:eastAsia="lv-LV"/>
        </w:rPr>
        <w:t>euro</w:t>
      </w:r>
      <w:r w:rsidRPr="004C2BFB">
        <w:rPr>
          <w:rFonts w:ascii="Times New Roman" w:hAnsi="Times New Roman"/>
          <w:sz w:val="26"/>
          <w:szCs w:val="26"/>
          <w:lang w:eastAsia="lv-LV"/>
        </w:rPr>
        <w:t xml:space="preserve"> apmērā veicot atkārtotās TUA saņemšanas brīdī un turpmākos maksājumus - katru 1 000 </w:t>
      </w:r>
      <w:r w:rsidRPr="004C2BFB">
        <w:rPr>
          <w:rFonts w:ascii="Times New Roman" w:hAnsi="Times New Roman"/>
          <w:i/>
          <w:iCs/>
          <w:sz w:val="26"/>
          <w:szCs w:val="26"/>
          <w:lang w:eastAsia="lv-LV"/>
        </w:rPr>
        <w:t>euro</w:t>
      </w:r>
      <w:r w:rsidRPr="004C2BFB">
        <w:rPr>
          <w:rFonts w:ascii="Times New Roman" w:hAnsi="Times New Roman"/>
          <w:sz w:val="26"/>
          <w:szCs w:val="26"/>
          <w:lang w:eastAsia="lv-LV"/>
        </w:rPr>
        <w:t xml:space="preserve"> apmērā - ik gadu, reģistrējot TUA.</w:t>
      </w:r>
      <w:r w:rsidRPr="004C2BFB">
        <w:rPr>
          <w:rFonts w:ascii="Times New Roman" w:hAnsi="Times New Roman"/>
          <w:sz w:val="26"/>
          <w:szCs w:val="26"/>
        </w:rPr>
        <w:t xml:space="preserve"> Pieņemot minētos grozījumus, tika paredzēts, ka šādam maksājumam par atkārtotām </w:t>
      </w:r>
      <w:r w:rsidRPr="004C2BFB">
        <w:rPr>
          <w:rFonts w:ascii="Times New Roman" w:hAnsi="Times New Roman"/>
          <w:sz w:val="26"/>
          <w:szCs w:val="26"/>
        </w:rPr>
        <w:lastRenderedPageBreak/>
        <w:t>TUA vajadzētu kompensēt iepriekš novēroto “Ekonomikas attīstības programmā” ārzemnieku veicamo iemaksu skaita un iemaksātās summas kritumu.</w:t>
      </w:r>
    </w:p>
    <w:p w14:paraId="34FF1D87" w14:textId="4DF99C9D" w:rsidR="00926C7D" w:rsidRPr="004C2BFB" w:rsidRDefault="00926C7D" w:rsidP="00274CEC">
      <w:pPr>
        <w:spacing w:before="60" w:after="60"/>
        <w:ind w:firstLine="567"/>
        <w:jc w:val="both"/>
        <w:rPr>
          <w:rFonts w:ascii="Times New Roman" w:eastAsia="Calibri" w:hAnsi="Times New Roman"/>
          <w:sz w:val="26"/>
          <w:szCs w:val="26"/>
          <w:lang w:eastAsia="lv-LV"/>
        </w:rPr>
      </w:pPr>
      <w:r w:rsidRPr="004C2BFB">
        <w:rPr>
          <w:rFonts w:ascii="Times New Roman" w:eastAsia="Calibri" w:hAnsi="Times New Roman"/>
          <w:sz w:val="26"/>
          <w:szCs w:val="26"/>
          <w:lang w:eastAsia="lv-LV"/>
        </w:rPr>
        <w:t xml:space="preserve">Sākotnēji veiktās </w:t>
      </w:r>
      <w:r w:rsidR="00274CEC">
        <w:rPr>
          <w:rFonts w:ascii="Times New Roman" w:eastAsia="Calibri" w:hAnsi="Times New Roman"/>
          <w:sz w:val="26"/>
          <w:szCs w:val="26"/>
          <w:lang w:eastAsia="lv-LV"/>
        </w:rPr>
        <w:t>EM</w:t>
      </w:r>
      <w:r w:rsidRPr="004C2BFB">
        <w:rPr>
          <w:rFonts w:ascii="Times New Roman" w:eastAsia="Calibri" w:hAnsi="Times New Roman"/>
          <w:sz w:val="26"/>
          <w:szCs w:val="26"/>
          <w:lang w:eastAsia="lv-LV"/>
        </w:rPr>
        <w:t xml:space="preserve"> prognozes par atkārtoto TUA saņemšanai veicamajām iemaksām</w:t>
      </w:r>
      <w:r w:rsidRPr="004C2BFB">
        <w:rPr>
          <w:rStyle w:val="FootnoteReference"/>
          <w:rFonts w:ascii="Times New Roman" w:eastAsia="Calibri" w:hAnsi="Times New Roman"/>
          <w:sz w:val="26"/>
          <w:szCs w:val="26"/>
          <w:lang w:eastAsia="lv-LV"/>
        </w:rPr>
        <w:footnoteReference w:id="5"/>
      </w:r>
      <w:r w:rsidRPr="004C2BFB">
        <w:rPr>
          <w:rFonts w:ascii="Times New Roman" w:eastAsia="Calibri" w:hAnsi="Times New Roman"/>
          <w:sz w:val="26"/>
          <w:szCs w:val="26"/>
          <w:lang w:eastAsia="lv-LV"/>
        </w:rPr>
        <w:t xml:space="preserve">, kas balstījās uz </w:t>
      </w:r>
      <w:r w:rsidR="00114C0D">
        <w:rPr>
          <w:rFonts w:ascii="Times New Roman" w:eastAsia="Calibri" w:hAnsi="Times New Roman"/>
          <w:sz w:val="26"/>
          <w:szCs w:val="26"/>
          <w:lang w:eastAsia="lv-LV"/>
        </w:rPr>
        <w:t>PMLP</w:t>
      </w:r>
      <w:r w:rsidRPr="004C2BFB">
        <w:rPr>
          <w:rFonts w:ascii="Times New Roman" w:eastAsia="Calibri" w:hAnsi="Times New Roman"/>
          <w:sz w:val="26"/>
          <w:szCs w:val="26"/>
          <w:lang w:eastAsia="lv-LV"/>
        </w:rPr>
        <w:t xml:space="preserve"> sniegtajām indikācijām un datiem, paredzot, ka papildus iemaksas </w:t>
      </w:r>
      <w:r w:rsidRPr="004C2BFB">
        <w:rPr>
          <w:rFonts w:ascii="Times New Roman" w:hAnsi="Times New Roman"/>
          <w:sz w:val="26"/>
          <w:szCs w:val="26"/>
        </w:rPr>
        <w:t xml:space="preserve">“Ekonomikas attīstības programmā” </w:t>
      </w:r>
      <w:r w:rsidRPr="004C2BFB">
        <w:rPr>
          <w:rFonts w:ascii="Times New Roman" w:eastAsia="Calibri" w:hAnsi="Times New Roman"/>
          <w:sz w:val="26"/>
          <w:szCs w:val="26"/>
          <w:lang w:eastAsia="lv-LV"/>
        </w:rPr>
        <w:t>2018. gadā varētu svārstīties no 5,18 milj. </w:t>
      </w:r>
      <w:r w:rsidRPr="004C2BFB">
        <w:rPr>
          <w:rFonts w:ascii="Times New Roman" w:eastAsia="Calibri" w:hAnsi="Times New Roman"/>
          <w:i/>
          <w:sz w:val="26"/>
          <w:szCs w:val="26"/>
          <w:lang w:eastAsia="lv-LV"/>
        </w:rPr>
        <w:t>euro</w:t>
      </w:r>
      <w:r w:rsidRPr="004C2BFB">
        <w:rPr>
          <w:rFonts w:ascii="Times New Roman" w:eastAsia="Calibri" w:hAnsi="Times New Roman"/>
          <w:sz w:val="26"/>
          <w:szCs w:val="26"/>
          <w:lang w:eastAsia="lv-LV"/>
        </w:rPr>
        <w:t xml:space="preserve"> (A variantā) līdz 3,7 milj. </w:t>
      </w:r>
      <w:r w:rsidRPr="004C2BFB">
        <w:rPr>
          <w:rFonts w:ascii="Times New Roman" w:eastAsia="Calibri" w:hAnsi="Times New Roman"/>
          <w:i/>
          <w:sz w:val="26"/>
          <w:szCs w:val="26"/>
          <w:lang w:eastAsia="lv-LV"/>
        </w:rPr>
        <w:t>euro</w:t>
      </w:r>
      <w:r w:rsidRPr="004C2BFB">
        <w:rPr>
          <w:rFonts w:ascii="Times New Roman" w:eastAsia="Calibri" w:hAnsi="Times New Roman"/>
          <w:sz w:val="26"/>
          <w:szCs w:val="26"/>
          <w:lang w:eastAsia="lv-LV"/>
        </w:rPr>
        <w:t xml:space="preserve"> (B variantā), savukārt, 2019. gadā plānojot vēl lielāku apjomu atbilstoši variantiem no 7,75 milj. </w:t>
      </w:r>
      <w:r w:rsidRPr="004C2BFB">
        <w:rPr>
          <w:rFonts w:ascii="Times New Roman" w:eastAsia="Calibri" w:hAnsi="Times New Roman"/>
          <w:i/>
          <w:sz w:val="26"/>
          <w:szCs w:val="26"/>
          <w:lang w:eastAsia="lv-LV"/>
        </w:rPr>
        <w:t>euro</w:t>
      </w:r>
      <w:r w:rsidRPr="004C2BFB">
        <w:rPr>
          <w:rFonts w:ascii="Times New Roman" w:eastAsia="Calibri" w:hAnsi="Times New Roman"/>
          <w:sz w:val="26"/>
          <w:szCs w:val="26"/>
          <w:lang w:eastAsia="lv-LV"/>
        </w:rPr>
        <w:t xml:space="preserve"> līdz 5,54 milj. </w:t>
      </w:r>
      <w:r w:rsidRPr="004C2BFB">
        <w:rPr>
          <w:rFonts w:ascii="Times New Roman" w:eastAsia="Calibri" w:hAnsi="Times New Roman"/>
          <w:i/>
          <w:sz w:val="26"/>
          <w:szCs w:val="26"/>
          <w:lang w:eastAsia="lv-LV"/>
        </w:rPr>
        <w:t>euro</w:t>
      </w:r>
      <w:r w:rsidRPr="004C2BFB">
        <w:rPr>
          <w:rFonts w:ascii="Times New Roman" w:eastAsia="Calibri" w:hAnsi="Times New Roman"/>
          <w:sz w:val="26"/>
          <w:szCs w:val="26"/>
          <w:lang w:eastAsia="lv-LV"/>
        </w:rPr>
        <w:t xml:space="preserve"> un 2020. gadam paredzot mazāku iemaksu apjomu no 1,31 milj. </w:t>
      </w:r>
      <w:r w:rsidRPr="004C2BFB">
        <w:rPr>
          <w:rFonts w:ascii="Times New Roman" w:eastAsia="Calibri" w:hAnsi="Times New Roman"/>
          <w:i/>
          <w:sz w:val="26"/>
          <w:szCs w:val="26"/>
          <w:lang w:eastAsia="lv-LV"/>
        </w:rPr>
        <w:t>euro</w:t>
      </w:r>
      <w:r w:rsidRPr="004C2BFB">
        <w:rPr>
          <w:rFonts w:ascii="Times New Roman" w:eastAsia="Calibri" w:hAnsi="Times New Roman"/>
          <w:sz w:val="26"/>
          <w:szCs w:val="26"/>
          <w:lang w:eastAsia="lv-LV"/>
        </w:rPr>
        <w:t xml:space="preserve"> līdz 0,93 milj. </w:t>
      </w:r>
      <w:r w:rsidRPr="004C2BFB">
        <w:rPr>
          <w:rFonts w:ascii="Times New Roman" w:eastAsia="Calibri" w:hAnsi="Times New Roman"/>
          <w:i/>
          <w:sz w:val="26"/>
          <w:szCs w:val="26"/>
          <w:lang w:eastAsia="lv-LV"/>
        </w:rPr>
        <w:t>euro</w:t>
      </w:r>
      <w:r w:rsidRPr="004C2BFB">
        <w:rPr>
          <w:rFonts w:ascii="Times New Roman" w:eastAsia="Calibri" w:hAnsi="Times New Roman"/>
          <w:sz w:val="26"/>
          <w:szCs w:val="26"/>
          <w:lang w:eastAsia="lv-LV"/>
        </w:rPr>
        <w:t xml:space="preserve">. </w:t>
      </w:r>
    </w:p>
    <w:p w14:paraId="3A1CA646" w14:textId="77777777" w:rsidR="00926C7D" w:rsidRPr="00A805E3" w:rsidRDefault="00926C7D" w:rsidP="00926C7D">
      <w:pPr>
        <w:spacing w:after="60"/>
        <w:ind w:firstLine="567"/>
        <w:jc w:val="both"/>
        <w:rPr>
          <w:rFonts w:ascii="Times New Roman" w:hAnsi="Times New Roman"/>
          <w:sz w:val="16"/>
          <w:szCs w:val="16"/>
          <w:highlight w:val="yellow"/>
        </w:rPr>
      </w:pPr>
    </w:p>
    <w:p w14:paraId="7823AA49" w14:textId="77777777" w:rsidR="00926C7D" w:rsidRPr="004C2BFB" w:rsidRDefault="00926C7D" w:rsidP="00926C7D">
      <w:pPr>
        <w:spacing w:after="120"/>
        <w:jc w:val="center"/>
        <w:rPr>
          <w:rFonts w:ascii="Times New Roman" w:hAnsi="Times New Roman"/>
          <w:bCs/>
          <w:sz w:val="26"/>
          <w:szCs w:val="26"/>
          <w:highlight w:val="yellow"/>
        </w:rPr>
      </w:pPr>
    </w:p>
    <w:p w14:paraId="0B48B114" w14:textId="77777777" w:rsidR="00926C7D" w:rsidRDefault="00926C7D" w:rsidP="00926C7D">
      <w:pPr>
        <w:spacing w:after="120"/>
        <w:rPr>
          <w:rFonts w:ascii="Times New Roman" w:hAnsi="Times New Roman"/>
          <w:b/>
          <w:sz w:val="26"/>
          <w:szCs w:val="26"/>
          <w:highlight w:val="yellow"/>
        </w:rPr>
        <w:sectPr w:rsidR="00926C7D" w:rsidSect="00C7519A">
          <w:headerReference w:type="default" r:id="rId15"/>
          <w:footerReference w:type="first" r:id="rId16"/>
          <w:pgSz w:w="11906" w:h="16838"/>
          <w:pgMar w:top="1134" w:right="1134" w:bottom="1134" w:left="1701" w:header="709" w:footer="709" w:gutter="0"/>
          <w:cols w:space="708"/>
          <w:docGrid w:linePitch="381"/>
        </w:sectPr>
      </w:pPr>
    </w:p>
    <w:p w14:paraId="7EBDF7CC" w14:textId="483581F3" w:rsidR="00926C7D" w:rsidRPr="00B34B44" w:rsidRDefault="006A2CAA" w:rsidP="00926C7D">
      <w:pPr>
        <w:spacing w:after="120"/>
        <w:ind w:left="927"/>
        <w:jc w:val="right"/>
        <w:rPr>
          <w:rFonts w:ascii="Times New Roman" w:hAnsi="Times New Roman"/>
        </w:rPr>
      </w:pPr>
      <w:r>
        <w:rPr>
          <w:rFonts w:ascii="Times New Roman" w:hAnsi="Times New Roman"/>
        </w:rPr>
        <w:lastRenderedPageBreak/>
        <w:t>5</w:t>
      </w:r>
      <w:r w:rsidR="00926C7D" w:rsidRPr="00B34B44">
        <w:rPr>
          <w:rFonts w:ascii="Times New Roman" w:hAnsi="Times New Roman"/>
        </w:rPr>
        <w:t>.attēls</w:t>
      </w:r>
    </w:p>
    <w:p w14:paraId="58D83B67" w14:textId="77777777" w:rsidR="00926C7D" w:rsidRPr="00E54DFF" w:rsidRDefault="00926C7D" w:rsidP="00926C7D">
      <w:pPr>
        <w:spacing w:after="120"/>
        <w:ind w:left="1418" w:right="1529"/>
        <w:jc w:val="center"/>
        <w:rPr>
          <w:rFonts w:ascii="Times New Roman" w:hAnsi="Times New Roman"/>
          <w:b/>
          <w:sz w:val="26"/>
          <w:szCs w:val="26"/>
        </w:rPr>
      </w:pPr>
      <w:r w:rsidRPr="00E54DFF">
        <w:rPr>
          <w:rFonts w:ascii="Times New Roman" w:hAnsi="Times New Roman"/>
          <w:b/>
          <w:sz w:val="26"/>
          <w:szCs w:val="26"/>
        </w:rPr>
        <w:t>Ārzemnieku veiktās iemaksas 201</w:t>
      </w:r>
      <w:r>
        <w:rPr>
          <w:rFonts w:ascii="Times New Roman" w:hAnsi="Times New Roman"/>
          <w:b/>
          <w:sz w:val="26"/>
          <w:szCs w:val="26"/>
        </w:rPr>
        <w:t>6</w:t>
      </w:r>
      <w:r w:rsidRPr="00E54DFF">
        <w:rPr>
          <w:rFonts w:ascii="Times New Roman" w:hAnsi="Times New Roman"/>
          <w:b/>
          <w:sz w:val="26"/>
          <w:szCs w:val="26"/>
        </w:rPr>
        <w:t>.-20</w:t>
      </w:r>
      <w:r>
        <w:rPr>
          <w:rFonts w:ascii="Times New Roman" w:hAnsi="Times New Roman"/>
          <w:b/>
          <w:sz w:val="26"/>
          <w:szCs w:val="26"/>
        </w:rPr>
        <w:t>23</w:t>
      </w:r>
      <w:r w:rsidRPr="00E54DFF">
        <w:rPr>
          <w:rFonts w:ascii="Times New Roman" w:hAnsi="Times New Roman"/>
          <w:b/>
          <w:sz w:val="26"/>
          <w:szCs w:val="26"/>
        </w:rPr>
        <w:t>.gadā (pa ceturkšņiem) valsts pamatbudžeta programmā 33.00.00 “Ekonomikas attīstības programma”</w:t>
      </w:r>
    </w:p>
    <w:p w14:paraId="7A6BC6A4" w14:textId="77777777" w:rsidR="00926C7D" w:rsidRDefault="00926C7D" w:rsidP="00926C7D">
      <w:pPr>
        <w:spacing w:after="120"/>
        <w:jc w:val="center"/>
        <w:rPr>
          <w:rFonts w:ascii="Times New Roman" w:hAnsi="Times New Roman"/>
          <w:b/>
          <w:sz w:val="26"/>
          <w:szCs w:val="26"/>
          <w:highlight w:val="yellow"/>
        </w:rPr>
      </w:pPr>
      <w:r>
        <w:rPr>
          <w:noProof/>
          <w:lang w:eastAsia="lv-LV"/>
        </w:rPr>
        <w:drawing>
          <wp:inline distT="0" distB="0" distL="0" distR="0" wp14:anchorId="079868DC" wp14:editId="7CFB7F02">
            <wp:extent cx="9156700" cy="4438650"/>
            <wp:effectExtent l="0" t="0" r="6350" b="0"/>
            <wp:docPr id="1" name="Chart 1">
              <a:extLst xmlns:a="http://schemas.openxmlformats.org/drawingml/2006/main">
                <a:ext uri="{FF2B5EF4-FFF2-40B4-BE49-F238E27FC236}">
                  <a16:creationId xmlns:a16="http://schemas.microsoft.com/office/drawing/2014/main" id="{E028BD1C-804C-4704-97EC-63AD48C73C8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r>
        <w:rPr>
          <w:rFonts w:ascii="Times New Roman" w:hAnsi="Times New Roman"/>
          <w:b/>
          <w:sz w:val="26"/>
          <w:szCs w:val="26"/>
          <w:highlight w:val="yellow"/>
        </w:rPr>
        <w:t xml:space="preserve"> </w:t>
      </w:r>
    </w:p>
    <w:p w14:paraId="13B074D2" w14:textId="77777777" w:rsidR="00926C7D" w:rsidRPr="00E54DFF" w:rsidRDefault="00926C7D" w:rsidP="00926C7D">
      <w:pPr>
        <w:spacing w:after="120"/>
        <w:rPr>
          <w:rFonts w:ascii="Times New Roman" w:hAnsi="Times New Roman"/>
          <w:sz w:val="20"/>
          <w:szCs w:val="20"/>
        </w:rPr>
      </w:pPr>
      <w:r w:rsidRPr="00E54DFF">
        <w:rPr>
          <w:rFonts w:ascii="Times New Roman" w:hAnsi="Times New Roman"/>
          <w:sz w:val="20"/>
          <w:szCs w:val="20"/>
        </w:rPr>
        <w:t>* - informācija par 20</w:t>
      </w:r>
      <w:r>
        <w:rPr>
          <w:rFonts w:ascii="Times New Roman" w:hAnsi="Times New Roman"/>
          <w:sz w:val="20"/>
          <w:szCs w:val="20"/>
        </w:rPr>
        <w:t>23</w:t>
      </w:r>
      <w:r w:rsidRPr="00E54DFF">
        <w:rPr>
          <w:rFonts w:ascii="Times New Roman" w:hAnsi="Times New Roman"/>
          <w:sz w:val="20"/>
          <w:szCs w:val="20"/>
        </w:rPr>
        <w:t>.g</w:t>
      </w:r>
      <w:r>
        <w:rPr>
          <w:rFonts w:ascii="Times New Roman" w:hAnsi="Times New Roman"/>
          <w:sz w:val="20"/>
          <w:szCs w:val="20"/>
        </w:rPr>
        <w:t>a</w:t>
      </w:r>
      <w:r w:rsidRPr="00E54DFF">
        <w:rPr>
          <w:rFonts w:ascii="Times New Roman" w:hAnsi="Times New Roman"/>
          <w:sz w:val="20"/>
          <w:szCs w:val="20"/>
        </w:rPr>
        <w:t>da I. ceturksni atspoguļota pēc situācijas uz 20</w:t>
      </w:r>
      <w:r>
        <w:rPr>
          <w:rFonts w:ascii="Times New Roman" w:hAnsi="Times New Roman"/>
          <w:sz w:val="20"/>
          <w:szCs w:val="20"/>
        </w:rPr>
        <w:t>23</w:t>
      </w:r>
      <w:r w:rsidRPr="00E54DFF">
        <w:rPr>
          <w:rFonts w:ascii="Times New Roman" w:hAnsi="Times New Roman"/>
          <w:sz w:val="20"/>
          <w:szCs w:val="20"/>
        </w:rPr>
        <w:t>.</w:t>
      </w:r>
      <w:r>
        <w:rPr>
          <w:rFonts w:ascii="Times New Roman" w:hAnsi="Times New Roman"/>
          <w:sz w:val="20"/>
          <w:szCs w:val="20"/>
        </w:rPr>
        <w:t> </w:t>
      </w:r>
      <w:r w:rsidRPr="00E54DFF">
        <w:rPr>
          <w:rFonts w:ascii="Times New Roman" w:hAnsi="Times New Roman"/>
          <w:sz w:val="20"/>
          <w:szCs w:val="20"/>
        </w:rPr>
        <w:t xml:space="preserve">gada </w:t>
      </w:r>
      <w:r>
        <w:rPr>
          <w:rFonts w:ascii="Times New Roman" w:hAnsi="Times New Roman"/>
          <w:sz w:val="20"/>
          <w:szCs w:val="20"/>
        </w:rPr>
        <w:t>15</w:t>
      </w:r>
      <w:r w:rsidRPr="00E54DFF">
        <w:rPr>
          <w:rFonts w:ascii="Times New Roman" w:hAnsi="Times New Roman"/>
          <w:sz w:val="20"/>
          <w:szCs w:val="20"/>
        </w:rPr>
        <w:t>.</w:t>
      </w:r>
      <w:r>
        <w:rPr>
          <w:rFonts w:ascii="Times New Roman" w:hAnsi="Times New Roman"/>
          <w:sz w:val="20"/>
          <w:szCs w:val="20"/>
        </w:rPr>
        <w:t> februāri</w:t>
      </w:r>
      <w:r w:rsidRPr="00E54DFF">
        <w:rPr>
          <w:rFonts w:ascii="Times New Roman" w:hAnsi="Times New Roman"/>
          <w:sz w:val="20"/>
          <w:szCs w:val="20"/>
        </w:rPr>
        <w:t>, neņemot vērā ārzemnieku kļūdaini veikto iemaksu atmaksu</w:t>
      </w:r>
    </w:p>
    <w:p w14:paraId="737E5DD9" w14:textId="41388C5C" w:rsidR="00926C7D" w:rsidRPr="00E54DFF" w:rsidRDefault="00926C7D" w:rsidP="00926C7D">
      <w:pPr>
        <w:rPr>
          <w:rFonts w:ascii="Times New Roman" w:hAnsi="Times New Roman"/>
          <w:sz w:val="24"/>
          <w:szCs w:val="24"/>
        </w:rPr>
      </w:pPr>
      <w:r w:rsidRPr="00E54DFF">
        <w:rPr>
          <w:rFonts w:ascii="Times New Roman" w:hAnsi="Times New Roman"/>
          <w:sz w:val="24"/>
          <w:szCs w:val="24"/>
        </w:rPr>
        <w:t xml:space="preserve">Avots: </w:t>
      </w:r>
      <w:r w:rsidR="00274CEC">
        <w:rPr>
          <w:rFonts w:ascii="Times New Roman" w:hAnsi="Times New Roman"/>
          <w:i/>
          <w:sz w:val="24"/>
          <w:szCs w:val="24"/>
        </w:rPr>
        <w:t>EM</w:t>
      </w:r>
    </w:p>
    <w:p w14:paraId="51E34B90" w14:textId="77777777" w:rsidR="00926C7D" w:rsidRDefault="00926C7D" w:rsidP="00926C7D">
      <w:pPr>
        <w:spacing w:after="120"/>
        <w:jc w:val="both"/>
        <w:rPr>
          <w:rFonts w:ascii="Times New Roman" w:hAnsi="Times New Roman"/>
          <w:sz w:val="16"/>
          <w:szCs w:val="16"/>
          <w:highlight w:val="yellow"/>
        </w:rPr>
      </w:pPr>
    </w:p>
    <w:p w14:paraId="17D6A55D" w14:textId="77777777" w:rsidR="00926C7D" w:rsidRDefault="00926C7D" w:rsidP="00926C7D">
      <w:pPr>
        <w:spacing w:after="120"/>
        <w:jc w:val="both"/>
        <w:rPr>
          <w:rFonts w:ascii="Times New Roman" w:hAnsi="Times New Roman"/>
          <w:sz w:val="16"/>
          <w:szCs w:val="16"/>
          <w:highlight w:val="yellow"/>
        </w:rPr>
        <w:sectPr w:rsidR="00926C7D" w:rsidSect="00EB3B24">
          <w:pgSz w:w="16838" w:h="11906" w:orient="landscape"/>
          <w:pgMar w:top="1701" w:right="1134" w:bottom="1134" w:left="1134" w:header="709" w:footer="709" w:gutter="0"/>
          <w:cols w:space="708"/>
          <w:titlePg/>
          <w:docGrid w:linePitch="381"/>
        </w:sectPr>
      </w:pPr>
    </w:p>
    <w:p w14:paraId="2092904B" w14:textId="77777777" w:rsidR="00926C7D" w:rsidRPr="00A805E3" w:rsidRDefault="00926C7D" w:rsidP="00926C7D">
      <w:pPr>
        <w:spacing w:after="120"/>
        <w:jc w:val="both"/>
        <w:rPr>
          <w:rFonts w:ascii="Times New Roman" w:hAnsi="Times New Roman"/>
          <w:sz w:val="16"/>
          <w:szCs w:val="16"/>
          <w:highlight w:val="yellow"/>
        </w:rPr>
      </w:pPr>
    </w:p>
    <w:p w14:paraId="31B646DE" w14:textId="1A9E842C" w:rsidR="00926C7D" w:rsidRPr="006122EF" w:rsidRDefault="00114C0D" w:rsidP="00926C7D">
      <w:pPr>
        <w:spacing w:before="60" w:after="60"/>
        <w:ind w:firstLine="567"/>
        <w:jc w:val="both"/>
        <w:rPr>
          <w:rFonts w:ascii="Times New Roman" w:hAnsi="Times New Roman"/>
          <w:sz w:val="26"/>
          <w:szCs w:val="26"/>
        </w:rPr>
      </w:pPr>
      <w:r w:rsidRPr="006122EF">
        <w:rPr>
          <w:rFonts w:ascii="Times New Roman" w:eastAsia="Calibri" w:hAnsi="Times New Roman"/>
          <w:sz w:val="26"/>
          <w:szCs w:val="26"/>
          <w:lang w:eastAsia="lv-LV"/>
        </w:rPr>
        <w:t>EM</w:t>
      </w:r>
      <w:r w:rsidRPr="0026267A">
        <w:rPr>
          <w:rFonts w:ascii="Times New Roman" w:eastAsia="Calibri" w:hAnsi="Times New Roman"/>
          <w:sz w:val="26"/>
          <w:szCs w:val="26"/>
          <w:lang w:eastAsia="lv-LV"/>
        </w:rPr>
        <w:t xml:space="preserve"> </w:t>
      </w:r>
      <w:r w:rsidR="00926C7D" w:rsidRPr="0026267A">
        <w:rPr>
          <w:rFonts w:ascii="Times New Roman" w:eastAsia="Calibri" w:hAnsi="Times New Roman"/>
          <w:sz w:val="26"/>
          <w:szCs w:val="26"/>
          <w:lang w:eastAsia="lv-LV"/>
        </w:rPr>
        <w:t>prognoze</w:t>
      </w:r>
      <w:r w:rsidRPr="0026267A">
        <w:rPr>
          <w:rFonts w:ascii="Times New Roman" w:eastAsia="Calibri" w:hAnsi="Times New Roman"/>
          <w:sz w:val="26"/>
          <w:szCs w:val="26"/>
          <w:lang w:eastAsia="lv-LV"/>
        </w:rPr>
        <w:t>s</w:t>
      </w:r>
      <w:r w:rsidR="00926C7D" w:rsidRPr="0026267A">
        <w:rPr>
          <w:rFonts w:ascii="Times New Roman" w:eastAsia="Calibri" w:hAnsi="Times New Roman"/>
          <w:sz w:val="26"/>
          <w:szCs w:val="26"/>
          <w:lang w:eastAsia="lv-LV"/>
        </w:rPr>
        <w:t xml:space="preserve"> </w:t>
      </w:r>
      <w:r w:rsidR="00926C7D" w:rsidRPr="00156836">
        <w:rPr>
          <w:rFonts w:ascii="Times New Roman" w:eastAsia="Calibri" w:hAnsi="Times New Roman"/>
          <w:sz w:val="26"/>
          <w:szCs w:val="26"/>
          <w:lang w:eastAsia="lv-LV"/>
        </w:rPr>
        <w:t xml:space="preserve">faktiski nav </w:t>
      </w:r>
      <w:r w:rsidRPr="00156836">
        <w:rPr>
          <w:rFonts w:ascii="Times New Roman" w:eastAsia="Calibri" w:hAnsi="Times New Roman"/>
          <w:sz w:val="26"/>
          <w:szCs w:val="26"/>
          <w:lang w:eastAsia="lv-LV"/>
        </w:rPr>
        <w:t>piepildījušās</w:t>
      </w:r>
      <w:r w:rsidR="00926C7D" w:rsidRPr="00156836">
        <w:rPr>
          <w:rFonts w:ascii="Times New Roman" w:eastAsia="Calibri" w:hAnsi="Times New Roman"/>
          <w:sz w:val="26"/>
          <w:szCs w:val="26"/>
          <w:lang w:eastAsia="lv-LV"/>
        </w:rPr>
        <w:t>. Lielākā daļa no atkārtoto TUA pieteicējiem izvēlas veikt minimālo maksājumu 1 000 </w:t>
      </w:r>
      <w:r w:rsidR="00926C7D" w:rsidRPr="00F37C2B">
        <w:rPr>
          <w:rFonts w:ascii="Times New Roman" w:eastAsia="Calibri" w:hAnsi="Times New Roman"/>
          <w:sz w:val="26"/>
          <w:szCs w:val="26"/>
          <w:lang w:eastAsia="lv-LV"/>
        </w:rPr>
        <w:t>euro</w:t>
      </w:r>
      <w:r w:rsidR="00926C7D" w:rsidRPr="006122EF">
        <w:rPr>
          <w:rFonts w:ascii="Times New Roman" w:eastAsia="Calibri" w:hAnsi="Times New Roman"/>
          <w:sz w:val="26"/>
          <w:szCs w:val="26"/>
          <w:lang w:eastAsia="lv-LV"/>
        </w:rPr>
        <w:t xml:space="preserve"> apmērā, piesakoties </w:t>
      </w:r>
      <w:r w:rsidR="00926C7D" w:rsidRPr="00156836">
        <w:rPr>
          <w:rFonts w:ascii="Times New Roman" w:eastAsia="Calibri" w:hAnsi="Times New Roman"/>
          <w:sz w:val="26"/>
          <w:szCs w:val="26"/>
          <w:lang w:eastAsia="lv-LV"/>
        </w:rPr>
        <w:t>atkārtotu TUA saņemšanai, turpmākos maksājums veicot pa gadiem, reģistrējot atkārtoto TUA attiecīgajam gadam</w:t>
      </w:r>
      <w:r w:rsidR="00926C7D" w:rsidRPr="007D2771">
        <w:rPr>
          <w:rFonts w:ascii="Times New Roman" w:eastAsia="Calibri" w:hAnsi="Times New Roman"/>
          <w:sz w:val="26"/>
          <w:szCs w:val="26"/>
          <w:lang w:eastAsia="lv-LV"/>
        </w:rPr>
        <w:t>.</w:t>
      </w:r>
      <w:r w:rsidR="00926C7D" w:rsidRPr="006122EF">
        <w:rPr>
          <w:rFonts w:ascii="Times New Roman" w:hAnsi="Times New Roman"/>
          <w:sz w:val="26"/>
          <w:szCs w:val="26"/>
        </w:rPr>
        <w:t xml:space="preserve"> Ņemot vērā grozījumus </w:t>
      </w:r>
      <w:r w:rsidR="00926C7D" w:rsidRPr="00F37C2B">
        <w:rPr>
          <w:rFonts w:ascii="Times New Roman" w:hAnsi="Times New Roman"/>
          <w:sz w:val="26"/>
          <w:szCs w:val="26"/>
        </w:rPr>
        <w:t>Imigrācijas likumā</w:t>
      </w:r>
      <w:r w:rsidR="00926C7D" w:rsidRPr="006122EF">
        <w:rPr>
          <w:rFonts w:ascii="Times New Roman" w:hAnsi="Times New Roman"/>
          <w:sz w:val="26"/>
          <w:szCs w:val="26"/>
        </w:rPr>
        <w:t xml:space="preserve"> par iemaksām atkārtotu TUA saņemšanai un reģistrēšanai, sākot ar 2018. gada 1. janvāri kopējais iemaksu s</w:t>
      </w:r>
      <w:r w:rsidR="00926C7D" w:rsidRPr="00156836">
        <w:rPr>
          <w:rFonts w:ascii="Times New Roman" w:hAnsi="Times New Roman"/>
          <w:sz w:val="26"/>
          <w:szCs w:val="26"/>
        </w:rPr>
        <w:t xml:space="preserve">kaits ir pieaudzis (skatīt </w:t>
      </w:r>
      <w:r w:rsidR="006A2CAA" w:rsidRPr="007D2771">
        <w:rPr>
          <w:rFonts w:ascii="Times New Roman" w:hAnsi="Times New Roman"/>
          <w:sz w:val="26"/>
          <w:szCs w:val="26"/>
        </w:rPr>
        <w:t>5</w:t>
      </w:r>
      <w:r w:rsidR="00926C7D" w:rsidRPr="006122EF">
        <w:rPr>
          <w:rFonts w:ascii="Times New Roman" w:hAnsi="Times New Roman"/>
          <w:sz w:val="26"/>
          <w:szCs w:val="26"/>
        </w:rPr>
        <w:t>.attēlu). Lai arī iemaksu apjoms sākotnēji palielinājās relatīvi maz, taču pakāpeniski tas pieauga, ārzemniekiem aizvien aktīvāk pieprasot atkārtotas TUA un arī veicot maksājumus, reģistrējot iepriekš (2018., 2019. un 2020. gada laikā) izsniegtās atkārtotās TUA. Tomēr iemaksu apjoms ievērojami atpaliek no sākotnēji paredzētā.</w:t>
      </w:r>
    </w:p>
    <w:p w14:paraId="38C98046" w14:textId="4E41483A" w:rsidR="00926C7D" w:rsidRPr="00105A43" w:rsidRDefault="00926C7D" w:rsidP="00926C7D">
      <w:pPr>
        <w:spacing w:before="60" w:after="60"/>
        <w:ind w:firstLine="567"/>
        <w:jc w:val="both"/>
        <w:rPr>
          <w:rFonts w:ascii="Times New Roman" w:hAnsi="Times New Roman"/>
          <w:sz w:val="26"/>
          <w:szCs w:val="26"/>
        </w:rPr>
      </w:pPr>
      <w:r w:rsidRPr="00105A43">
        <w:rPr>
          <w:rFonts w:ascii="Times New Roman" w:hAnsi="Times New Roman"/>
          <w:sz w:val="26"/>
          <w:szCs w:val="26"/>
        </w:rPr>
        <w:t>2020. gada 2</w:t>
      </w:r>
      <w:r w:rsidRPr="00105A43">
        <w:rPr>
          <w:rFonts w:ascii="Times New Roman" w:hAnsi="Times New Roman"/>
          <w:sz w:val="28"/>
          <w:szCs w:val="28"/>
        </w:rPr>
        <w:t>. </w:t>
      </w:r>
      <w:r w:rsidRPr="00105A43">
        <w:rPr>
          <w:rFonts w:ascii="Times New Roman" w:hAnsi="Times New Roman"/>
          <w:sz w:val="26"/>
          <w:szCs w:val="26"/>
        </w:rPr>
        <w:t xml:space="preserve">ceturksnī Covid-19 izraisītā ārkārtas situācija samazināja arī atkārtoto TUA saņemšanai vai reģistrēšanai ārvalstnieku veiktās iemaksas (skatīt </w:t>
      </w:r>
      <w:r w:rsidR="006A2CAA">
        <w:rPr>
          <w:rFonts w:ascii="Times New Roman" w:hAnsi="Times New Roman"/>
          <w:sz w:val="26"/>
          <w:szCs w:val="26"/>
        </w:rPr>
        <w:t>5</w:t>
      </w:r>
      <w:r w:rsidRPr="00105A43">
        <w:rPr>
          <w:rFonts w:ascii="Times New Roman" w:hAnsi="Times New Roman"/>
          <w:sz w:val="26"/>
          <w:szCs w:val="26"/>
        </w:rPr>
        <w:t>.attēlu). Faktiski iemaksas tika veiktas tikai nelielā skaitā par iepriekšējos ceturkšņos (lielākoties 2018.-2019. gadā) iesniegtajiem atkārtotu TUA saņemšanas pieteikumiem. Lai arī dominējoši lielāko daļu no iemaksām veidoja ar iepriekšējos gados saņemto atkārtoto TUA reģistrēšanu saistītās ārzemnieku veiktās iemaksas, ievērojami daudz bija vērojamu situ</w:t>
      </w:r>
      <w:r>
        <w:rPr>
          <w:rFonts w:ascii="Times New Roman" w:hAnsi="Times New Roman"/>
          <w:sz w:val="26"/>
          <w:szCs w:val="26"/>
        </w:rPr>
        <w:t>āc</w:t>
      </w:r>
      <w:r w:rsidRPr="00105A43">
        <w:rPr>
          <w:rFonts w:ascii="Times New Roman" w:hAnsi="Times New Roman"/>
          <w:sz w:val="26"/>
          <w:szCs w:val="26"/>
        </w:rPr>
        <w:t>iju ar lielākām iemaksām (veicot tās par divu vai pat trīs gadu TUA reģistrācijas periodu 2-3 000 </w:t>
      </w:r>
      <w:r w:rsidRPr="00105A43">
        <w:rPr>
          <w:rFonts w:ascii="Times New Roman" w:hAnsi="Times New Roman"/>
          <w:i/>
          <w:iCs/>
          <w:sz w:val="26"/>
          <w:szCs w:val="26"/>
        </w:rPr>
        <w:t>euro</w:t>
      </w:r>
      <w:r w:rsidRPr="00105A43">
        <w:rPr>
          <w:rFonts w:ascii="Times New Roman" w:hAnsi="Times New Roman"/>
          <w:sz w:val="26"/>
          <w:szCs w:val="26"/>
        </w:rPr>
        <w:t xml:space="preserve"> apmērā), turklāt ievērojama daļa no šīm iemaksām pārsniedza paredzamo maksājuma saņemšanas termiņu, kas saistīts arī ar vēlāku atkārtotu TUA reģistrācijas noformēšanu. Turpmākajos ceturkšņos vērojama situācijas uzlabošanās un iemaksu pieaugums, taču tas ir saistīts pamatā tikai ar atkārtotu TUA reģistrācijas maksājumiem. Vai arī saņemot atkārtotu TUA jau pēc Covid-19 izraisītās infekcijas, iemaksas tika veiktas par visu TUA darbības periodu 5 000 </w:t>
      </w:r>
      <w:r w:rsidRPr="00105A43">
        <w:rPr>
          <w:rFonts w:ascii="Times New Roman" w:hAnsi="Times New Roman"/>
          <w:i/>
          <w:iCs/>
          <w:sz w:val="26"/>
          <w:szCs w:val="26"/>
        </w:rPr>
        <w:t>euro</w:t>
      </w:r>
      <w:r w:rsidRPr="00105A43">
        <w:rPr>
          <w:rFonts w:ascii="Times New Roman" w:hAnsi="Times New Roman"/>
          <w:sz w:val="26"/>
          <w:szCs w:val="26"/>
        </w:rPr>
        <w:t xml:space="preserve"> apmērā.</w:t>
      </w:r>
    </w:p>
    <w:p w14:paraId="254ADE2A" w14:textId="397CB469" w:rsidR="00926C7D" w:rsidRPr="00105A43" w:rsidRDefault="00926C7D" w:rsidP="00926C7D">
      <w:pPr>
        <w:spacing w:before="60" w:after="60"/>
        <w:ind w:firstLine="567"/>
        <w:jc w:val="both"/>
        <w:rPr>
          <w:rFonts w:ascii="Times New Roman" w:hAnsi="Times New Roman"/>
          <w:sz w:val="26"/>
          <w:szCs w:val="26"/>
        </w:rPr>
      </w:pPr>
      <w:r w:rsidRPr="00105A43">
        <w:rPr>
          <w:rFonts w:ascii="Times New Roman" w:hAnsi="Times New Roman"/>
          <w:sz w:val="26"/>
          <w:szCs w:val="26"/>
        </w:rPr>
        <w:t xml:space="preserve">Pamatojoties uz jau </w:t>
      </w:r>
      <w:r w:rsidRPr="006122EF">
        <w:rPr>
          <w:rFonts w:ascii="Times New Roman" w:hAnsi="Times New Roman"/>
          <w:sz w:val="26"/>
          <w:szCs w:val="26"/>
        </w:rPr>
        <w:t>minētā</w:t>
      </w:r>
      <w:r w:rsidRPr="00F37C2B">
        <w:rPr>
          <w:rFonts w:ascii="Times New Roman" w:hAnsi="Times New Roman"/>
          <w:sz w:val="26"/>
          <w:szCs w:val="26"/>
        </w:rPr>
        <w:t xml:space="preserve"> Covid-19 infekcijas izplatības pārvaldības likuma</w:t>
      </w:r>
      <w:r w:rsidRPr="00105A43">
        <w:rPr>
          <w:rFonts w:ascii="Times New Roman" w:hAnsi="Times New Roman"/>
          <w:sz w:val="26"/>
          <w:szCs w:val="26"/>
        </w:rPr>
        <w:t xml:space="preserve"> 32.panta piekto daļu, ja pieņemts lēmums par atkārtotas TUA izsniegšanu vai reģistrēšanu, kura ārzemniekam piešķirta saskaņā ar </w:t>
      </w:r>
      <w:hyperlink r:id="rId18" w:tgtFrame="_blank" w:history="1">
        <w:r w:rsidRPr="00105A43">
          <w:rPr>
            <w:rFonts w:ascii="Times New Roman" w:hAnsi="Times New Roman"/>
            <w:sz w:val="26"/>
            <w:szCs w:val="26"/>
          </w:rPr>
          <w:t>Imigrācijas likuma</w:t>
        </w:r>
      </w:hyperlink>
      <w:r w:rsidRPr="00105A43">
        <w:rPr>
          <w:rFonts w:ascii="Times New Roman" w:hAnsi="Times New Roman"/>
          <w:sz w:val="26"/>
          <w:szCs w:val="26"/>
        </w:rPr>
        <w:t xml:space="preserve"> </w:t>
      </w:r>
      <w:hyperlink r:id="rId19" w:anchor="p23" w:tgtFrame="_blank" w:history="1">
        <w:r w:rsidRPr="00105A43">
          <w:rPr>
            <w:rFonts w:ascii="Times New Roman" w:hAnsi="Times New Roman"/>
            <w:sz w:val="26"/>
            <w:szCs w:val="26"/>
          </w:rPr>
          <w:t>23.</w:t>
        </w:r>
      </w:hyperlink>
      <w:r w:rsidRPr="00105A43">
        <w:rPr>
          <w:rFonts w:ascii="Times New Roman" w:hAnsi="Times New Roman"/>
          <w:sz w:val="26"/>
          <w:szCs w:val="26"/>
        </w:rPr>
        <w:t xml:space="preserve"> panta pirmās daļas 28., 29., 30. vai 31. punktu, tā derīguma termiņā neieskaita laikposmu no 2020. gada 12. marta līdz 2021. gada 31. decembrim. Tāpēc liela daļa ārzemnieku, kuri arī veica maksājumus, neveica savu atkārtoto TUA reģistrēšanu 2020. un arī 2021. gadā, izmantojot ar iepriekšminēto likumu noteikto termiņa pagarinājumu. Savukārt, tie ārzemnieki, kuri 2020. gadā nereģistrēja iepriekšējos gados saņemtās atkārtotās TUA un neveica arī attiecīgo saistošo maksājumu kārtējā gadā, saskarās ar nepieciešamību veikt 2021. gadā maksājumu lielākā apjomā (jau par diviem gadiem). Tas bija viens no galvenajiem iemesliem būtiskam atkārtoto TUA saņemšanai/reģistrēšanai veikto maksājumu kopējam pieaugumam 2021. gada 3. un 4. ceturksnī (skatīt </w:t>
      </w:r>
      <w:r w:rsidR="0041682F">
        <w:rPr>
          <w:rFonts w:ascii="Times New Roman" w:hAnsi="Times New Roman"/>
          <w:sz w:val="26"/>
          <w:szCs w:val="26"/>
        </w:rPr>
        <w:t>5</w:t>
      </w:r>
      <w:r w:rsidRPr="00105A43">
        <w:rPr>
          <w:rFonts w:ascii="Times New Roman" w:hAnsi="Times New Roman"/>
          <w:sz w:val="26"/>
          <w:szCs w:val="26"/>
        </w:rPr>
        <w:t xml:space="preserve">.attēlu). </w:t>
      </w:r>
    </w:p>
    <w:p w14:paraId="4439B7D7" w14:textId="77777777" w:rsidR="00926C7D" w:rsidRPr="004C2A74" w:rsidRDefault="00926C7D" w:rsidP="00926C7D">
      <w:pPr>
        <w:spacing w:before="60" w:after="60"/>
        <w:ind w:firstLine="567"/>
        <w:jc w:val="both"/>
        <w:rPr>
          <w:rFonts w:ascii="Times New Roman" w:hAnsi="Times New Roman"/>
          <w:sz w:val="26"/>
          <w:szCs w:val="26"/>
        </w:rPr>
      </w:pPr>
      <w:r w:rsidRPr="004C2A74">
        <w:rPr>
          <w:rFonts w:ascii="Times New Roman" w:hAnsi="Times New Roman"/>
          <w:sz w:val="26"/>
          <w:szCs w:val="26"/>
        </w:rPr>
        <w:t>Uzlabojoties Covid-19 izraisītajai epidemioloģiskajai situācijai 2021. gada vasaras mēnešos un atjaunojoties ārzemnieku interesei par atkārtotu TUA saņemšanu, pieauga arī atkārtotu TUA pieteikumu skaits un dominējošā daļā no šajā periodā izdarītajiem pieteikumiem ar atkārtotu TUA saņemšanu saistīto maksājumu ir izdarīti pilnā apjomā – proti, ārzemnieki ir izvēlējušies veikt maksājumu 5 000 </w:t>
      </w:r>
      <w:r w:rsidRPr="004C2A74">
        <w:rPr>
          <w:rFonts w:ascii="Times New Roman" w:hAnsi="Times New Roman"/>
          <w:i/>
          <w:iCs/>
          <w:sz w:val="26"/>
          <w:szCs w:val="26"/>
        </w:rPr>
        <w:t>euro</w:t>
      </w:r>
      <w:r w:rsidRPr="004C2A74">
        <w:rPr>
          <w:rFonts w:ascii="Times New Roman" w:hAnsi="Times New Roman"/>
          <w:sz w:val="26"/>
          <w:szCs w:val="26"/>
        </w:rPr>
        <w:t xml:space="preserve"> apmērā, kas īsā laika periodā veidoja ievērojamu pieaugumu valsts pamatbudžeta programmas “Ekonomikas attīstības programma” ieņēmumos. Savukārt, 2022.</w:t>
      </w:r>
      <w:r>
        <w:rPr>
          <w:rFonts w:ascii="Times New Roman" w:hAnsi="Times New Roman"/>
          <w:sz w:val="26"/>
          <w:szCs w:val="26"/>
        </w:rPr>
        <w:t> </w:t>
      </w:r>
      <w:r w:rsidRPr="004C2A74">
        <w:rPr>
          <w:rFonts w:ascii="Times New Roman" w:hAnsi="Times New Roman"/>
          <w:sz w:val="26"/>
          <w:szCs w:val="26"/>
        </w:rPr>
        <w:t xml:space="preserve">gada </w:t>
      </w:r>
      <w:r>
        <w:rPr>
          <w:rFonts w:ascii="Times New Roman" w:hAnsi="Times New Roman"/>
          <w:sz w:val="26"/>
          <w:szCs w:val="26"/>
        </w:rPr>
        <w:t>1. un 2. ceturksnī, kā arī izteikti 2022. gada 3. ceturksnī iemaksu pieaugumu noteica saasinājusies konflikta situācija un karadarbība Ukrainā, kad ārzemnieku (kuru lielāko daļu joprojām veido Krievijas pilsoņi) rīcību un attiecīgi iemaksas atkārtotu TUA saņemšanai noteica vēlme saglabāt vai uzturēt (reģistrācijas gadījumā) izmantošanai derīgu personu apliecinošo dokumentu.</w:t>
      </w:r>
    </w:p>
    <w:p w14:paraId="754E90FD" w14:textId="7536D7B4" w:rsidR="00926C7D" w:rsidRDefault="00926C7D" w:rsidP="00926C7D">
      <w:pPr>
        <w:spacing w:before="60" w:after="60"/>
        <w:ind w:firstLine="567"/>
        <w:jc w:val="both"/>
        <w:rPr>
          <w:rFonts w:ascii="Times New Roman" w:hAnsi="Times New Roman"/>
          <w:sz w:val="26"/>
          <w:szCs w:val="26"/>
          <w:highlight w:val="yellow"/>
        </w:rPr>
      </w:pPr>
      <w:r w:rsidRPr="00427E3B">
        <w:rPr>
          <w:rFonts w:ascii="Times New Roman" w:hAnsi="Times New Roman"/>
          <w:sz w:val="26"/>
          <w:szCs w:val="26"/>
        </w:rPr>
        <w:t xml:space="preserve">No atkārtoto TUA saņemšanai paredzēto iemaksu uzsākšanas brīža 2018. gada 1. janvārī līdz 2023. gada 15. februārim </w:t>
      </w:r>
      <w:r w:rsidRPr="00F37C2B">
        <w:rPr>
          <w:rFonts w:ascii="Times New Roman" w:hAnsi="Times New Roman"/>
          <w:b/>
          <w:bCs/>
          <w:sz w:val="26"/>
          <w:szCs w:val="26"/>
        </w:rPr>
        <w:t>atkārtotu TUA</w:t>
      </w:r>
      <w:r w:rsidRPr="00427E3B">
        <w:rPr>
          <w:rFonts w:ascii="Times New Roman" w:hAnsi="Times New Roman"/>
          <w:sz w:val="26"/>
          <w:szCs w:val="26"/>
        </w:rPr>
        <w:t xml:space="preserve"> saņemšanai valsts pamatbudžeta </w:t>
      </w:r>
      <w:r w:rsidRPr="00427E3B">
        <w:rPr>
          <w:rFonts w:ascii="Times New Roman" w:hAnsi="Times New Roman"/>
          <w:sz w:val="26"/>
          <w:szCs w:val="26"/>
        </w:rPr>
        <w:lastRenderedPageBreak/>
        <w:t xml:space="preserve">programmā 33.00.00 “Ekonomikas attīstības programma” tika veiktas </w:t>
      </w:r>
      <w:r w:rsidRPr="00427E3B">
        <w:rPr>
          <w:rFonts w:ascii="Times New Roman" w:hAnsi="Times New Roman"/>
          <w:b/>
          <w:bCs/>
          <w:sz w:val="26"/>
          <w:szCs w:val="26"/>
        </w:rPr>
        <w:t>7 104 iemaksas 10,2 milj. </w:t>
      </w:r>
      <w:r w:rsidRPr="00427E3B">
        <w:rPr>
          <w:rFonts w:ascii="Times New Roman" w:hAnsi="Times New Roman"/>
          <w:b/>
          <w:bCs/>
          <w:i/>
          <w:sz w:val="26"/>
          <w:szCs w:val="26"/>
        </w:rPr>
        <w:t>euro</w:t>
      </w:r>
      <w:r w:rsidRPr="00427E3B">
        <w:rPr>
          <w:rFonts w:ascii="Times New Roman" w:hAnsi="Times New Roman"/>
          <w:b/>
          <w:bCs/>
          <w:sz w:val="26"/>
          <w:szCs w:val="26"/>
        </w:rPr>
        <w:t xml:space="preserve"> apmērā</w:t>
      </w:r>
      <w:r w:rsidR="006122EF">
        <w:rPr>
          <w:rFonts w:ascii="Times New Roman" w:hAnsi="Times New Roman"/>
          <w:sz w:val="26"/>
          <w:szCs w:val="26"/>
        </w:rPr>
        <w:t>(</w:t>
      </w:r>
      <w:r w:rsidRPr="00024459">
        <w:rPr>
          <w:rFonts w:ascii="Times New Roman" w:hAnsi="Times New Roman"/>
          <w:sz w:val="26"/>
          <w:szCs w:val="26"/>
        </w:rPr>
        <w:t>neņemot vērā uz ziņojuma sagatavošanas brīdi jau veiktās vai iespējami veicamās atmaksas, kad ārzemnieks ir veicis kļūdainu iemaksu</w:t>
      </w:r>
      <w:r w:rsidR="006122EF">
        <w:rPr>
          <w:rFonts w:ascii="Times New Roman" w:hAnsi="Times New Roman"/>
          <w:sz w:val="26"/>
          <w:szCs w:val="26"/>
        </w:rPr>
        <w:t>).</w:t>
      </w:r>
      <w:r w:rsidRPr="00024459">
        <w:rPr>
          <w:rFonts w:ascii="Times New Roman" w:hAnsi="Times New Roman"/>
          <w:sz w:val="26"/>
          <w:szCs w:val="26"/>
        </w:rPr>
        <w:t xml:space="preserve"> </w:t>
      </w:r>
    </w:p>
    <w:p w14:paraId="621D2A9A" w14:textId="77777777" w:rsidR="00926C7D" w:rsidRDefault="00926C7D" w:rsidP="00926C7D">
      <w:pPr>
        <w:spacing w:before="60" w:after="60"/>
        <w:ind w:firstLine="567"/>
        <w:jc w:val="both"/>
        <w:rPr>
          <w:rFonts w:ascii="Times New Roman" w:hAnsi="Times New Roman"/>
          <w:sz w:val="26"/>
          <w:szCs w:val="26"/>
        </w:rPr>
      </w:pPr>
      <w:r w:rsidRPr="007E361E">
        <w:rPr>
          <w:rFonts w:ascii="Times New Roman" w:hAnsi="Times New Roman"/>
          <w:sz w:val="26"/>
          <w:szCs w:val="26"/>
        </w:rPr>
        <w:t xml:space="preserve">Tai pat laikā kalendārā </w:t>
      </w:r>
      <w:r w:rsidRPr="007E361E">
        <w:rPr>
          <w:rFonts w:ascii="Times New Roman" w:hAnsi="Times New Roman"/>
          <w:b/>
          <w:bCs/>
          <w:sz w:val="26"/>
          <w:szCs w:val="26"/>
        </w:rPr>
        <w:t>2022. gada laikā (12 mēnešos) ir veikta 1 521 iemaksa 2,51 milj. </w:t>
      </w:r>
      <w:r w:rsidRPr="007E361E">
        <w:rPr>
          <w:rFonts w:ascii="Times New Roman" w:hAnsi="Times New Roman"/>
          <w:b/>
          <w:bCs/>
          <w:i/>
          <w:iCs/>
          <w:sz w:val="26"/>
          <w:szCs w:val="26"/>
        </w:rPr>
        <w:t>euro</w:t>
      </w:r>
      <w:r w:rsidRPr="007E361E">
        <w:rPr>
          <w:rFonts w:ascii="Times New Roman" w:hAnsi="Times New Roman"/>
          <w:b/>
          <w:bCs/>
          <w:sz w:val="26"/>
          <w:szCs w:val="26"/>
        </w:rPr>
        <w:t xml:space="preserve"> apmērā</w:t>
      </w:r>
      <w:r w:rsidRPr="003A1F19">
        <w:rPr>
          <w:rFonts w:ascii="Times New Roman" w:hAnsi="Times New Roman"/>
          <w:sz w:val="26"/>
          <w:szCs w:val="26"/>
        </w:rPr>
        <w:t xml:space="preserve"> un 2023. gada 1. ceturksnī (līdz 15. februārim</w:t>
      </w:r>
      <w:r w:rsidRPr="00537344">
        <w:rPr>
          <w:rFonts w:ascii="Times New Roman" w:hAnsi="Times New Roman"/>
          <w:sz w:val="26"/>
          <w:szCs w:val="26"/>
        </w:rPr>
        <w:t xml:space="preserve">) atkārtoto TUA saņemšanai vai reģistrēšanai ir veiktas </w:t>
      </w:r>
      <w:r w:rsidRPr="007E361E">
        <w:rPr>
          <w:rFonts w:ascii="Times New Roman" w:hAnsi="Times New Roman"/>
          <w:sz w:val="26"/>
          <w:szCs w:val="26"/>
        </w:rPr>
        <w:t>100 iemaksas 138 tūkst. </w:t>
      </w:r>
      <w:r w:rsidRPr="007E361E">
        <w:rPr>
          <w:rFonts w:ascii="Times New Roman" w:hAnsi="Times New Roman"/>
          <w:i/>
          <w:iCs/>
          <w:sz w:val="26"/>
          <w:szCs w:val="26"/>
        </w:rPr>
        <w:t>euro</w:t>
      </w:r>
      <w:r w:rsidRPr="007E361E">
        <w:rPr>
          <w:rFonts w:ascii="Times New Roman" w:hAnsi="Times New Roman"/>
          <w:sz w:val="26"/>
          <w:szCs w:val="26"/>
        </w:rPr>
        <w:t xml:space="preserve"> apmērā.</w:t>
      </w:r>
    </w:p>
    <w:p w14:paraId="3461F747" w14:textId="77777777" w:rsidR="00926C7D" w:rsidRDefault="00926C7D" w:rsidP="00926C7D">
      <w:pPr>
        <w:spacing w:before="60" w:after="60"/>
        <w:ind w:firstLine="567"/>
        <w:jc w:val="both"/>
        <w:rPr>
          <w:rFonts w:ascii="Times New Roman" w:hAnsi="Times New Roman"/>
          <w:bCs/>
          <w:sz w:val="26"/>
          <w:szCs w:val="26"/>
          <w:highlight w:val="yellow"/>
        </w:rPr>
      </w:pPr>
      <w:r w:rsidRPr="007E361E">
        <w:rPr>
          <w:rFonts w:ascii="Times New Roman" w:hAnsi="Times New Roman"/>
          <w:sz w:val="26"/>
          <w:szCs w:val="26"/>
        </w:rPr>
        <w:t xml:space="preserve">Veicot programmas izdevumu analīzi ir jānorāda, ka gadskārtējā valsts budžeta likumā tiek noteikti mērķi valsts pamatbudžeta programmā 33.00.00 “Ekonomikas attīstības programma” ārzemnieku ieskaitīto līdzekļu izmantošanai </w:t>
      </w:r>
      <w:r w:rsidRPr="007E361E">
        <w:rPr>
          <w:rFonts w:ascii="Times New Roman" w:hAnsi="Times New Roman"/>
          <w:bCs/>
          <w:sz w:val="26"/>
          <w:szCs w:val="26"/>
        </w:rPr>
        <w:t xml:space="preserve">– atbalsta pasākumiem Latvijas uzņēmējiem jaunu eksporta tirgu apguvē un eksporta palielināšanā uz prioritāriem mērķa tirgiem, jaunuzņēmumu ekosistēmas un digitalizācijas procesu attīstībai, tūrisma attīstības pasākumiem, </w:t>
      </w:r>
      <w:r w:rsidRPr="000910FA">
        <w:rPr>
          <w:rFonts w:ascii="Times New Roman" w:hAnsi="Times New Roman"/>
          <w:bCs/>
          <w:sz w:val="26"/>
          <w:szCs w:val="26"/>
        </w:rPr>
        <w:t>investīciju veicināšanai, mājokļa pieejamības un energoefektivitātes pasākumu finansēšanai, kā arī citiem darba vietu radīšanas, mūžizglītības veicināšanas un ģimeņu atbalsta pasākumiem un sistēmas administrēšanas izmaksu segšanai (uz pārskata periodu attiecināmā likuma “Par valsts budžetu 2022. gadam” 22.panta pirmā daļa</w:t>
      </w:r>
      <w:r w:rsidRPr="000910FA">
        <w:rPr>
          <w:rStyle w:val="FootnoteReference"/>
          <w:rFonts w:ascii="Times New Roman" w:hAnsi="Times New Roman"/>
          <w:bCs/>
          <w:sz w:val="26"/>
          <w:szCs w:val="26"/>
        </w:rPr>
        <w:footnoteReference w:id="6"/>
      </w:r>
      <w:r w:rsidRPr="000910FA">
        <w:rPr>
          <w:rFonts w:ascii="Times New Roman" w:hAnsi="Times New Roman"/>
          <w:bCs/>
          <w:sz w:val="26"/>
          <w:szCs w:val="26"/>
        </w:rPr>
        <w:t xml:space="preserve">). </w:t>
      </w:r>
    </w:p>
    <w:p w14:paraId="2D582C32" w14:textId="6A5A534B" w:rsidR="00926C7D" w:rsidRPr="000910FA" w:rsidRDefault="00926C7D" w:rsidP="00926C7D">
      <w:pPr>
        <w:spacing w:before="60" w:after="60"/>
        <w:ind w:firstLine="567"/>
        <w:jc w:val="both"/>
        <w:rPr>
          <w:rFonts w:ascii="Times New Roman" w:hAnsi="Times New Roman"/>
          <w:bCs/>
          <w:sz w:val="26"/>
          <w:szCs w:val="26"/>
        </w:rPr>
      </w:pPr>
      <w:r w:rsidRPr="000910FA">
        <w:rPr>
          <w:rFonts w:ascii="Times New Roman" w:hAnsi="Times New Roman"/>
          <w:bCs/>
          <w:sz w:val="26"/>
          <w:szCs w:val="26"/>
        </w:rPr>
        <w:t xml:space="preserve">Savukārt, </w:t>
      </w:r>
      <w:r w:rsidR="00274CEC">
        <w:rPr>
          <w:rFonts w:ascii="Times New Roman" w:hAnsi="Times New Roman"/>
          <w:bCs/>
          <w:sz w:val="26"/>
          <w:szCs w:val="26"/>
          <w:lang w:eastAsia="lv-LV"/>
        </w:rPr>
        <w:t>MK</w:t>
      </w:r>
      <w:r w:rsidRPr="000910FA">
        <w:rPr>
          <w:rFonts w:ascii="Times New Roman" w:hAnsi="Times New Roman"/>
          <w:bCs/>
          <w:sz w:val="26"/>
          <w:szCs w:val="26"/>
          <w:lang w:eastAsia="lv-LV"/>
        </w:rPr>
        <w:t xml:space="preserve"> </w:t>
      </w:r>
      <w:r w:rsidRPr="000910FA">
        <w:rPr>
          <w:rFonts w:ascii="Times New Roman" w:hAnsi="Times New Roman"/>
          <w:sz w:val="26"/>
          <w:szCs w:val="26"/>
          <w:lang w:eastAsia="lv-LV"/>
        </w:rPr>
        <w:t xml:space="preserve">2015. gada 9. jūnija </w:t>
      </w:r>
      <w:r w:rsidRPr="000910FA">
        <w:rPr>
          <w:rFonts w:ascii="Times New Roman" w:hAnsi="Times New Roman"/>
          <w:bCs/>
          <w:sz w:val="26"/>
          <w:szCs w:val="26"/>
          <w:lang w:eastAsia="lv-LV"/>
        </w:rPr>
        <w:t>noteikumos Nr.284</w:t>
      </w:r>
      <w:r w:rsidRPr="000910FA">
        <w:rPr>
          <w:rFonts w:ascii="Times New Roman" w:hAnsi="Times New Roman"/>
          <w:sz w:val="26"/>
          <w:szCs w:val="26"/>
          <w:lang w:eastAsia="lv-LV"/>
        </w:rPr>
        <w:t xml:space="preserve"> “</w:t>
      </w:r>
      <w:r w:rsidRPr="000910FA">
        <w:rPr>
          <w:rFonts w:ascii="Times New Roman" w:hAnsi="Times New Roman"/>
          <w:bCs/>
          <w:sz w:val="26"/>
          <w:szCs w:val="26"/>
          <w:lang w:eastAsia="lv-LV"/>
        </w:rPr>
        <w:t xml:space="preserve">Valsts pamatbudžeta programmas “Ekonomikas attīstības programma” finanšu līdzekļu izmantošanas kārtība” ir noteikti līdzekļu izmantošanas nosacījumi kārtējā saimnieciskajā gadā budžeta programmas kontā ieskaitītajiem finanšu līdzekļiem, kas saskaņā ar normatīvajos aktos par uzturēšanās atļaujām noteiktajiem nosacījumiem ir uzskatāmi par neatmaksājamiem ārzemniekam vai viņa mantiniekam. </w:t>
      </w:r>
    </w:p>
    <w:p w14:paraId="2AA445FE" w14:textId="07D7B9D4" w:rsidR="00926C7D" w:rsidRPr="000910FA" w:rsidRDefault="00926C7D" w:rsidP="00926C7D">
      <w:pPr>
        <w:spacing w:before="60" w:after="60"/>
        <w:ind w:firstLine="567"/>
        <w:jc w:val="both"/>
        <w:rPr>
          <w:rFonts w:ascii="Times New Roman" w:hAnsi="Times New Roman"/>
          <w:sz w:val="26"/>
          <w:szCs w:val="26"/>
        </w:rPr>
      </w:pPr>
      <w:r w:rsidRPr="000910FA">
        <w:rPr>
          <w:rFonts w:ascii="Times New Roman" w:eastAsia="Calibri" w:hAnsi="Times New Roman"/>
          <w:sz w:val="26"/>
          <w:szCs w:val="26"/>
          <w:lang w:eastAsia="lv-LV"/>
        </w:rPr>
        <w:t xml:space="preserve">Iepriekšējos gados ārzemnieku veiktie maksājumi pirms TUA saņemšanas </w:t>
      </w:r>
      <w:r w:rsidR="00274CEC">
        <w:rPr>
          <w:rFonts w:ascii="Times New Roman" w:eastAsia="Calibri" w:hAnsi="Times New Roman"/>
          <w:sz w:val="26"/>
          <w:szCs w:val="26"/>
          <w:lang w:eastAsia="lv-LV"/>
        </w:rPr>
        <w:t>EM</w:t>
      </w:r>
      <w:r w:rsidRPr="000910FA">
        <w:rPr>
          <w:rFonts w:ascii="Times New Roman" w:eastAsia="Calibri" w:hAnsi="Times New Roman"/>
          <w:sz w:val="26"/>
          <w:szCs w:val="26"/>
          <w:lang w:eastAsia="lv-LV"/>
        </w:rPr>
        <w:t xml:space="preserve"> budžeta programmā 33.00.00 “Ekonomikas attīstības programma” ir bijis būtisks finanšu avots, lai nodrošinātu valsts galvojumus bankas aizdevumiem mājokļu iegādei vai būvniecībai. No ārzemnieku veiktajām iemaksām </w:t>
      </w:r>
      <w:r w:rsidRPr="000910FA">
        <w:rPr>
          <w:rFonts w:ascii="Times New Roman" w:hAnsi="Times New Roman"/>
          <w:sz w:val="26"/>
          <w:szCs w:val="26"/>
        </w:rPr>
        <w:t xml:space="preserve">budžeta programmā 33.00.00 “Ekonomikas attīstības programma” </w:t>
      </w:r>
      <w:r w:rsidR="00274CEC">
        <w:rPr>
          <w:rFonts w:ascii="Times New Roman" w:hAnsi="Times New Roman"/>
          <w:sz w:val="26"/>
          <w:szCs w:val="26"/>
        </w:rPr>
        <w:t>ALTUM</w:t>
      </w:r>
      <w:r w:rsidRPr="000910FA">
        <w:rPr>
          <w:rFonts w:ascii="Times New Roman" w:hAnsi="Times New Roman"/>
          <w:sz w:val="26"/>
          <w:szCs w:val="26"/>
        </w:rPr>
        <w:t xml:space="preserve"> īstenotajai mājokļu atbalsta programmai - </w:t>
      </w:r>
      <w:r w:rsidRPr="000910FA">
        <w:rPr>
          <w:rFonts w:ascii="Times New Roman" w:eastAsia="Calibri" w:hAnsi="Times New Roman"/>
          <w:sz w:val="26"/>
          <w:szCs w:val="26"/>
          <w:lang w:eastAsia="lv-LV"/>
        </w:rPr>
        <w:t>valsts galvojumiem bankas aizdevumiem mājokļu iegādei vai būvniecībai 2015. gadā tika novirzīts 2,34 milj. </w:t>
      </w:r>
      <w:r w:rsidRPr="000910FA">
        <w:rPr>
          <w:rFonts w:ascii="Times New Roman" w:eastAsia="Calibri" w:hAnsi="Times New Roman"/>
          <w:i/>
          <w:sz w:val="26"/>
          <w:szCs w:val="26"/>
          <w:lang w:eastAsia="lv-LV"/>
        </w:rPr>
        <w:t>euro</w:t>
      </w:r>
      <w:r w:rsidRPr="000910FA">
        <w:rPr>
          <w:rFonts w:ascii="Times New Roman" w:eastAsia="Calibri" w:hAnsi="Times New Roman"/>
          <w:sz w:val="26"/>
          <w:szCs w:val="26"/>
          <w:lang w:eastAsia="lv-LV"/>
        </w:rPr>
        <w:t xml:space="preserve"> un 2016. gadā – 2,36 milj.</w:t>
      </w:r>
      <w:r w:rsidRPr="000910FA">
        <w:rPr>
          <w:rFonts w:ascii="Times New Roman" w:eastAsia="Calibri" w:hAnsi="Times New Roman"/>
          <w:i/>
          <w:sz w:val="26"/>
          <w:szCs w:val="26"/>
          <w:lang w:eastAsia="lv-LV"/>
        </w:rPr>
        <w:t> euro</w:t>
      </w:r>
      <w:r w:rsidRPr="000910FA">
        <w:rPr>
          <w:rFonts w:ascii="Times New Roman" w:hAnsi="Times New Roman"/>
          <w:sz w:val="26"/>
          <w:szCs w:val="26"/>
        </w:rPr>
        <w:t xml:space="preserve">. </w:t>
      </w:r>
      <w:r w:rsidRPr="000910FA">
        <w:rPr>
          <w:rFonts w:ascii="Times New Roman" w:eastAsia="Calibri" w:hAnsi="Times New Roman"/>
          <w:sz w:val="26"/>
          <w:szCs w:val="26"/>
          <w:lang w:eastAsia="lv-LV"/>
        </w:rPr>
        <w:t xml:space="preserve">Taču, ņemot vērā sarūkošo pirmreizējo TUA iemaksu un sākotnēji nelielo atkārtoto TUA iemaksu apjomu 2017. un 2018. gadā, no veiktajām iemaksām līdzekļi </w:t>
      </w:r>
      <w:r w:rsidRPr="000910FA">
        <w:rPr>
          <w:rFonts w:ascii="Times New Roman" w:hAnsi="Times New Roman"/>
          <w:sz w:val="26"/>
          <w:szCs w:val="26"/>
        </w:rPr>
        <w:t>mājokļu galvojumu programmai</w:t>
      </w:r>
      <w:r w:rsidRPr="000910FA">
        <w:rPr>
          <w:rFonts w:ascii="Times New Roman" w:eastAsia="Calibri" w:hAnsi="Times New Roman"/>
          <w:sz w:val="26"/>
          <w:szCs w:val="26"/>
          <w:lang w:eastAsia="lv-LV"/>
        </w:rPr>
        <w:t xml:space="preserve"> netika novirzīti. Tika veidots līdzekļu uzkrājums, nodrošinot nepieciešamos resursus </w:t>
      </w:r>
      <w:r w:rsidRPr="000910FA">
        <w:rPr>
          <w:rFonts w:ascii="Times New Roman" w:hAnsi="Times New Roman"/>
          <w:sz w:val="26"/>
          <w:szCs w:val="26"/>
        </w:rPr>
        <w:t xml:space="preserve">mājokļu galvojumu programmas turpināšanai, saskaņā ar </w:t>
      </w:r>
      <w:r w:rsidR="00274CEC">
        <w:rPr>
          <w:rFonts w:ascii="Times New Roman" w:hAnsi="Times New Roman"/>
          <w:sz w:val="26"/>
          <w:szCs w:val="26"/>
        </w:rPr>
        <w:t>MK</w:t>
      </w:r>
      <w:r w:rsidRPr="000910FA">
        <w:rPr>
          <w:rFonts w:ascii="Times New Roman" w:hAnsi="Times New Roman"/>
          <w:sz w:val="26"/>
          <w:szCs w:val="26"/>
        </w:rPr>
        <w:t xml:space="preserve"> 2017. gada 8. septembra ārkārtas sēdes protokollēmuma (prot. Nr.44, 1.§) 11.punktā noteikto, kas paredzēja veidot līdzekļu ietaupījumu, lai nodrošinātu mājokļu atbalsta programmas īstenošanu 2019. un 2020.gadā. </w:t>
      </w:r>
    </w:p>
    <w:p w14:paraId="7B1DF437" w14:textId="4C725FEB" w:rsidR="00926C7D" w:rsidRPr="004E5ECF" w:rsidRDefault="00926C7D" w:rsidP="00926C7D">
      <w:pPr>
        <w:spacing w:before="60" w:after="60"/>
        <w:ind w:firstLine="567"/>
        <w:jc w:val="both"/>
        <w:rPr>
          <w:rFonts w:ascii="Times New Roman" w:eastAsia="Calibri" w:hAnsi="Times New Roman"/>
          <w:iCs/>
          <w:sz w:val="26"/>
          <w:szCs w:val="26"/>
          <w:lang w:eastAsia="lv-LV"/>
        </w:rPr>
      </w:pPr>
      <w:r w:rsidRPr="004E5ECF">
        <w:rPr>
          <w:rFonts w:ascii="Times New Roman" w:hAnsi="Times New Roman"/>
          <w:sz w:val="26"/>
          <w:szCs w:val="26"/>
        </w:rPr>
        <w:t xml:space="preserve">Izveidotais ārzemnieku iemaksāto līdzekļu uzkrājums 2019. gada sākumā ļāva piešķirt līdzekļus mājokļu atbalsta programmai </w:t>
      </w:r>
      <w:r w:rsidRPr="004E5ECF">
        <w:rPr>
          <w:rFonts w:ascii="Times New Roman" w:eastAsia="Calibri" w:hAnsi="Times New Roman"/>
          <w:sz w:val="26"/>
          <w:szCs w:val="26"/>
          <w:lang w:eastAsia="lv-LV"/>
        </w:rPr>
        <w:t>–</w:t>
      </w:r>
      <w:r w:rsidRPr="004E5ECF">
        <w:rPr>
          <w:rFonts w:ascii="Times New Roman" w:hAnsi="Times New Roman"/>
          <w:sz w:val="26"/>
          <w:szCs w:val="26"/>
        </w:rPr>
        <w:t xml:space="preserve"> </w:t>
      </w:r>
      <w:r w:rsidRPr="004E5ECF">
        <w:rPr>
          <w:rFonts w:ascii="Times New Roman" w:eastAsia="Calibri" w:hAnsi="Times New Roman"/>
          <w:sz w:val="26"/>
          <w:szCs w:val="26"/>
          <w:lang w:eastAsia="lv-LV"/>
        </w:rPr>
        <w:t xml:space="preserve">valsts galvojumiem bankas aizdevumiem mājokļu iegādei vai būvniecībai – </w:t>
      </w:r>
      <w:r w:rsidRPr="004E5ECF">
        <w:rPr>
          <w:rFonts w:ascii="Times New Roman" w:hAnsi="Times New Roman"/>
          <w:sz w:val="26"/>
          <w:szCs w:val="26"/>
        </w:rPr>
        <w:t>2,81 milj. </w:t>
      </w:r>
      <w:r w:rsidRPr="004E5ECF">
        <w:rPr>
          <w:rFonts w:ascii="Times New Roman" w:hAnsi="Times New Roman"/>
          <w:i/>
          <w:iCs/>
          <w:sz w:val="26"/>
          <w:szCs w:val="26"/>
        </w:rPr>
        <w:t>euro</w:t>
      </w:r>
      <w:r w:rsidRPr="004E5ECF">
        <w:rPr>
          <w:rFonts w:ascii="Times New Roman" w:hAnsi="Times New Roman"/>
          <w:sz w:val="26"/>
          <w:szCs w:val="26"/>
        </w:rPr>
        <w:t xml:space="preserve"> apmērā, saskaņā ar </w:t>
      </w:r>
      <w:r w:rsidR="00274CEC">
        <w:rPr>
          <w:rFonts w:ascii="Times New Roman" w:hAnsi="Times New Roman"/>
          <w:sz w:val="26"/>
          <w:szCs w:val="26"/>
        </w:rPr>
        <w:t>MK</w:t>
      </w:r>
      <w:r w:rsidRPr="004E5ECF">
        <w:rPr>
          <w:rFonts w:ascii="Times New Roman" w:hAnsi="Times New Roman"/>
          <w:sz w:val="26"/>
          <w:szCs w:val="26"/>
        </w:rPr>
        <w:t xml:space="preserve"> 2019. gada 13. februāra rīkojumu Nr.56 “Par pamatbudžeta programmas “Ekonomikas attīstības programma” finanšu līdzekļu izmantošanu”</w:t>
      </w:r>
      <w:r w:rsidRPr="004E5ECF">
        <w:rPr>
          <w:rStyle w:val="FootnoteReference"/>
          <w:rFonts w:ascii="Times New Roman" w:hAnsi="Times New Roman"/>
          <w:sz w:val="26"/>
          <w:szCs w:val="26"/>
        </w:rPr>
        <w:footnoteReference w:id="7"/>
      </w:r>
      <w:r w:rsidRPr="004E5ECF">
        <w:rPr>
          <w:rFonts w:ascii="Times New Roman" w:hAnsi="Times New Roman"/>
          <w:sz w:val="26"/>
          <w:szCs w:val="26"/>
        </w:rPr>
        <w:t xml:space="preserve">, novirzot tam citu pašu ieņēmumu (no maksājumiem, kurus veic ārzemnieks pirmreizējas vai atkārtotas TUA saņemšanai) naudas līdzekļu atlikumu uz 2019. gada 1. janvāri, lai </w:t>
      </w:r>
      <w:r w:rsidR="00274CEC">
        <w:rPr>
          <w:rFonts w:ascii="Times New Roman" w:hAnsi="Times New Roman"/>
          <w:sz w:val="26"/>
          <w:szCs w:val="26"/>
        </w:rPr>
        <w:t>ALTUM</w:t>
      </w:r>
      <w:r w:rsidRPr="004E5ECF">
        <w:rPr>
          <w:rFonts w:ascii="Times New Roman" w:hAnsi="Times New Roman"/>
          <w:sz w:val="26"/>
          <w:szCs w:val="26"/>
        </w:rPr>
        <w:t xml:space="preserve"> turpinātu mājokļu atbalsta programmas īstenošanu. </w:t>
      </w:r>
      <w:r w:rsidRPr="004E5ECF">
        <w:rPr>
          <w:rFonts w:ascii="Times New Roman" w:hAnsi="Times New Roman"/>
          <w:bCs/>
          <w:sz w:val="26"/>
          <w:szCs w:val="26"/>
        </w:rPr>
        <w:t xml:space="preserve">Savukārt, saskaņā ar </w:t>
      </w:r>
      <w:r w:rsidR="00274CEC">
        <w:rPr>
          <w:rFonts w:ascii="Times New Roman" w:hAnsi="Times New Roman"/>
          <w:bCs/>
          <w:sz w:val="26"/>
          <w:szCs w:val="26"/>
        </w:rPr>
        <w:t>MK</w:t>
      </w:r>
      <w:r w:rsidRPr="004E5ECF">
        <w:rPr>
          <w:rFonts w:ascii="Times New Roman" w:hAnsi="Times New Roman"/>
          <w:bCs/>
          <w:sz w:val="26"/>
          <w:szCs w:val="26"/>
        </w:rPr>
        <w:t xml:space="preserve"> 2019. gada 17. jūlija rīkojuma Nr.374 Par pamatbudžeta programmas “Ekonomikas attīstības programma” finanšu līdzekļu </w:t>
      </w:r>
      <w:r w:rsidRPr="004E5ECF">
        <w:rPr>
          <w:rFonts w:ascii="Times New Roman" w:hAnsi="Times New Roman"/>
          <w:bCs/>
          <w:sz w:val="26"/>
          <w:szCs w:val="26"/>
        </w:rPr>
        <w:lastRenderedPageBreak/>
        <w:t>izmantošanu”</w:t>
      </w:r>
      <w:r w:rsidRPr="004E5ECF">
        <w:rPr>
          <w:rStyle w:val="FootnoteReference"/>
          <w:rFonts w:ascii="Times New Roman" w:hAnsi="Times New Roman"/>
          <w:bCs/>
          <w:sz w:val="26"/>
          <w:szCs w:val="26"/>
        </w:rPr>
        <w:footnoteReference w:id="8"/>
      </w:r>
      <w:r w:rsidRPr="004E5ECF">
        <w:rPr>
          <w:rFonts w:ascii="Times New Roman" w:hAnsi="Times New Roman"/>
          <w:bCs/>
          <w:sz w:val="26"/>
          <w:szCs w:val="26"/>
        </w:rPr>
        <w:t xml:space="preserve"> 1.punktu tika atbalstīta apropriācija, lai nodrošinātu nepieciešamo finansējumu Mājokļu garantiju programmas nepārtrauktai īstenošanai, novirzot no 2019. gadā ārzemnieku veiktajiem maksājumiem pirmreizēju vai atkārtotu TUA saņemšanai izmantošanai pieejamo finansējumu 1,02 milj. </w:t>
      </w:r>
      <w:r w:rsidRPr="004E5ECF">
        <w:rPr>
          <w:rFonts w:ascii="Times New Roman" w:hAnsi="Times New Roman"/>
          <w:bCs/>
          <w:i/>
          <w:iCs/>
          <w:sz w:val="26"/>
          <w:szCs w:val="26"/>
        </w:rPr>
        <w:t>euro</w:t>
      </w:r>
      <w:r w:rsidRPr="004E5ECF">
        <w:rPr>
          <w:rFonts w:ascii="Times New Roman" w:hAnsi="Times New Roman"/>
          <w:bCs/>
          <w:sz w:val="26"/>
          <w:szCs w:val="26"/>
        </w:rPr>
        <w:t xml:space="preserve"> apmērā. Līdz ar to n</w:t>
      </w:r>
      <w:r w:rsidRPr="004E5ECF">
        <w:rPr>
          <w:rFonts w:ascii="Times New Roman" w:eastAsia="Calibri" w:hAnsi="Times New Roman"/>
          <w:sz w:val="26"/>
          <w:szCs w:val="26"/>
          <w:lang w:eastAsia="lv-LV"/>
        </w:rPr>
        <w:t xml:space="preserve">o ārzemnieku veiktajām iemaksām </w:t>
      </w:r>
      <w:r w:rsidRPr="004E5ECF">
        <w:rPr>
          <w:rFonts w:ascii="Times New Roman" w:hAnsi="Times New Roman"/>
          <w:sz w:val="26"/>
          <w:szCs w:val="26"/>
        </w:rPr>
        <w:t xml:space="preserve">budžeta programmā 33.00.00 “Ekonomikas attīstības programma” </w:t>
      </w:r>
      <w:r w:rsidR="00274CEC">
        <w:rPr>
          <w:rFonts w:ascii="Times New Roman" w:hAnsi="Times New Roman"/>
          <w:sz w:val="26"/>
          <w:szCs w:val="26"/>
        </w:rPr>
        <w:t>ALTUM</w:t>
      </w:r>
      <w:r w:rsidRPr="004E5ECF">
        <w:rPr>
          <w:rFonts w:ascii="Times New Roman" w:hAnsi="Times New Roman"/>
          <w:sz w:val="26"/>
          <w:szCs w:val="26"/>
        </w:rPr>
        <w:t xml:space="preserve"> īstenotajai mājokļu atbalsta programmai 2019. gadā kopumā tika novirzīts finansējums </w:t>
      </w:r>
      <w:r w:rsidRPr="004E5ECF">
        <w:rPr>
          <w:rFonts w:ascii="Times New Roman" w:eastAsia="Calibri" w:hAnsi="Times New Roman"/>
          <w:sz w:val="26"/>
          <w:szCs w:val="26"/>
          <w:lang w:eastAsia="lv-LV"/>
        </w:rPr>
        <w:t>3,83 milj. </w:t>
      </w:r>
      <w:r w:rsidRPr="004E5ECF">
        <w:rPr>
          <w:rFonts w:ascii="Times New Roman" w:eastAsia="Calibri" w:hAnsi="Times New Roman"/>
          <w:i/>
          <w:sz w:val="26"/>
          <w:szCs w:val="26"/>
          <w:lang w:eastAsia="lv-LV"/>
        </w:rPr>
        <w:t xml:space="preserve">euro </w:t>
      </w:r>
      <w:r w:rsidRPr="004E5ECF">
        <w:rPr>
          <w:rFonts w:ascii="Times New Roman" w:eastAsia="Calibri" w:hAnsi="Times New Roman"/>
          <w:iCs/>
          <w:sz w:val="26"/>
          <w:szCs w:val="26"/>
          <w:lang w:eastAsia="lv-LV"/>
        </w:rPr>
        <w:t xml:space="preserve">apmērā. </w:t>
      </w:r>
    </w:p>
    <w:p w14:paraId="472EE51B" w14:textId="77777777" w:rsidR="00926C7D" w:rsidRPr="005F66E2" w:rsidRDefault="00926C7D" w:rsidP="00926C7D">
      <w:pPr>
        <w:spacing w:before="60" w:after="60"/>
        <w:ind w:firstLine="567"/>
        <w:jc w:val="both"/>
        <w:rPr>
          <w:rFonts w:ascii="Times New Roman" w:eastAsia="Calibri" w:hAnsi="Times New Roman"/>
          <w:iCs/>
          <w:sz w:val="26"/>
          <w:szCs w:val="26"/>
          <w:lang w:eastAsia="lv-LV"/>
        </w:rPr>
      </w:pPr>
      <w:r w:rsidRPr="005F66E2">
        <w:rPr>
          <w:rFonts w:ascii="Times New Roman" w:eastAsia="Calibri" w:hAnsi="Times New Roman"/>
          <w:iCs/>
          <w:sz w:val="26"/>
          <w:szCs w:val="26"/>
          <w:lang w:eastAsia="lv-LV"/>
        </w:rPr>
        <w:t xml:space="preserve">2020. -2022. gadā </w:t>
      </w:r>
      <w:r w:rsidRPr="005F66E2">
        <w:rPr>
          <w:rFonts w:ascii="Times New Roman" w:hAnsi="Times New Roman"/>
          <w:sz w:val="26"/>
          <w:szCs w:val="26"/>
        </w:rPr>
        <w:t xml:space="preserve">mājokļu atbalsta programmai līdzekļi no ārvalstnieku veiktajiem maksājumiem netika novirzīti, jo tika rasta iespēja finansēt mājokļu atbalsta programmu pārdalīto valsts budžeta līdzekļu ietvaros. </w:t>
      </w:r>
    </w:p>
    <w:p w14:paraId="6D1811DA" w14:textId="77777777" w:rsidR="00926C7D" w:rsidRPr="005F66E2" w:rsidRDefault="00926C7D" w:rsidP="00926C7D">
      <w:pPr>
        <w:spacing w:before="60" w:after="60"/>
        <w:ind w:firstLine="567"/>
        <w:jc w:val="both"/>
        <w:rPr>
          <w:rFonts w:ascii="Times New Roman" w:hAnsi="Times New Roman"/>
          <w:sz w:val="26"/>
          <w:szCs w:val="26"/>
        </w:rPr>
      </w:pPr>
      <w:r w:rsidRPr="005F66E2">
        <w:rPr>
          <w:rFonts w:ascii="Times New Roman" w:hAnsi="Times New Roman"/>
          <w:sz w:val="26"/>
          <w:szCs w:val="26"/>
        </w:rPr>
        <w:t xml:space="preserve">Valsts pamatbudžeta programmā 33.00.00 “Ekonomikas attīstības programma” ārzemnieku ieskaitīto līdzekļu pozitīvās izmaiņas deva iespēju izmantot pieejamos līdzekļus arī citiem nolūkiem, vienlaikus ievērojot, ka līdzekļu izmantošanas mērķus nosaka gadskārtējā valsts budžeta likumā, kā prioritāro izmantošanas mērķi norādot šīs budžeta programmas administrēšanas izdevumu segšanu. </w:t>
      </w:r>
    </w:p>
    <w:p w14:paraId="4F71B841" w14:textId="22C33BAE" w:rsidR="00926C7D" w:rsidRPr="006D6C88" w:rsidRDefault="00926C7D" w:rsidP="00926C7D">
      <w:pPr>
        <w:spacing w:before="60" w:after="60"/>
        <w:ind w:firstLine="567"/>
        <w:jc w:val="both"/>
        <w:rPr>
          <w:rFonts w:ascii="Times New Roman" w:hAnsi="Times New Roman"/>
          <w:sz w:val="26"/>
          <w:szCs w:val="26"/>
        </w:rPr>
      </w:pPr>
      <w:r w:rsidRPr="006D6C88">
        <w:rPr>
          <w:rFonts w:ascii="Times New Roman" w:hAnsi="Times New Roman"/>
          <w:sz w:val="26"/>
          <w:szCs w:val="26"/>
        </w:rPr>
        <w:t xml:space="preserve">Iepriekšējos gados Valsts pamatbudžeta programmā “Ekonomikas attīstības programma” ieskaitītie līdzekļi saskaņā ar </w:t>
      </w:r>
      <w:r w:rsidR="00274CEC">
        <w:rPr>
          <w:rFonts w:ascii="Times New Roman" w:hAnsi="Times New Roman"/>
          <w:sz w:val="26"/>
          <w:szCs w:val="26"/>
        </w:rPr>
        <w:t>MK</w:t>
      </w:r>
      <w:r w:rsidRPr="006D6C88">
        <w:rPr>
          <w:rFonts w:ascii="Times New Roman" w:hAnsi="Times New Roman"/>
          <w:sz w:val="26"/>
          <w:szCs w:val="26"/>
        </w:rPr>
        <w:t xml:space="preserve"> </w:t>
      </w:r>
      <w:r w:rsidRPr="006D6C88">
        <w:rPr>
          <w:rFonts w:ascii="Times New Roman" w:hAnsi="Times New Roman"/>
          <w:bCs/>
          <w:sz w:val="26"/>
          <w:szCs w:val="26"/>
        </w:rPr>
        <w:t xml:space="preserve">2017. gada 16. augusta sēdes </w:t>
      </w:r>
      <w:r w:rsidRPr="006D6C88">
        <w:rPr>
          <w:rFonts w:ascii="Times New Roman" w:hAnsi="Times New Roman"/>
          <w:sz w:val="26"/>
          <w:szCs w:val="26"/>
        </w:rPr>
        <w:t>protokollēmumu (prot. Nr.39 41</w:t>
      </w:r>
      <w:r w:rsidRPr="006D6C88">
        <w:rPr>
          <w:rFonts w:ascii="Times New Roman" w:hAnsi="Times New Roman"/>
          <w:bCs/>
          <w:sz w:val="26"/>
          <w:szCs w:val="26"/>
        </w:rPr>
        <w:t>.§, rīkojuma projekts “Par pamatbudžeta programmas “Ekonomikas attīstības programma” finanšu līdzekļu izmantošanu”)</w:t>
      </w:r>
      <w:r w:rsidRPr="006D6C88">
        <w:rPr>
          <w:rStyle w:val="FootnoteReference"/>
          <w:rFonts w:ascii="Times New Roman" w:hAnsi="Times New Roman"/>
          <w:bCs/>
          <w:sz w:val="26"/>
          <w:szCs w:val="26"/>
        </w:rPr>
        <w:footnoteReference w:id="9"/>
      </w:r>
      <w:r w:rsidRPr="006D6C88">
        <w:rPr>
          <w:rFonts w:ascii="Times New Roman" w:hAnsi="Times New Roman"/>
          <w:bCs/>
          <w:sz w:val="26"/>
          <w:szCs w:val="26"/>
        </w:rPr>
        <w:t xml:space="preserve"> un pamatojoties uz </w:t>
      </w:r>
      <w:r w:rsidRPr="006D6C88">
        <w:rPr>
          <w:rFonts w:ascii="Times New Roman" w:hAnsi="Times New Roman"/>
          <w:sz w:val="26"/>
          <w:szCs w:val="26"/>
        </w:rPr>
        <w:t xml:space="preserve">gadskārtējā valsts budžeta likumā noteiktajiem mērķiem tika izmantoti arī sistēmas administrēšanas izmaksu segšanai. Tā 2019. gadā līdzekļi tika novirzīti sistēmas administrēšanas izmaksu segšanai </w:t>
      </w:r>
      <w:r w:rsidR="00274CEC">
        <w:rPr>
          <w:rFonts w:ascii="Times New Roman" w:hAnsi="Times New Roman"/>
          <w:sz w:val="26"/>
          <w:szCs w:val="26"/>
        </w:rPr>
        <w:t>IeM</w:t>
      </w:r>
      <w:r w:rsidRPr="006D6C88">
        <w:rPr>
          <w:rFonts w:ascii="Times New Roman" w:hAnsi="Times New Roman"/>
          <w:sz w:val="26"/>
          <w:szCs w:val="26"/>
        </w:rPr>
        <w:t xml:space="preserve"> resora ietvaros </w:t>
      </w:r>
      <w:r w:rsidR="00114C0D">
        <w:rPr>
          <w:rFonts w:ascii="Times New Roman" w:hAnsi="Times New Roman"/>
          <w:sz w:val="26"/>
          <w:szCs w:val="26"/>
        </w:rPr>
        <w:t>PMLP</w:t>
      </w:r>
      <w:r w:rsidRPr="006D6C88">
        <w:rPr>
          <w:rFonts w:ascii="Times New Roman" w:hAnsi="Times New Roman"/>
          <w:sz w:val="26"/>
          <w:szCs w:val="26"/>
        </w:rPr>
        <w:t xml:space="preserve"> – 80,77 tūkst. </w:t>
      </w:r>
      <w:r w:rsidRPr="006D6C88">
        <w:rPr>
          <w:rFonts w:ascii="Times New Roman" w:hAnsi="Times New Roman"/>
          <w:i/>
          <w:iCs/>
          <w:sz w:val="26"/>
          <w:szCs w:val="26"/>
        </w:rPr>
        <w:t>euro</w:t>
      </w:r>
      <w:r w:rsidRPr="006D6C88">
        <w:rPr>
          <w:rFonts w:ascii="Times New Roman" w:hAnsi="Times New Roman"/>
          <w:sz w:val="26"/>
          <w:szCs w:val="26"/>
        </w:rPr>
        <w:t xml:space="preserve"> un Valsts drošības dienestam – 210 tūkst. </w:t>
      </w:r>
      <w:r w:rsidRPr="006D6C88">
        <w:rPr>
          <w:rFonts w:ascii="Times New Roman" w:hAnsi="Times New Roman"/>
          <w:i/>
          <w:iCs/>
          <w:sz w:val="26"/>
          <w:szCs w:val="26"/>
        </w:rPr>
        <w:t xml:space="preserve">euro </w:t>
      </w:r>
      <w:r w:rsidRPr="006D6C88">
        <w:rPr>
          <w:rFonts w:ascii="Times New Roman" w:hAnsi="Times New Roman"/>
          <w:sz w:val="26"/>
          <w:szCs w:val="26"/>
        </w:rPr>
        <w:t>apmērā, kā arī Valsts kasei – 46,8 tūkst. </w:t>
      </w:r>
      <w:r w:rsidRPr="006D6C88">
        <w:rPr>
          <w:rFonts w:ascii="Times New Roman" w:hAnsi="Times New Roman"/>
          <w:i/>
          <w:iCs/>
          <w:sz w:val="26"/>
          <w:szCs w:val="26"/>
        </w:rPr>
        <w:t xml:space="preserve">euro </w:t>
      </w:r>
      <w:r w:rsidRPr="006D6C88">
        <w:rPr>
          <w:rFonts w:ascii="Times New Roman" w:hAnsi="Times New Roman"/>
          <w:sz w:val="26"/>
          <w:szCs w:val="26"/>
        </w:rPr>
        <w:t xml:space="preserve">apmērā. </w:t>
      </w:r>
    </w:p>
    <w:p w14:paraId="58B66A5B" w14:textId="725E8A64" w:rsidR="00926C7D" w:rsidRPr="006D6C88" w:rsidRDefault="00926C7D" w:rsidP="00926C7D">
      <w:pPr>
        <w:spacing w:before="60" w:after="60"/>
        <w:ind w:firstLine="567"/>
        <w:jc w:val="both"/>
        <w:rPr>
          <w:rFonts w:ascii="Times New Roman" w:hAnsi="Times New Roman"/>
          <w:sz w:val="26"/>
          <w:szCs w:val="26"/>
        </w:rPr>
      </w:pPr>
      <w:r w:rsidRPr="006D6C88">
        <w:rPr>
          <w:rFonts w:ascii="Times New Roman" w:hAnsi="Times New Roman"/>
          <w:sz w:val="26"/>
          <w:szCs w:val="26"/>
        </w:rPr>
        <w:t xml:space="preserve">Sistēmas administrēšanas izmaksu segšanai 2020. gadā </w:t>
      </w:r>
      <w:r w:rsidR="00274CEC">
        <w:rPr>
          <w:rFonts w:ascii="Times New Roman" w:hAnsi="Times New Roman"/>
          <w:sz w:val="26"/>
          <w:szCs w:val="26"/>
        </w:rPr>
        <w:t>IeM</w:t>
      </w:r>
      <w:r w:rsidRPr="006D6C88">
        <w:rPr>
          <w:rFonts w:ascii="Times New Roman" w:hAnsi="Times New Roman"/>
          <w:sz w:val="26"/>
          <w:szCs w:val="26"/>
        </w:rPr>
        <w:t xml:space="preserve"> resoram tika novirzīt līdzekļi </w:t>
      </w:r>
      <w:r w:rsidR="00114C0D">
        <w:rPr>
          <w:rFonts w:ascii="Times New Roman" w:hAnsi="Times New Roman"/>
          <w:sz w:val="26"/>
          <w:szCs w:val="26"/>
        </w:rPr>
        <w:t>PMLP</w:t>
      </w:r>
      <w:r w:rsidRPr="006D6C88">
        <w:rPr>
          <w:rFonts w:ascii="Times New Roman" w:hAnsi="Times New Roman"/>
          <w:sz w:val="26"/>
          <w:szCs w:val="26"/>
        </w:rPr>
        <w:t>– 35,39 tūkst. </w:t>
      </w:r>
      <w:r w:rsidRPr="006D6C88">
        <w:rPr>
          <w:rFonts w:ascii="Times New Roman" w:hAnsi="Times New Roman"/>
          <w:i/>
          <w:iCs/>
          <w:sz w:val="26"/>
          <w:szCs w:val="26"/>
        </w:rPr>
        <w:t>euro</w:t>
      </w:r>
      <w:r w:rsidRPr="006D6C88">
        <w:rPr>
          <w:rFonts w:ascii="Times New Roman" w:hAnsi="Times New Roman"/>
          <w:sz w:val="26"/>
          <w:szCs w:val="26"/>
        </w:rPr>
        <w:t xml:space="preserve"> un Valsts drošības dienestam – 210 tūkst. </w:t>
      </w:r>
      <w:r w:rsidRPr="006D6C88">
        <w:rPr>
          <w:rFonts w:ascii="Times New Roman" w:hAnsi="Times New Roman"/>
          <w:i/>
          <w:iCs/>
          <w:sz w:val="26"/>
          <w:szCs w:val="26"/>
        </w:rPr>
        <w:t xml:space="preserve">euro </w:t>
      </w:r>
      <w:r w:rsidRPr="006D6C88">
        <w:rPr>
          <w:rFonts w:ascii="Times New Roman" w:hAnsi="Times New Roman"/>
          <w:sz w:val="26"/>
          <w:szCs w:val="26"/>
        </w:rPr>
        <w:t xml:space="preserve">apmērā, vienlaikus saskaņā ar </w:t>
      </w:r>
      <w:r w:rsidR="00274CEC">
        <w:rPr>
          <w:rFonts w:ascii="Times New Roman" w:hAnsi="Times New Roman"/>
          <w:sz w:val="26"/>
          <w:szCs w:val="26"/>
        </w:rPr>
        <w:t>MK</w:t>
      </w:r>
      <w:r w:rsidRPr="006D6C88">
        <w:rPr>
          <w:rFonts w:ascii="Times New Roman" w:hAnsi="Times New Roman"/>
          <w:sz w:val="26"/>
          <w:szCs w:val="26"/>
        </w:rPr>
        <w:t xml:space="preserve"> </w:t>
      </w:r>
      <w:r w:rsidRPr="006D6C88">
        <w:rPr>
          <w:rFonts w:ascii="Times New Roman" w:hAnsi="Times New Roman"/>
          <w:bCs/>
          <w:sz w:val="26"/>
          <w:szCs w:val="26"/>
        </w:rPr>
        <w:t xml:space="preserve">2020. gada 10. marta sēdes </w:t>
      </w:r>
      <w:r w:rsidRPr="006D6C88">
        <w:rPr>
          <w:rFonts w:ascii="Times New Roman" w:hAnsi="Times New Roman"/>
          <w:sz w:val="26"/>
          <w:szCs w:val="26"/>
        </w:rPr>
        <w:t>protokollēmumu (prot. Nr.10 4</w:t>
      </w:r>
      <w:r w:rsidRPr="006D6C88">
        <w:rPr>
          <w:rFonts w:ascii="Times New Roman" w:hAnsi="Times New Roman"/>
          <w:bCs/>
          <w:sz w:val="26"/>
          <w:szCs w:val="26"/>
        </w:rPr>
        <w:t>.§, rīkojuma projekts “Par pamatbudžeta programmas “Ekonomikas attīstības programma” finanšu līdzekļu izmantošanu”)</w:t>
      </w:r>
      <w:r w:rsidRPr="006D6C88">
        <w:rPr>
          <w:rStyle w:val="FootnoteReference"/>
          <w:rFonts w:ascii="Times New Roman" w:hAnsi="Times New Roman"/>
          <w:bCs/>
          <w:sz w:val="26"/>
          <w:szCs w:val="26"/>
        </w:rPr>
        <w:footnoteReference w:id="10"/>
      </w:r>
      <w:r w:rsidRPr="006D6C88">
        <w:rPr>
          <w:rFonts w:ascii="Times New Roman" w:hAnsi="Times New Roman"/>
          <w:bCs/>
          <w:sz w:val="26"/>
          <w:szCs w:val="26"/>
        </w:rPr>
        <w:t xml:space="preserve">, </w:t>
      </w:r>
      <w:r w:rsidRPr="006D6C88">
        <w:rPr>
          <w:rFonts w:ascii="Times New Roman" w:hAnsi="Times New Roman"/>
          <w:sz w:val="26"/>
          <w:szCs w:val="26"/>
        </w:rPr>
        <w:t xml:space="preserve">paredzot, ka no </w:t>
      </w:r>
      <w:r w:rsidR="00274CEC">
        <w:rPr>
          <w:rFonts w:ascii="Times New Roman" w:hAnsi="Times New Roman"/>
          <w:sz w:val="26"/>
          <w:szCs w:val="26"/>
        </w:rPr>
        <w:t>EM</w:t>
      </w:r>
      <w:r w:rsidRPr="006D6C88">
        <w:rPr>
          <w:rFonts w:ascii="Times New Roman" w:hAnsi="Times New Roman"/>
          <w:sz w:val="26"/>
          <w:szCs w:val="26"/>
        </w:rPr>
        <w:t xml:space="preserve"> budžeta programmas 33.00.00 "Ekonomikas attīstības programma" līdzekļiem tiek segtas sistēmas administrēšanas izmaksas </w:t>
      </w:r>
      <w:r w:rsidR="00274CEC">
        <w:rPr>
          <w:rFonts w:ascii="Times New Roman" w:hAnsi="Times New Roman"/>
          <w:sz w:val="26"/>
          <w:szCs w:val="26"/>
        </w:rPr>
        <w:t>IeM</w:t>
      </w:r>
      <w:r w:rsidRPr="006D6C88">
        <w:rPr>
          <w:rFonts w:ascii="Times New Roman" w:hAnsi="Times New Roman"/>
          <w:sz w:val="26"/>
          <w:szCs w:val="26"/>
        </w:rPr>
        <w:t xml:space="preserve"> valsts pamatbudžeta programmā 09.00.00 "Valsts drošības dienesta darbība" 2022. un 2023. gadā 210 tūkst. </w:t>
      </w:r>
      <w:r w:rsidRPr="006D6C88">
        <w:rPr>
          <w:rFonts w:ascii="Times New Roman" w:hAnsi="Times New Roman"/>
          <w:i/>
          <w:iCs/>
          <w:sz w:val="26"/>
          <w:szCs w:val="26"/>
        </w:rPr>
        <w:t>euro</w:t>
      </w:r>
      <w:r w:rsidRPr="006D6C88">
        <w:rPr>
          <w:rFonts w:ascii="Times New Roman" w:hAnsi="Times New Roman"/>
          <w:sz w:val="26"/>
          <w:szCs w:val="26"/>
        </w:rPr>
        <w:t xml:space="preserve"> apmērā ik gadu. 2021. gadā </w:t>
      </w:r>
      <w:r w:rsidR="00274CEC">
        <w:rPr>
          <w:rFonts w:ascii="Times New Roman" w:hAnsi="Times New Roman"/>
          <w:sz w:val="26"/>
          <w:szCs w:val="26"/>
        </w:rPr>
        <w:t>IeM</w:t>
      </w:r>
      <w:r w:rsidRPr="006D6C88">
        <w:rPr>
          <w:rFonts w:ascii="Times New Roman" w:hAnsi="Times New Roman"/>
          <w:sz w:val="26"/>
          <w:szCs w:val="26"/>
        </w:rPr>
        <w:t xml:space="preserve"> resoram novirzīt līdzekļi </w:t>
      </w:r>
      <w:r w:rsidR="00274CEC">
        <w:rPr>
          <w:rFonts w:ascii="Times New Roman" w:hAnsi="Times New Roman"/>
          <w:sz w:val="26"/>
          <w:szCs w:val="26"/>
        </w:rPr>
        <w:t>PMLP</w:t>
      </w:r>
      <w:r w:rsidRPr="006D6C88">
        <w:rPr>
          <w:rFonts w:ascii="Times New Roman" w:hAnsi="Times New Roman"/>
          <w:sz w:val="26"/>
          <w:szCs w:val="26"/>
        </w:rPr>
        <w:t xml:space="preserve"> – 23,595 tūkst. </w:t>
      </w:r>
      <w:r w:rsidRPr="006D6C88">
        <w:rPr>
          <w:rFonts w:ascii="Times New Roman" w:hAnsi="Times New Roman"/>
          <w:i/>
          <w:iCs/>
          <w:sz w:val="26"/>
          <w:szCs w:val="26"/>
        </w:rPr>
        <w:t>euro</w:t>
      </w:r>
      <w:r w:rsidRPr="006D6C88">
        <w:rPr>
          <w:rFonts w:ascii="Times New Roman" w:hAnsi="Times New Roman"/>
          <w:sz w:val="26"/>
          <w:szCs w:val="26"/>
        </w:rPr>
        <w:t xml:space="preserve"> un Valsts drošības dienestam – 210 tūkst. </w:t>
      </w:r>
      <w:r w:rsidRPr="006D6C88">
        <w:rPr>
          <w:rFonts w:ascii="Times New Roman" w:hAnsi="Times New Roman"/>
          <w:i/>
          <w:iCs/>
          <w:sz w:val="26"/>
          <w:szCs w:val="26"/>
        </w:rPr>
        <w:t xml:space="preserve">euro </w:t>
      </w:r>
      <w:r w:rsidRPr="006D6C88">
        <w:rPr>
          <w:rFonts w:ascii="Times New Roman" w:hAnsi="Times New Roman"/>
          <w:sz w:val="26"/>
          <w:szCs w:val="26"/>
        </w:rPr>
        <w:t xml:space="preserve">apmērā. </w:t>
      </w:r>
    </w:p>
    <w:p w14:paraId="691B0F9B" w14:textId="2948FF28" w:rsidR="00926C7D" w:rsidRPr="006D6C88" w:rsidRDefault="00926C7D" w:rsidP="00926C7D">
      <w:pPr>
        <w:spacing w:before="60" w:after="60"/>
        <w:ind w:firstLine="567"/>
        <w:jc w:val="both"/>
        <w:rPr>
          <w:rFonts w:ascii="Times New Roman" w:hAnsi="Times New Roman"/>
          <w:bCs/>
          <w:sz w:val="26"/>
          <w:szCs w:val="26"/>
        </w:rPr>
      </w:pPr>
      <w:r w:rsidRPr="006D6C88">
        <w:rPr>
          <w:rFonts w:ascii="Times New Roman" w:hAnsi="Times New Roman"/>
          <w:sz w:val="26"/>
          <w:szCs w:val="26"/>
        </w:rPr>
        <w:t xml:space="preserve">Balstoties uz Imigrācijas likuma 23.panta astotajā daļā noteikto deleģējumu, </w:t>
      </w:r>
      <w:r w:rsidRPr="006D6C88">
        <w:rPr>
          <w:rFonts w:ascii="Times New Roman" w:hAnsi="Times New Roman"/>
          <w:bCs/>
          <w:sz w:val="26"/>
          <w:szCs w:val="26"/>
        </w:rPr>
        <w:t xml:space="preserve">iepriekšējo gadu budžeta likumā uzskaitītie mērķi </w:t>
      </w:r>
      <w:r w:rsidRPr="006D6C88">
        <w:rPr>
          <w:rFonts w:ascii="Times New Roman" w:hAnsi="Times New Roman"/>
          <w:sz w:val="26"/>
          <w:szCs w:val="26"/>
        </w:rPr>
        <w:t>valsts pamatbudžeta programmā 33.00.00 “Ekonomikas attīstības programma” ārzemnieku ieskaitīto līdzekļu izmantošanai (</w:t>
      </w:r>
      <w:r w:rsidRPr="006D6C88">
        <w:rPr>
          <w:rFonts w:ascii="Times New Roman" w:hAnsi="Times New Roman"/>
          <w:bCs/>
          <w:sz w:val="26"/>
          <w:szCs w:val="26"/>
        </w:rPr>
        <w:t>uz pārskata periodu attiecināmā likuma “Par valsts budžetu 2022.gadam” 22.panta pirmā daļa)</w:t>
      </w:r>
      <w:r w:rsidRPr="006D6C88">
        <w:rPr>
          <w:rFonts w:ascii="Times New Roman" w:hAnsi="Times New Roman"/>
          <w:sz w:val="26"/>
          <w:szCs w:val="26"/>
        </w:rPr>
        <w:t xml:space="preserve"> tika papildināti ar </w:t>
      </w:r>
      <w:r w:rsidRPr="006D6C88">
        <w:rPr>
          <w:rFonts w:ascii="Times New Roman" w:hAnsi="Times New Roman"/>
          <w:bCs/>
          <w:sz w:val="26"/>
          <w:szCs w:val="26"/>
        </w:rPr>
        <w:t>tūrisma attīstības pasākumiem.</w:t>
      </w:r>
      <w:r w:rsidRPr="006D6C88">
        <w:rPr>
          <w:rFonts w:ascii="Times New Roman" w:hAnsi="Times New Roman"/>
          <w:sz w:val="26"/>
          <w:szCs w:val="26"/>
        </w:rPr>
        <w:t xml:space="preserve"> </w:t>
      </w:r>
      <w:r w:rsidRPr="006D6C88">
        <w:rPr>
          <w:rFonts w:ascii="Times New Roman" w:hAnsi="Times New Roman"/>
          <w:bCs/>
          <w:sz w:val="26"/>
          <w:szCs w:val="26"/>
        </w:rPr>
        <w:t xml:space="preserve">Tādēļ </w:t>
      </w:r>
      <w:r w:rsidR="00274CEC">
        <w:rPr>
          <w:rFonts w:ascii="Times New Roman" w:hAnsi="Times New Roman"/>
          <w:bCs/>
          <w:sz w:val="26"/>
          <w:szCs w:val="26"/>
        </w:rPr>
        <w:t>EM</w:t>
      </w:r>
      <w:r w:rsidRPr="006D6C88">
        <w:rPr>
          <w:rFonts w:ascii="Times New Roman" w:hAnsi="Times New Roman"/>
          <w:bCs/>
          <w:sz w:val="26"/>
          <w:szCs w:val="26"/>
        </w:rPr>
        <w:t xml:space="preserve"> radās iespēja ierosināt arī tūrisma attīstības pasākumus un saskaņā </w:t>
      </w:r>
      <w:r w:rsidR="00274CEC">
        <w:rPr>
          <w:rFonts w:ascii="Times New Roman" w:hAnsi="Times New Roman"/>
          <w:bCs/>
          <w:sz w:val="26"/>
          <w:szCs w:val="26"/>
        </w:rPr>
        <w:t>MK</w:t>
      </w:r>
      <w:r w:rsidRPr="006D6C88">
        <w:rPr>
          <w:rFonts w:ascii="Times New Roman" w:hAnsi="Times New Roman"/>
          <w:bCs/>
          <w:sz w:val="26"/>
          <w:szCs w:val="26"/>
        </w:rPr>
        <w:t xml:space="preserve"> 2019. gada 17. jūlija rīkojuma Nr.374 “Par pamatbudžeta programmas “Ekonomikas attīstības programma” finanšu līdzekļu izmantošanu”</w:t>
      </w:r>
      <w:r w:rsidRPr="006D6C88">
        <w:rPr>
          <w:rStyle w:val="FootnoteReference"/>
          <w:rFonts w:ascii="Times New Roman" w:hAnsi="Times New Roman"/>
          <w:bCs/>
          <w:sz w:val="26"/>
          <w:szCs w:val="26"/>
        </w:rPr>
        <w:footnoteReference w:id="11"/>
      </w:r>
      <w:r w:rsidRPr="006D6C88">
        <w:rPr>
          <w:rFonts w:ascii="Times New Roman" w:hAnsi="Times New Roman"/>
          <w:bCs/>
          <w:sz w:val="26"/>
          <w:szCs w:val="26"/>
        </w:rPr>
        <w:t xml:space="preserve"> 2. un 3.punktu tika atbalstīta apropriācija, lai nodrošinātu </w:t>
      </w:r>
      <w:r w:rsidRPr="006D6C88">
        <w:rPr>
          <w:rFonts w:ascii="Times New Roman" w:hAnsi="Times New Roman"/>
          <w:bCs/>
          <w:sz w:val="26"/>
          <w:szCs w:val="26"/>
        </w:rPr>
        <w:lastRenderedPageBreak/>
        <w:t>nepieciešamo finansējumu Ķīnas-Centrālās un Austrumeiropas valstu tūrisma foruma organizēšanai 150 tūkst </w:t>
      </w:r>
      <w:r w:rsidRPr="006D6C88">
        <w:rPr>
          <w:rFonts w:ascii="Times New Roman" w:hAnsi="Times New Roman"/>
          <w:bCs/>
          <w:i/>
          <w:iCs/>
          <w:sz w:val="26"/>
          <w:szCs w:val="26"/>
        </w:rPr>
        <w:t>euro</w:t>
      </w:r>
      <w:r w:rsidRPr="006D6C88">
        <w:rPr>
          <w:rFonts w:ascii="Times New Roman" w:hAnsi="Times New Roman"/>
          <w:bCs/>
          <w:sz w:val="26"/>
          <w:szCs w:val="26"/>
        </w:rPr>
        <w:t xml:space="preserve"> apmērā un dalības maksai Ekonomiskās sadarbības un attīstības organizācijas (OECD) Tūrisma komitejas brīvprātīgās iniciatīvas pētījumā “Digitālās pārveides veicināšana mazos un vidējos uzņēmumos tūrisma nozarē” 5 000 </w:t>
      </w:r>
      <w:r w:rsidRPr="006D6C88">
        <w:rPr>
          <w:rFonts w:ascii="Times New Roman" w:hAnsi="Times New Roman"/>
          <w:bCs/>
          <w:i/>
          <w:iCs/>
          <w:sz w:val="26"/>
          <w:szCs w:val="26"/>
        </w:rPr>
        <w:t>euro</w:t>
      </w:r>
      <w:r w:rsidRPr="006D6C88">
        <w:rPr>
          <w:rFonts w:ascii="Times New Roman" w:hAnsi="Times New Roman"/>
          <w:bCs/>
          <w:sz w:val="26"/>
          <w:szCs w:val="26"/>
        </w:rPr>
        <w:t xml:space="preserve"> apmērā.</w:t>
      </w:r>
    </w:p>
    <w:p w14:paraId="4E329263" w14:textId="70717CCB" w:rsidR="00926C7D" w:rsidRPr="00D817BE" w:rsidRDefault="00926C7D" w:rsidP="00926C7D">
      <w:pPr>
        <w:spacing w:before="60" w:after="60"/>
        <w:ind w:firstLine="567"/>
        <w:jc w:val="both"/>
        <w:rPr>
          <w:rFonts w:ascii="Times New Roman" w:hAnsi="Times New Roman"/>
          <w:sz w:val="26"/>
          <w:szCs w:val="26"/>
        </w:rPr>
      </w:pPr>
      <w:r w:rsidRPr="006D6C88">
        <w:rPr>
          <w:rFonts w:ascii="Times New Roman" w:hAnsi="Times New Roman"/>
          <w:sz w:val="26"/>
          <w:szCs w:val="26"/>
        </w:rPr>
        <w:t xml:space="preserve">Covid-19 izraisītā ārkārtas situācija un noteiktie karantīnas pasākumi ietekmēja visus </w:t>
      </w:r>
      <w:r w:rsidR="00274CEC">
        <w:rPr>
          <w:rFonts w:ascii="Times New Roman" w:hAnsi="Times New Roman"/>
          <w:sz w:val="26"/>
          <w:szCs w:val="26"/>
        </w:rPr>
        <w:t>EM</w:t>
      </w:r>
      <w:r w:rsidRPr="006D6C88">
        <w:rPr>
          <w:rFonts w:ascii="Times New Roman" w:hAnsi="Times New Roman"/>
          <w:sz w:val="26"/>
          <w:szCs w:val="26"/>
        </w:rPr>
        <w:t xml:space="preserve"> plānotos pasākumus, koncentrējot galveno uzmanību uz attālināti organizētiem pasākumiem. Sākot ar 2020. gada martu klātienes pasākuma īstenošana bija atkarīga no epidemioloģiskās situācijas attīstības, līdz ar valsts pamatbudžeta programmā 33.00.00 “Ekonomikas attīstības programma” ārzemnieku ieskaitīto līdzekļu izmantošana kļuva atkarīga no ārējiem faktoriem un līdzekļi netika pieprasīti, veidojot ārzemnieku iemaksāto līdzekļu uzkrājumu, ko varēs izmantot kārtējā gada budžeta likumā noteikto programmas ietvaros paredzēto mērķu sasniegšanai, samazinoties Covid-19 pandēmijas izraisītajiem ierobežojumiem.</w:t>
      </w:r>
      <w:r>
        <w:rPr>
          <w:rFonts w:ascii="Times New Roman" w:hAnsi="Times New Roman"/>
          <w:sz w:val="26"/>
          <w:szCs w:val="26"/>
        </w:rPr>
        <w:t xml:space="preserve">   </w:t>
      </w:r>
    </w:p>
    <w:p w14:paraId="0526BB15" w14:textId="4CCD5ABA" w:rsidR="00926C7D" w:rsidRPr="006D6C88" w:rsidRDefault="00926C7D" w:rsidP="00926C7D">
      <w:pPr>
        <w:spacing w:before="60" w:after="60"/>
        <w:ind w:firstLine="567"/>
        <w:jc w:val="both"/>
        <w:rPr>
          <w:rFonts w:ascii="Times New Roman" w:hAnsi="Times New Roman"/>
          <w:sz w:val="26"/>
          <w:szCs w:val="26"/>
        </w:rPr>
      </w:pPr>
      <w:r w:rsidRPr="006D6C88">
        <w:rPr>
          <w:rFonts w:ascii="Times New Roman" w:hAnsi="Times New Roman"/>
          <w:sz w:val="26"/>
          <w:szCs w:val="26"/>
        </w:rPr>
        <w:t xml:space="preserve">Pārskata periodā pieejamie ārzemnieku veikto maksājumu </w:t>
      </w:r>
      <w:r>
        <w:rPr>
          <w:rFonts w:ascii="Times New Roman" w:hAnsi="Times New Roman"/>
          <w:sz w:val="26"/>
          <w:szCs w:val="26"/>
        </w:rPr>
        <w:t>TUA</w:t>
      </w:r>
      <w:r w:rsidRPr="006D6C88">
        <w:rPr>
          <w:rFonts w:ascii="Times New Roman" w:hAnsi="Times New Roman"/>
          <w:sz w:val="26"/>
          <w:szCs w:val="26"/>
        </w:rPr>
        <w:t xml:space="preserve"> saņemšanai </w:t>
      </w:r>
      <w:r>
        <w:rPr>
          <w:rFonts w:ascii="Times New Roman" w:hAnsi="Times New Roman"/>
          <w:sz w:val="26"/>
          <w:szCs w:val="26"/>
        </w:rPr>
        <w:t xml:space="preserve">programmas kontā </w:t>
      </w:r>
      <w:r w:rsidRPr="0026267A">
        <w:rPr>
          <w:rFonts w:ascii="Times New Roman" w:hAnsi="Times New Roman"/>
          <w:sz w:val="26"/>
          <w:szCs w:val="26"/>
        </w:rPr>
        <w:t xml:space="preserve">ieskaitītie līdzekļi netika pieprasīti, jo tika turpināts izvērtēt situāciju pēc Covid-19 izraisītās pandēmijas, </w:t>
      </w:r>
      <w:r w:rsidRPr="00156836">
        <w:rPr>
          <w:rFonts w:ascii="Times New Roman" w:hAnsi="Times New Roman"/>
          <w:sz w:val="26"/>
          <w:szCs w:val="26"/>
        </w:rPr>
        <w:t>kā arī pēc 2022.</w:t>
      </w:r>
      <w:r w:rsidRPr="007D2771">
        <w:rPr>
          <w:rFonts w:ascii="Times New Roman" w:hAnsi="Times New Roman"/>
          <w:sz w:val="26"/>
          <w:szCs w:val="26"/>
        </w:rPr>
        <w:t> gada 7. aprīlī</w:t>
      </w:r>
      <w:r w:rsidRPr="0026267A">
        <w:rPr>
          <w:rFonts w:ascii="Times New Roman" w:hAnsi="Times New Roman"/>
          <w:sz w:val="26"/>
          <w:szCs w:val="26"/>
        </w:rPr>
        <w:t xml:space="preserve"> pieņemtajiem </w:t>
      </w:r>
      <w:r w:rsidR="0026267A">
        <w:rPr>
          <w:rFonts w:ascii="Times New Roman" w:hAnsi="Times New Roman"/>
          <w:sz w:val="26"/>
          <w:szCs w:val="26"/>
        </w:rPr>
        <w:t>g</w:t>
      </w:r>
      <w:r w:rsidR="0026267A" w:rsidRPr="00F37C2B">
        <w:rPr>
          <w:rFonts w:ascii="Times New Roman" w:hAnsi="Times New Roman"/>
          <w:sz w:val="26"/>
          <w:szCs w:val="26"/>
        </w:rPr>
        <w:t xml:space="preserve">rozījumiem </w:t>
      </w:r>
      <w:r w:rsidRPr="00F37C2B">
        <w:rPr>
          <w:rFonts w:ascii="Times New Roman" w:hAnsi="Times New Roman"/>
          <w:sz w:val="26"/>
          <w:szCs w:val="26"/>
        </w:rPr>
        <w:t>Imigrācijas likumā</w:t>
      </w:r>
      <w:r w:rsidRPr="00F37C2B">
        <w:rPr>
          <w:rStyle w:val="FootnoteReference"/>
          <w:rFonts w:ascii="Times New Roman" w:hAnsi="Times New Roman"/>
          <w:sz w:val="26"/>
          <w:szCs w:val="26"/>
        </w:rPr>
        <w:footnoteReference w:id="12"/>
      </w:r>
      <w:r w:rsidRPr="0026267A">
        <w:rPr>
          <w:rFonts w:ascii="Times New Roman" w:hAnsi="Times New Roman"/>
          <w:sz w:val="26"/>
          <w:szCs w:val="26"/>
        </w:rPr>
        <w:t>, kas apturē</w:t>
      </w:r>
      <w:r w:rsidRPr="006D6C88">
        <w:rPr>
          <w:rFonts w:ascii="Times New Roman" w:hAnsi="Times New Roman"/>
          <w:sz w:val="26"/>
          <w:szCs w:val="26"/>
        </w:rPr>
        <w:t>ja pirmreizējo TUA izsniegšana Krievijas Federācijas un Baltkrievijas Republikas pilsoņiem uz laiku līdz 2023.</w:t>
      </w:r>
      <w:r>
        <w:rPr>
          <w:rFonts w:ascii="Times New Roman" w:hAnsi="Times New Roman"/>
          <w:sz w:val="26"/>
          <w:szCs w:val="26"/>
        </w:rPr>
        <w:t> gada 30. jūlijam</w:t>
      </w:r>
      <w:r w:rsidRPr="006D6C88">
        <w:rPr>
          <w:rFonts w:ascii="Times New Roman" w:hAnsi="Times New Roman"/>
          <w:sz w:val="26"/>
          <w:szCs w:val="26"/>
        </w:rPr>
        <w:t>, un 2022.</w:t>
      </w:r>
      <w:r>
        <w:rPr>
          <w:rFonts w:ascii="Times New Roman" w:hAnsi="Times New Roman"/>
          <w:sz w:val="26"/>
          <w:szCs w:val="26"/>
        </w:rPr>
        <w:t> gada 22. septembrī</w:t>
      </w:r>
      <w:r w:rsidRPr="006D6C88">
        <w:rPr>
          <w:rFonts w:ascii="Times New Roman" w:hAnsi="Times New Roman"/>
          <w:sz w:val="26"/>
          <w:szCs w:val="26"/>
        </w:rPr>
        <w:t xml:space="preserve"> pieņemtajiem </w:t>
      </w:r>
      <w:r w:rsidRPr="001211D0">
        <w:rPr>
          <w:rFonts w:ascii="Times New Roman" w:hAnsi="Times New Roman"/>
          <w:i/>
          <w:iCs/>
          <w:sz w:val="26"/>
          <w:szCs w:val="26"/>
        </w:rPr>
        <w:t>Grozījumiem Imigrācijas likumā</w:t>
      </w:r>
      <w:r>
        <w:rPr>
          <w:rStyle w:val="FootnoteReference"/>
          <w:rFonts w:ascii="Times New Roman" w:hAnsi="Times New Roman"/>
          <w:i/>
          <w:iCs/>
          <w:sz w:val="26"/>
          <w:szCs w:val="26"/>
        </w:rPr>
        <w:footnoteReference w:id="13"/>
      </w:r>
      <w:r w:rsidRPr="006D6C88">
        <w:rPr>
          <w:rFonts w:ascii="Times New Roman" w:hAnsi="Times New Roman"/>
          <w:sz w:val="26"/>
          <w:szCs w:val="26"/>
        </w:rPr>
        <w:t xml:space="preserve">, </w:t>
      </w:r>
      <w:r>
        <w:rPr>
          <w:rFonts w:ascii="Times New Roman" w:hAnsi="Times New Roman"/>
          <w:sz w:val="26"/>
          <w:szCs w:val="26"/>
        </w:rPr>
        <w:t xml:space="preserve">kas </w:t>
      </w:r>
      <w:r w:rsidRPr="006D6C88">
        <w:rPr>
          <w:rFonts w:ascii="Times New Roman" w:hAnsi="Times New Roman"/>
          <w:sz w:val="26"/>
          <w:szCs w:val="26"/>
        </w:rPr>
        <w:t>būtiski izmain</w:t>
      </w:r>
      <w:r>
        <w:rPr>
          <w:rFonts w:ascii="Times New Roman" w:hAnsi="Times New Roman"/>
          <w:sz w:val="26"/>
          <w:szCs w:val="26"/>
        </w:rPr>
        <w:t>a</w:t>
      </w:r>
      <w:r w:rsidRPr="006D6C88">
        <w:rPr>
          <w:rFonts w:ascii="Times New Roman" w:hAnsi="Times New Roman"/>
          <w:sz w:val="26"/>
          <w:szCs w:val="26"/>
        </w:rPr>
        <w:t xml:space="preserve"> turpmākās prognozes ar pirmreizēju TUA saņemšanu saistītiem maksājumiem. Nepieciešams laiks, kad varēs identificēt iespējamos pasākumus noteikto mērķu ietvaros un tos būs iespējams īstenot efektīvāk un atbilstošāk ģeopolitiskās situācijas diktētiem nosacījumiem un ievērojot Krievijai piemērojamās sankcijas (ņemot vērā, ka lielāka daļa līdzšinējo investoru programmas ietvaros ir bijuši Krievijas Federācijas pilsoņi). </w:t>
      </w:r>
      <w:r>
        <w:rPr>
          <w:rFonts w:ascii="Times New Roman" w:hAnsi="Times New Roman"/>
          <w:sz w:val="26"/>
          <w:szCs w:val="26"/>
        </w:rPr>
        <w:t>Turpmāko uzmanību, nosakot īstenojamos pasākumus līdzekļu izmantošanai, paredzēts vairāk pievērst Latvijai un mūsu valsts stratēģiskajiem partneriem nozīmīgākiem mērķa tirgiem.</w:t>
      </w:r>
    </w:p>
    <w:p w14:paraId="39E3C34F" w14:textId="77777777" w:rsidR="00926C7D" w:rsidRDefault="00926C7D" w:rsidP="00926C7D">
      <w:pPr>
        <w:spacing w:before="60" w:after="60"/>
        <w:ind w:firstLine="567"/>
        <w:jc w:val="both"/>
        <w:rPr>
          <w:rFonts w:ascii="Times New Roman" w:hAnsi="Times New Roman"/>
          <w:sz w:val="26"/>
          <w:szCs w:val="26"/>
        </w:rPr>
      </w:pPr>
      <w:r w:rsidRPr="00B4070C">
        <w:rPr>
          <w:rFonts w:ascii="Times New Roman" w:hAnsi="Times New Roman"/>
          <w:sz w:val="26"/>
          <w:szCs w:val="26"/>
        </w:rPr>
        <w:t xml:space="preserve">Savukārt, </w:t>
      </w:r>
      <w:r w:rsidRPr="00F37C2B">
        <w:rPr>
          <w:rFonts w:ascii="Times New Roman" w:hAnsi="Times New Roman"/>
          <w:sz w:val="26"/>
          <w:szCs w:val="26"/>
        </w:rPr>
        <w:t>Imigrācijas likuma</w:t>
      </w:r>
      <w:r w:rsidRPr="00B4070C">
        <w:rPr>
          <w:rFonts w:ascii="Times New Roman" w:hAnsi="Times New Roman"/>
          <w:sz w:val="26"/>
          <w:szCs w:val="26"/>
        </w:rPr>
        <w:t xml:space="preserve"> 25.pantā paredzētā sistēmas administrēšanas izmaksu segšana, ievērojot </w:t>
      </w:r>
      <w:r>
        <w:rPr>
          <w:rFonts w:ascii="Times New Roman" w:hAnsi="Times New Roman"/>
          <w:sz w:val="26"/>
          <w:szCs w:val="26"/>
        </w:rPr>
        <w:t>minētā</w:t>
      </w:r>
      <w:r w:rsidRPr="00B4070C">
        <w:rPr>
          <w:rFonts w:ascii="Times New Roman" w:hAnsi="Times New Roman"/>
          <w:sz w:val="26"/>
          <w:szCs w:val="26"/>
        </w:rPr>
        <w:t xml:space="preserve"> likuma 23.panta astoto daļu, kas paredz prioritāro izmantošanas mērķi - budžeta programmas administrēšanas izdevumu segšanu, pārskata periodā ir veikta paredzētajā apjomā. </w:t>
      </w:r>
      <w:r>
        <w:rPr>
          <w:rFonts w:ascii="Times New Roman" w:hAnsi="Times New Roman"/>
          <w:sz w:val="26"/>
          <w:szCs w:val="26"/>
        </w:rPr>
        <w:t>Līdz ar to</w:t>
      </w:r>
      <w:r w:rsidRPr="006D6C88">
        <w:rPr>
          <w:rFonts w:ascii="Times New Roman" w:hAnsi="Times New Roman"/>
          <w:sz w:val="26"/>
          <w:szCs w:val="26"/>
        </w:rPr>
        <w:t xml:space="preserve"> pārskata perioda laikā</w:t>
      </w:r>
      <w:r w:rsidRPr="00B4070C">
        <w:rPr>
          <w:rFonts w:ascii="Times New Roman" w:hAnsi="Times New Roman"/>
          <w:sz w:val="26"/>
          <w:szCs w:val="26"/>
        </w:rPr>
        <w:t xml:space="preserve"> </w:t>
      </w:r>
      <w:r>
        <w:rPr>
          <w:rFonts w:ascii="Times New Roman" w:hAnsi="Times New Roman"/>
          <w:sz w:val="26"/>
          <w:szCs w:val="26"/>
        </w:rPr>
        <w:t>tika n</w:t>
      </w:r>
      <w:r w:rsidRPr="00B4070C">
        <w:rPr>
          <w:rFonts w:ascii="Times New Roman" w:hAnsi="Times New Roman"/>
          <w:sz w:val="26"/>
          <w:szCs w:val="26"/>
        </w:rPr>
        <w:t xml:space="preserve">odrošinātas ar normatīvajiem aktiem noteiktās maksājumu veicēju (pirmreizēju vai atkārtotu TUA pieprasījušo ārzemnieku) pārbaudes </w:t>
      </w:r>
      <w:r>
        <w:rPr>
          <w:rFonts w:ascii="Times New Roman" w:hAnsi="Times New Roman"/>
          <w:sz w:val="26"/>
          <w:szCs w:val="26"/>
        </w:rPr>
        <w:t xml:space="preserve">un 2022. gadā tika </w:t>
      </w:r>
      <w:r w:rsidRPr="00B4070C">
        <w:rPr>
          <w:rFonts w:ascii="Times New Roman" w:hAnsi="Times New Roman"/>
          <w:sz w:val="26"/>
          <w:szCs w:val="26"/>
        </w:rPr>
        <w:t>vei</w:t>
      </w:r>
      <w:r>
        <w:rPr>
          <w:rFonts w:ascii="Times New Roman" w:hAnsi="Times New Roman"/>
          <w:sz w:val="26"/>
          <w:szCs w:val="26"/>
        </w:rPr>
        <w:t>k</w:t>
      </w:r>
      <w:r w:rsidRPr="00B4070C">
        <w:rPr>
          <w:rFonts w:ascii="Times New Roman" w:hAnsi="Times New Roman"/>
          <w:sz w:val="26"/>
          <w:szCs w:val="26"/>
        </w:rPr>
        <w:t>t</w:t>
      </w:r>
      <w:r>
        <w:rPr>
          <w:rFonts w:ascii="Times New Roman" w:hAnsi="Times New Roman"/>
          <w:sz w:val="26"/>
          <w:szCs w:val="26"/>
        </w:rPr>
        <w:t>i</w:t>
      </w:r>
      <w:r w:rsidRPr="00B4070C">
        <w:rPr>
          <w:rFonts w:ascii="Times New Roman" w:hAnsi="Times New Roman"/>
          <w:sz w:val="26"/>
          <w:szCs w:val="26"/>
        </w:rPr>
        <w:t xml:space="preserve"> paredzēto līdzekļu transfert</w:t>
      </w:r>
      <w:r>
        <w:rPr>
          <w:rFonts w:ascii="Times New Roman" w:hAnsi="Times New Roman"/>
          <w:sz w:val="26"/>
          <w:szCs w:val="26"/>
        </w:rPr>
        <w:t>i</w:t>
      </w:r>
      <w:r w:rsidRPr="00B4070C">
        <w:rPr>
          <w:rFonts w:ascii="Times New Roman" w:hAnsi="Times New Roman"/>
          <w:sz w:val="26"/>
          <w:szCs w:val="26"/>
        </w:rPr>
        <w:t xml:space="preserve"> Valsts drošības dienestam</w:t>
      </w:r>
      <w:r>
        <w:rPr>
          <w:rFonts w:ascii="Times New Roman" w:hAnsi="Times New Roman"/>
          <w:sz w:val="26"/>
          <w:szCs w:val="26"/>
        </w:rPr>
        <w:t xml:space="preserve"> kopā 210 tūkst. </w:t>
      </w:r>
      <w:r w:rsidRPr="00B4070C">
        <w:rPr>
          <w:rFonts w:ascii="Times New Roman" w:hAnsi="Times New Roman"/>
          <w:i/>
          <w:iCs/>
          <w:sz w:val="26"/>
          <w:szCs w:val="26"/>
        </w:rPr>
        <w:t>euro</w:t>
      </w:r>
      <w:r>
        <w:rPr>
          <w:rFonts w:ascii="Times New Roman" w:hAnsi="Times New Roman"/>
          <w:sz w:val="26"/>
          <w:szCs w:val="26"/>
        </w:rPr>
        <w:t xml:space="preserve"> apmērā</w:t>
      </w:r>
      <w:r w:rsidRPr="00B4070C">
        <w:rPr>
          <w:rFonts w:ascii="Times New Roman" w:hAnsi="Times New Roman"/>
          <w:sz w:val="26"/>
          <w:szCs w:val="26"/>
        </w:rPr>
        <w:t>.</w:t>
      </w:r>
      <w:r>
        <w:rPr>
          <w:rFonts w:ascii="Times New Roman" w:hAnsi="Times New Roman"/>
          <w:sz w:val="26"/>
          <w:szCs w:val="26"/>
        </w:rPr>
        <w:t xml:space="preserve"> </w:t>
      </w:r>
    </w:p>
    <w:p w14:paraId="71C88DC1" w14:textId="77777777" w:rsidR="00926C7D" w:rsidRPr="00B4070C" w:rsidRDefault="00926C7D" w:rsidP="00926C7D">
      <w:pPr>
        <w:spacing w:before="60" w:after="60"/>
        <w:ind w:firstLine="567"/>
        <w:jc w:val="both"/>
        <w:rPr>
          <w:rFonts w:ascii="Times New Roman" w:hAnsi="Times New Roman"/>
          <w:sz w:val="26"/>
          <w:szCs w:val="26"/>
        </w:rPr>
      </w:pPr>
      <w:r>
        <w:rPr>
          <w:rFonts w:ascii="Times New Roman" w:hAnsi="Times New Roman"/>
          <w:sz w:val="26"/>
          <w:szCs w:val="26"/>
        </w:rPr>
        <w:t>Arī 2023. gadā tiek veikts paredzētais līdzekļu t</w:t>
      </w:r>
      <w:r w:rsidRPr="00B4070C">
        <w:rPr>
          <w:rFonts w:ascii="Times New Roman" w:hAnsi="Times New Roman"/>
          <w:sz w:val="26"/>
          <w:szCs w:val="26"/>
        </w:rPr>
        <w:t>ransfert</w:t>
      </w:r>
      <w:r>
        <w:rPr>
          <w:rFonts w:ascii="Times New Roman" w:hAnsi="Times New Roman"/>
          <w:sz w:val="26"/>
          <w:szCs w:val="26"/>
        </w:rPr>
        <w:t>s</w:t>
      </w:r>
      <w:r w:rsidRPr="00B4070C">
        <w:rPr>
          <w:rFonts w:ascii="Times New Roman" w:hAnsi="Times New Roman"/>
          <w:sz w:val="26"/>
          <w:szCs w:val="26"/>
        </w:rPr>
        <w:t xml:space="preserve"> Valsts drošības dienestam</w:t>
      </w:r>
      <w:r>
        <w:rPr>
          <w:rFonts w:ascii="Times New Roman" w:hAnsi="Times New Roman"/>
          <w:sz w:val="26"/>
          <w:szCs w:val="26"/>
        </w:rPr>
        <w:t xml:space="preserve"> </w:t>
      </w:r>
      <w:r w:rsidRPr="00B4070C">
        <w:rPr>
          <w:rFonts w:ascii="Times New Roman" w:hAnsi="Times New Roman"/>
          <w:sz w:val="26"/>
          <w:szCs w:val="26"/>
        </w:rPr>
        <w:t>saskaņā ar finansēšanas plānu</w:t>
      </w:r>
      <w:r>
        <w:rPr>
          <w:rFonts w:ascii="Times New Roman" w:hAnsi="Times New Roman"/>
          <w:sz w:val="26"/>
          <w:szCs w:val="26"/>
        </w:rPr>
        <w:t>, n</w:t>
      </w:r>
      <w:r w:rsidRPr="00B4070C">
        <w:rPr>
          <w:rFonts w:ascii="Times New Roman" w:hAnsi="Times New Roman"/>
          <w:sz w:val="26"/>
          <w:szCs w:val="26"/>
        </w:rPr>
        <w:t>odrošin</w:t>
      </w:r>
      <w:r>
        <w:rPr>
          <w:rFonts w:ascii="Times New Roman" w:hAnsi="Times New Roman"/>
          <w:sz w:val="26"/>
          <w:szCs w:val="26"/>
        </w:rPr>
        <w:t>o</w:t>
      </w:r>
      <w:r w:rsidRPr="00B4070C">
        <w:rPr>
          <w:rFonts w:ascii="Times New Roman" w:hAnsi="Times New Roman"/>
          <w:sz w:val="26"/>
          <w:szCs w:val="26"/>
        </w:rPr>
        <w:t>t ar normatīvajiem aktiem noteiktās maksājumu veicēju TUA pieprasījušo ārzemnieku pārbaudes</w:t>
      </w:r>
      <w:r>
        <w:rPr>
          <w:rFonts w:ascii="Times New Roman" w:hAnsi="Times New Roman"/>
          <w:sz w:val="26"/>
          <w:szCs w:val="26"/>
        </w:rPr>
        <w:t>.</w:t>
      </w:r>
    </w:p>
    <w:p w14:paraId="35F32012" w14:textId="77777777" w:rsidR="00926C7D" w:rsidRPr="00C90979" w:rsidRDefault="00926C7D" w:rsidP="00926C7D">
      <w:pPr>
        <w:spacing w:before="60" w:after="60"/>
        <w:ind w:firstLine="567"/>
        <w:jc w:val="both"/>
        <w:rPr>
          <w:rFonts w:ascii="Times New Roman" w:hAnsi="Times New Roman"/>
          <w:sz w:val="26"/>
          <w:szCs w:val="26"/>
        </w:rPr>
      </w:pPr>
      <w:r w:rsidRPr="00C90979">
        <w:rPr>
          <w:rFonts w:ascii="Times New Roman" w:hAnsi="Times New Roman"/>
          <w:sz w:val="26"/>
          <w:szCs w:val="26"/>
        </w:rPr>
        <w:t>Vienlaikus jāatzīmē arī pārskata periodā izvērtētie ārzemnieku nepareizi izdarītie maksājumi TUA saņemšanai (kuru skaits ir pieaudzis salīdzinoši ar iepriekšējiem periodiem) un 2022.</w:t>
      </w:r>
      <w:r>
        <w:rPr>
          <w:rFonts w:ascii="Times New Roman" w:hAnsi="Times New Roman"/>
          <w:sz w:val="26"/>
          <w:szCs w:val="26"/>
        </w:rPr>
        <w:t> </w:t>
      </w:r>
      <w:r w:rsidRPr="00C90979">
        <w:rPr>
          <w:rFonts w:ascii="Times New Roman" w:hAnsi="Times New Roman"/>
          <w:sz w:val="26"/>
          <w:szCs w:val="26"/>
        </w:rPr>
        <w:t>gadā veiktās 27 atmaksas (veicot atmaksas tikai tajos gadījumos, kad ārzemniekiem bija uz normatīvo aktu nosacījumiem pamatotas tiesības tās saņemt), kopumā 2022. gada laikā atgriežot pieprasījumu iesniedzējiem saņemtos kļūdainus maksājumus 127 tūkst. </w:t>
      </w:r>
      <w:r w:rsidRPr="00C90979">
        <w:rPr>
          <w:rFonts w:ascii="Times New Roman" w:hAnsi="Times New Roman"/>
          <w:i/>
          <w:iCs/>
          <w:sz w:val="26"/>
          <w:szCs w:val="26"/>
        </w:rPr>
        <w:t>euro</w:t>
      </w:r>
      <w:r w:rsidRPr="00C90979">
        <w:rPr>
          <w:rFonts w:ascii="Times New Roman" w:hAnsi="Times New Roman"/>
          <w:sz w:val="26"/>
          <w:szCs w:val="26"/>
        </w:rPr>
        <w:t xml:space="preserve"> apmērā.</w:t>
      </w:r>
    </w:p>
    <w:p w14:paraId="4B222F3A" w14:textId="77777777" w:rsidR="00926C7D" w:rsidRPr="00B4070C" w:rsidRDefault="00926C7D" w:rsidP="00926C7D">
      <w:pPr>
        <w:spacing w:before="60" w:after="60"/>
        <w:ind w:firstLine="567"/>
        <w:jc w:val="both"/>
        <w:rPr>
          <w:rFonts w:ascii="Times New Roman" w:hAnsi="Times New Roman"/>
          <w:sz w:val="26"/>
          <w:szCs w:val="26"/>
        </w:rPr>
      </w:pPr>
      <w:r>
        <w:rPr>
          <w:rFonts w:ascii="Times New Roman" w:hAnsi="Times New Roman"/>
          <w:sz w:val="26"/>
          <w:szCs w:val="26"/>
        </w:rPr>
        <w:lastRenderedPageBreak/>
        <w:t xml:space="preserve">Savukārt, turpmākajam periodam – </w:t>
      </w:r>
      <w:r w:rsidRPr="007E361E">
        <w:rPr>
          <w:rFonts w:ascii="Times New Roman" w:hAnsi="Times New Roman"/>
          <w:sz w:val="26"/>
          <w:szCs w:val="26"/>
        </w:rPr>
        <w:t>gadskārtējā valsts budžeta likumā</w:t>
      </w:r>
      <w:r>
        <w:rPr>
          <w:rFonts w:ascii="Times New Roman" w:hAnsi="Times New Roman"/>
          <w:sz w:val="26"/>
          <w:szCs w:val="26"/>
        </w:rPr>
        <w:t xml:space="preserve"> (</w:t>
      </w:r>
      <w:r w:rsidRPr="000910FA">
        <w:rPr>
          <w:rFonts w:ascii="Times New Roman" w:hAnsi="Times New Roman"/>
          <w:bCs/>
          <w:sz w:val="26"/>
          <w:szCs w:val="26"/>
        </w:rPr>
        <w:t>likum</w:t>
      </w:r>
      <w:r>
        <w:rPr>
          <w:rFonts w:ascii="Times New Roman" w:hAnsi="Times New Roman"/>
          <w:bCs/>
          <w:sz w:val="26"/>
          <w:szCs w:val="26"/>
        </w:rPr>
        <w:t>projekta</w:t>
      </w:r>
      <w:r w:rsidRPr="000910FA">
        <w:rPr>
          <w:rFonts w:ascii="Times New Roman" w:hAnsi="Times New Roman"/>
          <w:bCs/>
          <w:sz w:val="26"/>
          <w:szCs w:val="26"/>
        </w:rPr>
        <w:t xml:space="preserve"> “</w:t>
      </w:r>
      <w:r w:rsidRPr="002851EE">
        <w:rPr>
          <w:rFonts w:ascii="Times New Roman" w:hAnsi="Times New Roman"/>
          <w:bCs/>
          <w:sz w:val="26"/>
          <w:szCs w:val="26"/>
        </w:rPr>
        <w:t>Par valsts budžetu 2023. gadam un budžeta ietvaru 2023., 2024. un 2025.</w:t>
      </w:r>
      <w:r>
        <w:rPr>
          <w:rFonts w:ascii="Times New Roman" w:hAnsi="Times New Roman"/>
          <w:bCs/>
          <w:sz w:val="26"/>
          <w:szCs w:val="26"/>
        </w:rPr>
        <w:t> </w:t>
      </w:r>
      <w:r w:rsidRPr="002851EE">
        <w:rPr>
          <w:rFonts w:ascii="Times New Roman" w:hAnsi="Times New Roman"/>
          <w:bCs/>
          <w:sz w:val="26"/>
          <w:szCs w:val="26"/>
        </w:rPr>
        <w:t>gadam</w:t>
      </w:r>
      <w:r w:rsidRPr="000910FA">
        <w:rPr>
          <w:rFonts w:ascii="Times New Roman" w:hAnsi="Times New Roman"/>
          <w:bCs/>
          <w:sz w:val="26"/>
          <w:szCs w:val="26"/>
        </w:rPr>
        <w:t xml:space="preserve">” </w:t>
      </w:r>
      <w:r>
        <w:rPr>
          <w:rFonts w:ascii="Times New Roman" w:hAnsi="Times New Roman"/>
          <w:bCs/>
          <w:sz w:val="26"/>
          <w:szCs w:val="26"/>
        </w:rPr>
        <w:t>51</w:t>
      </w:r>
      <w:r w:rsidRPr="000910FA">
        <w:rPr>
          <w:rFonts w:ascii="Times New Roman" w:hAnsi="Times New Roman"/>
          <w:bCs/>
          <w:sz w:val="26"/>
          <w:szCs w:val="26"/>
        </w:rPr>
        <w:t>.panta pirmā daļa</w:t>
      </w:r>
      <w:r w:rsidRPr="000910FA">
        <w:rPr>
          <w:rStyle w:val="FootnoteReference"/>
          <w:rFonts w:ascii="Times New Roman" w:hAnsi="Times New Roman"/>
          <w:bCs/>
          <w:sz w:val="26"/>
          <w:szCs w:val="26"/>
        </w:rPr>
        <w:footnoteReference w:id="14"/>
      </w:r>
      <w:r>
        <w:rPr>
          <w:rFonts w:ascii="Times New Roman" w:hAnsi="Times New Roman"/>
          <w:sz w:val="26"/>
          <w:szCs w:val="26"/>
        </w:rPr>
        <w:t xml:space="preserve">) </w:t>
      </w:r>
      <w:bookmarkStart w:id="20" w:name="_Hlk128412429"/>
      <w:r>
        <w:rPr>
          <w:rFonts w:ascii="Times New Roman" w:hAnsi="Times New Roman"/>
          <w:sz w:val="26"/>
          <w:szCs w:val="26"/>
        </w:rPr>
        <w:t>paredzētie</w:t>
      </w:r>
      <w:r w:rsidRPr="007E361E">
        <w:rPr>
          <w:rFonts w:ascii="Times New Roman" w:hAnsi="Times New Roman"/>
          <w:sz w:val="26"/>
          <w:szCs w:val="26"/>
        </w:rPr>
        <w:t xml:space="preserve"> </w:t>
      </w:r>
      <w:r>
        <w:rPr>
          <w:rFonts w:ascii="Times New Roman" w:hAnsi="Times New Roman"/>
          <w:sz w:val="26"/>
          <w:szCs w:val="26"/>
        </w:rPr>
        <w:t xml:space="preserve">būtiskākie </w:t>
      </w:r>
      <w:r w:rsidRPr="007E361E">
        <w:rPr>
          <w:rFonts w:ascii="Times New Roman" w:hAnsi="Times New Roman"/>
          <w:sz w:val="26"/>
          <w:szCs w:val="26"/>
        </w:rPr>
        <w:t xml:space="preserve">mērķi valsts pamatbudžeta programmā 33.00.00 “Ekonomikas attīstības programma” </w:t>
      </w:r>
      <w:bookmarkStart w:id="21" w:name="_Hlk128412396"/>
      <w:r w:rsidRPr="007E361E">
        <w:rPr>
          <w:rFonts w:ascii="Times New Roman" w:hAnsi="Times New Roman"/>
          <w:sz w:val="26"/>
          <w:szCs w:val="26"/>
        </w:rPr>
        <w:t xml:space="preserve">ārzemnieku ieskaitīto līdzekļu izmantošanai </w:t>
      </w:r>
      <w:bookmarkEnd w:id="21"/>
      <w:r>
        <w:rPr>
          <w:rFonts w:ascii="Times New Roman" w:hAnsi="Times New Roman"/>
          <w:sz w:val="26"/>
          <w:szCs w:val="26"/>
        </w:rPr>
        <w:t xml:space="preserve">būtībā paliek nemainīgi </w:t>
      </w:r>
      <w:r w:rsidRPr="007E361E">
        <w:rPr>
          <w:rFonts w:ascii="Times New Roman" w:hAnsi="Times New Roman"/>
          <w:bCs/>
          <w:sz w:val="26"/>
          <w:szCs w:val="26"/>
        </w:rPr>
        <w:t xml:space="preserve">– </w:t>
      </w:r>
      <w:bookmarkStart w:id="22" w:name="_Hlk128412355"/>
      <w:r w:rsidRPr="007E361E">
        <w:rPr>
          <w:rFonts w:ascii="Times New Roman" w:hAnsi="Times New Roman"/>
          <w:bCs/>
          <w:sz w:val="26"/>
          <w:szCs w:val="26"/>
        </w:rPr>
        <w:t xml:space="preserve">atbalsta pasākumiem Latvijas uzņēmējiem jaunu eksporta tirgu apguvē un eksporta palielināšanā uz prioritāriem mērķa tirgiem, tūrisma attīstības pasākumiem, </w:t>
      </w:r>
      <w:r w:rsidRPr="000910FA">
        <w:rPr>
          <w:rFonts w:ascii="Times New Roman" w:hAnsi="Times New Roman"/>
          <w:bCs/>
          <w:sz w:val="26"/>
          <w:szCs w:val="26"/>
        </w:rPr>
        <w:t>mājokļa pieejamības un sistēmas administrēšanas izmaksu segšanai.</w:t>
      </w:r>
    </w:p>
    <w:bookmarkEnd w:id="20"/>
    <w:bookmarkEnd w:id="22"/>
    <w:p w14:paraId="797A91FE" w14:textId="77777777" w:rsidR="00926C7D" w:rsidRDefault="00926C7D" w:rsidP="00926C7D">
      <w:pPr>
        <w:spacing w:before="60" w:after="60"/>
        <w:jc w:val="both"/>
        <w:rPr>
          <w:rFonts w:ascii="Times New Roman" w:hAnsi="Times New Roman"/>
          <w:sz w:val="26"/>
          <w:szCs w:val="26"/>
        </w:rPr>
      </w:pPr>
    </w:p>
    <w:p w14:paraId="40CCB2C6" w14:textId="4B10221B" w:rsidR="00A67CA7" w:rsidRPr="009936BF" w:rsidRDefault="00EF1F29" w:rsidP="00EF1F29">
      <w:pPr>
        <w:spacing w:after="120"/>
        <w:jc w:val="center"/>
        <w:rPr>
          <w:rFonts w:ascii="Times New Roman" w:hAnsi="Times New Roman"/>
          <w:b/>
          <w:sz w:val="26"/>
          <w:szCs w:val="26"/>
        </w:rPr>
      </w:pPr>
      <w:r w:rsidRPr="009936BF">
        <w:rPr>
          <w:rFonts w:ascii="Times New Roman" w:hAnsi="Times New Roman"/>
          <w:b/>
          <w:sz w:val="26"/>
          <w:szCs w:val="26"/>
        </w:rPr>
        <w:t xml:space="preserve">Atkārtotu TUA vai </w:t>
      </w:r>
      <w:r w:rsidR="00D10D03" w:rsidRPr="009936BF">
        <w:rPr>
          <w:rFonts w:ascii="Times New Roman" w:hAnsi="Times New Roman"/>
          <w:b/>
          <w:sz w:val="26"/>
          <w:szCs w:val="26"/>
        </w:rPr>
        <w:t>PUA</w:t>
      </w:r>
      <w:r w:rsidR="00A67CA7" w:rsidRPr="009936BF">
        <w:rPr>
          <w:rFonts w:ascii="Times New Roman" w:hAnsi="Times New Roman"/>
          <w:b/>
          <w:sz w:val="26"/>
          <w:szCs w:val="26"/>
        </w:rPr>
        <w:t xml:space="preserve"> izsniegšana</w:t>
      </w:r>
    </w:p>
    <w:p w14:paraId="7A881900" w14:textId="77777777" w:rsidR="00A41BAA" w:rsidRPr="009936BF" w:rsidRDefault="00A41BAA" w:rsidP="00EF1F29">
      <w:pPr>
        <w:spacing w:after="120"/>
        <w:jc w:val="center"/>
        <w:rPr>
          <w:rFonts w:ascii="Times New Roman" w:hAnsi="Times New Roman"/>
          <w:b/>
          <w:sz w:val="26"/>
          <w:szCs w:val="26"/>
        </w:rPr>
      </w:pPr>
    </w:p>
    <w:p w14:paraId="15F57BD4" w14:textId="04AC1384" w:rsidR="00B84C7A" w:rsidRPr="009936BF" w:rsidRDefault="00B84C7A" w:rsidP="007F100C">
      <w:pPr>
        <w:spacing w:after="120"/>
        <w:ind w:firstLine="567"/>
        <w:jc w:val="both"/>
        <w:rPr>
          <w:rFonts w:ascii="Times New Roman" w:eastAsia="Calibri" w:hAnsi="Times New Roman"/>
          <w:sz w:val="26"/>
          <w:szCs w:val="26"/>
          <w:lang w:eastAsia="lv-LV"/>
        </w:rPr>
      </w:pPr>
      <w:r w:rsidRPr="009936BF">
        <w:rPr>
          <w:rFonts w:ascii="Times New Roman" w:eastAsia="Calibri" w:hAnsi="Times New Roman"/>
          <w:sz w:val="26"/>
          <w:szCs w:val="26"/>
          <w:lang w:eastAsia="lv-LV"/>
        </w:rPr>
        <w:t xml:space="preserve">Investīciju programma darbojas no 2010.gada 1.jūlija, paredzot TUA piešķiršanu uz piecu gadu periodu, un 2015.gada jūlijā beidzās pirmo programmas darbības sākumā piešķirto TUA derīguma termiņi. Beidzoties TUA derīguma termiņam, un ja personas vēlas turpināt uzturēties Latvijas Republikā, Imigrācijas likums paredz iespēju pieprasīt vai nu atkārtotu TUA (ja visi TUA pieprasīšanai nepieciešamie nosacījumi joprojām ir spēkā) vai PUA, ja trešās valsts pilsonis ir apguvis valsts valodu (līmenis 2A), viņam ir pietiekami finanšu līdzekļi, un viņa prombūtne no Latvijas Republikas TUA derīguma termiņa laikā nav pārsniegusi vienu gadu ar pārtraukumiem vai sešus mēnešus nepārtraukti. </w:t>
      </w:r>
    </w:p>
    <w:p w14:paraId="1D0466FC" w14:textId="7A522430" w:rsidR="00581532" w:rsidRPr="00792123" w:rsidRDefault="002E62CE" w:rsidP="00581532">
      <w:pPr>
        <w:spacing w:after="120"/>
        <w:ind w:firstLine="567"/>
        <w:jc w:val="both"/>
        <w:rPr>
          <w:rFonts w:ascii="Times New Roman" w:eastAsia="Calibri" w:hAnsi="Times New Roman"/>
          <w:sz w:val="26"/>
          <w:szCs w:val="26"/>
          <w:lang w:eastAsia="lv-LV"/>
        </w:rPr>
      </w:pPr>
      <w:r w:rsidRPr="00792123">
        <w:rPr>
          <w:rFonts w:ascii="Times New Roman" w:eastAsia="Calibri" w:hAnsi="Times New Roman"/>
          <w:sz w:val="26"/>
          <w:szCs w:val="26"/>
          <w:lang w:eastAsia="lv-LV"/>
        </w:rPr>
        <w:t>No 2015.gada līdz 202</w:t>
      </w:r>
      <w:r w:rsidR="00792123" w:rsidRPr="00792123">
        <w:rPr>
          <w:rFonts w:ascii="Times New Roman" w:eastAsia="Calibri" w:hAnsi="Times New Roman"/>
          <w:sz w:val="26"/>
          <w:szCs w:val="26"/>
          <w:lang w:eastAsia="lv-LV"/>
        </w:rPr>
        <w:t>2</w:t>
      </w:r>
      <w:r w:rsidRPr="00792123">
        <w:rPr>
          <w:rFonts w:ascii="Times New Roman" w:eastAsia="Calibri" w:hAnsi="Times New Roman"/>
          <w:sz w:val="26"/>
          <w:szCs w:val="26"/>
          <w:lang w:eastAsia="lv-LV"/>
        </w:rPr>
        <w:t xml:space="preserve">.gada 31.decembrim atkārtotu atļauju ir pieprasījuši </w:t>
      </w:r>
      <w:r w:rsidR="00792123" w:rsidRPr="00792123">
        <w:rPr>
          <w:rFonts w:ascii="Times New Roman" w:eastAsia="Calibri" w:hAnsi="Times New Roman"/>
          <w:sz w:val="26"/>
          <w:szCs w:val="26"/>
          <w:lang w:eastAsia="lv-LV"/>
        </w:rPr>
        <w:t>11 173</w:t>
      </w:r>
      <w:r w:rsidRPr="00792123">
        <w:rPr>
          <w:rFonts w:ascii="Times New Roman" w:eastAsia="Calibri" w:hAnsi="Times New Roman"/>
          <w:sz w:val="26"/>
          <w:szCs w:val="26"/>
          <w:lang w:eastAsia="lv-LV"/>
        </w:rPr>
        <w:t xml:space="preserve"> ārzemnieki, tajā skaitā, </w:t>
      </w:r>
      <w:r w:rsidR="00792123" w:rsidRPr="00792123">
        <w:rPr>
          <w:rFonts w:ascii="Times New Roman" w:eastAsia="Calibri" w:hAnsi="Times New Roman"/>
          <w:sz w:val="26"/>
          <w:szCs w:val="26"/>
          <w:lang w:eastAsia="lv-LV"/>
        </w:rPr>
        <w:t>5350</w:t>
      </w:r>
      <w:r w:rsidRPr="00792123">
        <w:rPr>
          <w:rFonts w:ascii="Times New Roman" w:eastAsia="Calibri" w:hAnsi="Times New Roman"/>
          <w:sz w:val="26"/>
          <w:szCs w:val="26"/>
          <w:lang w:eastAsia="lv-LV"/>
        </w:rPr>
        <w:t xml:space="preserve"> investori un </w:t>
      </w:r>
      <w:r w:rsidR="00792123" w:rsidRPr="00792123">
        <w:rPr>
          <w:rFonts w:ascii="Times New Roman" w:eastAsia="Calibri" w:hAnsi="Times New Roman"/>
          <w:sz w:val="26"/>
          <w:szCs w:val="26"/>
          <w:lang w:eastAsia="lv-LV"/>
        </w:rPr>
        <w:t>5823</w:t>
      </w:r>
      <w:r w:rsidRPr="00792123">
        <w:rPr>
          <w:rFonts w:ascii="Times New Roman" w:eastAsia="Calibri" w:hAnsi="Times New Roman"/>
          <w:sz w:val="26"/>
          <w:szCs w:val="26"/>
          <w:lang w:eastAsia="lv-LV"/>
        </w:rPr>
        <w:t xml:space="preserve"> investoru ģimenes locekļi. </w:t>
      </w:r>
      <w:r w:rsidR="00792123" w:rsidRPr="00792123">
        <w:rPr>
          <w:rFonts w:ascii="Times New Roman" w:eastAsia="Calibri" w:hAnsi="Times New Roman"/>
          <w:sz w:val="26"/>
          <w:szCs w:val="26"/>
          <w:lang w:eastAsia="lv-LV"/>
        </w:rPr>
        <w:t>8803</w:t>
      </w:r>
      <w:r w:rsidRPr="00792123">
        <w:rPr>
          <w:rFonts w:ascii="Times New Roman" w:eastAsia="Calibri" w:hAnsi="Times New Roman"/>
          <w:sz w:val="26"/>
          <w:szCs w:val="26"/>
          <w:lang w:eastAsia="lv-LV"/>
        </w:rPr>
        <w:t xml:space="preserve"> personām ir pieņemts lēmums par TUA piešķiršanu, 15</w:t>
      </w:r>
      <w:r w:rsidR="00792123" w:rsidRPr="00792123">
        <w:rPr>
          <w:rFonts w:ascii="Times New Roman" w:eastAsia="Calibri" w:hAnsi="Times New Roman"/>
          <w:sz w:val="26"/>
          <w:szCs w:val="26"/>
          <w:lang w:eastAsia="lv-LV"/>
        </w:rPr>
        <w:t>78</w:t>
      </w:r>
      <w:r w:rsidRPr="00792123">
        <w:rPr>
          <w:rFonts w:ascii="Times New Roman" w:eastAsia="Calibri" w:hAnsi="Times New Roman"/>
          <w:sz w:val="26"/>
          <w:szCs w:val="26"/>
          <w:lang w:eastAsia="lv-LV"/>
        </w:rPr>
        <w:t xml:space="preserve"> – par PUA piešķiršanu, bet </w:t>
      </w:r>
      <w:r w:rsidR="00792123" w:rsidRPr="00792123">
        <w:rPr>
          <w:rFonts w:ascii="Times New Roman" w:eastAsia="Calibri" w:hAnsi="Times New Roman"/>
          <w:sz w:val="26"/>
          <w:szCs w:val="26"/>
          <w:lang w:eastAsia="lv-LV"/>
        </w:rPr>
        <w:t>664</w:t>
      </w:r>
      <w:r w:rsidRPr="00792123">
        <w:rPr>
          <w:rFonts w:ascii="Times New Roman" w:eastAsia="Calibri" w:hAnsi="Times New Roman"/>
          <w:sz w:val="26"/>
          <w:szCs w:val="26"/>
          <w:lang w:eastAsia="lv-LV"/>
        </w:rPr>
        <w:t xml:space="preserve"> gadījumos uzturēšanās atļaujas izsniegšana ir atteikta. </w:t>
      </w:r>
      <w:r w:rsidR="00792123" w:rsidRPr="00792123">
        <w:rPr>
          <w:rFonts w:ascii="Times New Roman" w:eastAsia="Calibri" w:hAnsi="Times New Roman"/>
          <w:sz w:val="26"/>
          <w:szCs w:val="26"/>
          <w:lang w:eastAsia="lv-LV"/>
        </w:rPr>
        <w:t>132</w:t>
      </w:r>
      <w:r w:rsidRPr="00792123">
        <w:rPr>
          <w:rFonts w:ascii="Times New Roman" w:eastAsia="Calibri" w:hAnsi="Times New Roman"/>
          <w:sz w:val="26"/>
          <w:szCs w:val="26"/>
          <w:lang w:eastAsia="lv-LV"/>
        </w:rPr>
        <w:t xml:space="preserve"> pieprasījumi joprojām atrodas izskatīšanas stadijā. Detalizētāks sadalījums par atkārtotajiem uzturēšanās atļauju pieprasījumiem sadalījumā pa investīciju veidiem ir attēlots </w:t>
      </w:r>
      <w:r w:rsidR="003C6B72" w:rsidRPr="00792123">
        <w:rPr>
          <w:rFonts w:ascii="Times New Roman" w:eastAsia="Calibri" w:hAnsi="Times New Roman"/>
          <w:sz w:val="26"/>
          <w:szCs w:val="26"/>
          <w:lang w:eastAsia="lv-LV"/>
        </w:rPr>
        <w:t>2</w:t>
      </w:r>
      <w:r w:rsidRPr="00792123">
        <w:rPr>
          <w:rFonts w:ascii="Times New Roman" w:eastAsia="Calibri" w:hAnsi="Times New Roman"/>
          <w:sz w:val="26"/>
          <w:szCs w:val="26"/>
          <w:lang w:eastAsia="lv-LV"/>
        </w:rPr>
        <w:t>.tabulā.</w:t>
      </w:r>
    </w:p>
    <w:p w14:paraId="10E06D4A" w14:textId="77777777" w:rsidR="00581532" w:rsidRPr="007320CD" w:rsidRDefault="00581532" w:rsidP="00581532">
      <w:pPr>
        <w:spacing w:after="120"/>
        <w:ind w:left="5040" w:firstLine="720"/>
        <w:jc w:val="both"/>
        <w:rPr>
          <w:rFonts w:ascii="Times New Roman" w:eastAsia="Calibri" w:hAnsi="Times New Roman"/>
          <w:sz w:val="26"/>
          <w:szCs w:val="26"/>
          <w:highlight w:val="yellow"/>
          <w:lang w:eastAsia="lv-LV"/>
        </w:rPr>
      </w:pPr>
    </w:p>
    <w:p w14:paraId="72A9D458" w14:textId="77777777" w:rsidR="00581532" w:rsidRPr="007320CD" w:rsidRDefault="00581532" w:rsidP="00581532">
      <w:pPr>
        <w:spacing w:after="120"/>
        <w:ind w:left="5040" w:firstLine="720"/>
        <w:jc w:val="both"/>
        <w:rPr>
          <w:rFonts w:ascii="Times New Roman" w:eastAsia="Calibri" w:hAnsi="Times New Roman"/>
          <w:sz w:val="26"/>
          <w:szCs w:val="26"/>
          <w:highlight w:val="yellow"/>
          <w:lang w:eastAsia="lv-LV"/>
        </w:rPr>
      </w:pPr>
    </w:p>
    <w:p w14:paraId="43C42759" w14:textId="035C95BA" w:rsidR="00A1706D" w:rsidRPr="009936BF" w:rsidRDefault="003C6B72" w:rsidP="00581532">
      <w:pPr>
        <w:spacing w:after="120"/>
        <w:ind w:left="7200" w:firstLine="720"/>
        <w:jc w:val="both"/>
        <w:rPr>
          <w:rFonts w:ascii="Times New Roman" w:eastAsiaTheme="minorHAnsi" w:hAnsi="Times New Roman" w:cstheme="minorBidi"/>
          <w:sz w:val="26"/>
          <w:szCs w:val="26"/>
        </w:rPr>
      </w:pPr>
      <w:r w:rsidRPr="009936BF">
        <w:rPr>
          <w:rFonts w:ascii="Times New Roman" w:eastAsiaTheme="minorHAnsi" w:hAnsi="Times New Roman" w:cstheme="minorBidi"/>
          <w:sz w:val="26"/>
          <w:szCs w:val="26"/>
        </w:rPr>
        <w:t>2</w:t>
      </w:r>
      <w:r w:rsidR="00A1706D" w:rsidRPr="009936BF">
        <w:rPr>
          <w:rFonts w:ascii="Times New Roman" w:eastAsiaTheme="minorHAnsi" w:hAnsi="Times New Roman" w:cstheme="minorBidi"/>
          <w:sz w:val="26"/>
          <w:szCs w:val="26"/>
        </w:rPr>
        <w:t>.tabula</w:t>
      </w:r>
    </w:p>
    <w:p w14:paraId="57264F1B" w14:textId="26CDC7F8" w:rsidR="00A1706D" w:rsidRPr="009936BF" w:rsidRDefault="00A1706D" w:rsidP="00A1706D">
      <w:pPr>
        <w:spacing w:after="120"/>
        <w:ind w:right="11" w:firstLine="567"/>
        <w:jc w:val="center"/>
        <w:rPr>
          <w:rFonts w:ascii="Times New Roman" w:eastAsiaTheme="minorHAnsi" w:hAnsi="Times New Roman" w:cstheme="minorBidi"/>
          <w:b/>
          <w:sz w:val="24"/>
          <w:szCs w:val="24"/>
        </w:rPr>
      </w:pPr>
      <w:r w:rsidRPr="009936BF">
        <w:rPr>
          <w:rFonts w:ascii="Times New Roman" w:eastAsiaTheme="minorHAnsi" w:hAnsi="Times New Roman" w:cstheme="minorBidi"/>
          <w:b/>
          <w:sz w:val="24"/>
          <w:szCs w:val="24"/>
        </w:rPr>
        <w:t>Atkārtotu uzturēšanās atļauju pieprasījumi</w:t>
      </w:r>
      <w:r w:rsidR="008E7A45" w:rsidRPr="009936BF">
        <w:rPr>
          <w:rFonts w:ascii="Times New Roman" w:eastAsiaTheme="minorHAnsi" w:hAnsi="Times New Roman" w:cstheme="minorBidi"/>
          <w:b/>
          <w:sz w:val="24"/>
          <w:szCs w:val="24"/>
        </w:rPr>
        <w:t xml:space="preserve"> </w:t>
      </w:r>
      <w:r w:rsidR="00AF3297" w:rsidRPr="009936BF">
        <w:rPr>
          <w:rFonts w:ascii="Times New Roman" w:eastAsiaTheme="minorHAnsi" w:hAnsi="Times New Roman" w:cstheme="minorBidi"/>
          <w:b/>
          <w:sz w:val="24"/>
          <w:szCs w:val="24"/>
        </w:rPr>
        <w:t>01.</w:t>
      </w:r>
      <w:r w:rsidR="008E7A45" w:rsidRPr="009936BF">
        <w:rPr>
          <w:rFonts w:ascii="Times New Roman" w:eastAsiaTheme="minorHAnsi" w:hAnsi="Times New Roman" w:cstheme="minorBidi"/>
          <w:b/>
          <w:sz w:val="24"/>
          <w:szCs w:val="24"/>
        </w:rPr>
        <w:t>07.2015.-</w:t>
      </w:r>
      <w:r w:rsidR="002874E0" w:rsidRPr="009936BF">
        <w:rPr>
          <w:rFonts w:ascii="Times New Roman" w:eastAsiaTheme="minorHAnsi" w:hAnsi="Times New Roman" w:cstheme="minorBidi"/>
          <w:b/>
          <w:sz w:val="24"/>
          <w:szCs w:val="24"/>
        </w:rPr>
        <w:t>31.12.202</w:t>
      </w:r>
      <w:r w:rsidR="009936BF">
        <w:rPr>
          <w:rFonts w:ascii="Times New Roman" w:eastAsiaTheme="minorHAnsi" w:hAnsi="Times New Roman" w:cstheme="minorBidi"/>
          <w:b/>
          <w:sz w:val="24"/>
          <w:szCs w:val="24"/>
        </w:rPr>
        <w:t>2</w:t>
      </w:r>
      <w:r w:rsidR="008E7A45" w:rsidRPr="009936BF">
        <w:rPr>
          <w:rFonts w:ascii="Times New Roman" w:eastAsiaTheme="minorHAnsi" w:hAnsi="Times New Roman" w:cstheme="minorBidi"/>
          <w:b/>
          <w:sz w:val="24"/>
          <w:szCs w:val="24"/>
        </w:rPr>
        <w:t>.</w:t>
      </w:r>
      <w:r w:rsidR="003A4F67" w:rsidRPr="009936BF">
        <w:rPr>
          <w:rFonts w:ascii="Times New Roman" w:eastAsiaTheme="minorHAnsi" w:hAnsi="Times New Roman" w:cstheme="minorBidi"/>
          <w:b/>
          <w:sz w:val="24"/>
          <w:szCs w:val="24"/>
        </w:rPr>
        <w:t xml:space="preserve"> </w:t>
      </w:r>
    </w:p>
    <w:tbl>
      <w:tblPr>
        <w:tblStyle w:val="TableGrid"/>
        <w:tblW w:w="0" w:type="auto"/>
        <w:jc w:val="right"/>
        <w:tblLook w:val="04A0" w:firstRow="1" w:lastRow="0" w:firstColumn="1" w:lastColumn="0" w:noHBand="0" w:noVBand="1"/>
      </w:tblPr>
      <w:tblGrid>
        <w:gridCol w:w="2028"/>
        <w:gridCol w:w="1580"/>
        <w:gridCol w:w="1420"/>
        <w:gridCol w:w="1420"/>
        <w:gridCol w:w="1329"/>
        <w:gridCol w:w="1471"/>
      </w:tblGrid>
      <w:tr w:rsidR="00A1706D" w:rsidRPr="007320CD" w14:paraId="435C7B65" w14:textId="77777777" w:rsidTr="0079434E">
        <w:trPr>
          <w:jc w:val="right"/>
        </w:trPr>
        <w:tc>
          <w:tcPr>
            <w:tcW w:w="2028" w:type="dxa"/>
          </w:tcPr>
          <w:p w14:paraId="73B5AD7A" w14:textId="77777777" w:rsidR="00A1706D" w:rsidRPr="007320CD" w:rsidRDefault="00A1706D" w:rsidP="00A1706D">
            <w:pPr>
              <w:spacing w:after="120"/>
              <w:ind w:right="11"/>
              <w:jc w:val="center"/>
              <w:rPr>
                <w:rFonts w:ascii="Times New Roman" w:eastAsiaTheme="minorHAnsi" w:hAnsi="Times New Roman" w:cstheme="minorBidi"/>
                <w:sz w:val="24"/>
                <w:szCs w:val="24"/>
                <w:highlight w:val="yellow"/>
              </w:rPr>
            </w:pPr>
          </w:p>
        </w:tc>
        <w:tc>
          <w:tcPr>
            <w:tcW w:w="1580" w:type="dxa"/>
          </w:tcPr>
          <w:p w14:paraId="1BCD0607" w14:textId="7516CE5C" w:rsidR="00A1706D" w:rsidRPr="0018220A" w:rsidRDefault="00162886" w:rsidP="00A1706D">
            <w:pPr>
              <w:spacing w:after="120"/>
              <w:ind w:right="11"/>
              <w:jc w:val="center"/>
              <w:rPr>
                <w:rFonts w:ascii="Times New Roman" w:eastAsiaTheme="minorHAnsi" w:hAnsi="Times New Roman" w:cstheme="minorBidi"/>
                <w:sz w:val="24"/>
                <w:szCs w:val="24"/>
              </w:rPr>
            </w:pPr>
            <w:r w:rsidRPr="0018220A">
              <w:rPr>
                <w:rFonts w:ascii="Times New Roman" w:eastAsiaTheme="minorHAnsi" w:hAnsi="Times New Roman" w:cstheme="minorBidi"/>
                <w:sz w:val="24"/>
                <w:szCs w:val="24"/>
              </w:rPr>
              <w:t xml:space="preserve">Atkārtoto </w:t>
            </w:r>
            <w:r w:rsidR="00D10D03" w:rsidRPr="0018220A">
              <w:rPr>
                <w:rFonts w:ascii="Times New Roman" w:eastAsiaTheme="minorHAnsi" w:hAnsi="Times New Roman" w:cstheme="minorBidi"/>
                <w:sz w:val="24"/>
                <w:szCs w:val="24"/>
              </w:rPr>
              <w:t>uzturēšanās atļauju</w:t>
            </w:r>
            <w:r w:rsidR="00A1706D" w:rsidRPr="0018220A">
              <w:rPr>
                <w:rFonts w:ascii="Times New Roman" w:eastAsiaTheme="minorHAnsi" w:hAnsi="Times New Roman" w:cstheme="minorBidi"/>
                <w:sz w:val="24"/>
                <w:szCs w:val="24"/>
              </w:rPr>
              <w:t xml:space="preserve"> pieprasījumu skaits</w:t>
            </w:r>
          </w:p>
        </w:tc>
        <w:tc>
          <w:tcPr>
            <w:tcW w:w="1420" w:type="dxa"/>
          </w:tcPr>
          <w:p w14:paraId="236CF2D1" w14:textId="77777777" w:rsidR="00A1706D" w:rsidRPr="0018220A" w:rsidRDefault="00A1706D" w:rsidP="00A1706D">
            <w:pPr>
              <w:spacing w:after="120"/>
              <w:ind w:right="11"/>
              <w:jc w:val="center"/>
              <w:rPr>
                <w:rFonts w:ascii="Times New Roman" w:eastAsiaTheme="minorHAnsi" w:hAnsi="Times New Roman" w:cstheme="minorBidi"/>
                <w:sz w:val="24"/>
                <w:szCs w:val="24"/>
              </w:rPr>
            </w:pPr>
            <w:r w:rsidRPr="0018220A">
              <w:rPr>
                <w:rFonts w:ascii="Times New Roman" w:eastAsiaTheme="minorHAnsi" w:hAnsi="Times New Roman" w:cstheme="minorBidi"/>
                <w:sz w:val="24"/>
                <w:szCs w:val="24"/>
              </w:rPr>
              <w:t>Pieņemts lēmums par TUA piešķiršanu</w:t>
            </w:r>
          </w:p>
        </w:tc>
        <w:tc>
          <w:tcPr>
            <w:tcW w:w="1420" w:type="dxa"/>
          </w:tcPr>
          <w:p w14:paraId="25ABFF37" w14:textId="77777777" w:rsidR="00A1706D" w:rsidRPr="0018220A" w:rsidRDefault="00A1706D" w:rsidP="00A1706D">
            <w:pPr>
              <w:spacing w:after="120"/>
              <w:ind w:right="11"/>
              <w:jc w:val="center"/>
              <w:rPr>
                <w:rFonts w:ascii="Times New Roman" w:eastAsiaTheme="minorHAnsi" w:hAnsi="Times New Roman" w:cstheme="minorBidi"/>
                <w:sz w:val="24"/>
                <w:szCs w:val="24"/>
              </w:rPr>
            </w:pPr>
            <w:r w:rsidRPr="0018220A">
              <w:rPr>
                <w:rFonts w:ascii="Times New Roman" w:eastAsiaTheme="minorHAnsi" w:hAnsi="Times New Roman" w:cstheme="minorBidi"/>
                <w:sz w:val="24"/>
                <w:szCs w:val="24"/>
              </w:rPr>
              <w:t>Pieņemts lēmums par PUA piešķiršanu</w:t>
            </w:r>
          </w:p>
        </w:tc>
        <w:tc>
          <w:tcPr>
            <w:tcW w:w="1329" w:type="dxa"/>
          </w:tcPr>
          <w:p w14:paraId="526A98CD" w14:textId="77777777" w:rsidR="00A1706D" w:rsidRPr="0018220A" w:rsidRDefault="00A1706D" w:rsidP="00A1706D">
            <w:pPr>
              <w:spacing w:after="120"/>
              <w:ind w:right="11"/>
              <w:jc w:val="center"/>
              <w:rPr>
                <w:rFonts w:ascii="Times New Roman" w:eastAsiaTheme="minorHAnsi" w:hAnsi="Times New Roman" w:cstheme="minorBidi"/>
                <w:sz w:val="24"/>
                <w:szCs w:val="24"/>
              </w:rPr>
            </w:pPr>
            <w:r w:rsidRPr="0018220A">
              <w:rPr>
                <w:rFonts w:ascii="Times New Roman" w:eastAsiaTheme="minorHAnsi" w:hAnsi="Times New Roman" w:cstheme="minorBidi"/>
                <w:sz w:val="24"/>
                <w:szCs w:val="24"/>
              </w:rPr>
              <w:t>Atteikums</w:t>
            </w:r>
          </w:p>
        </w:tc>
        <w:tc>
          <w:tcPr>
            <w:tcW w:w="1471" w:type="dxa"/>
          </w:tcPr>
          <w:p w14:paraId="5E74D6AC" w14:textId="77777777" w:rsidR="00A1706D" w:rsidRPr="0018220A" w:rsidRDefault="00A1706D" w:rsidP="00A1706D">
            <w:pPr>
              <w:spacing w:after="120"/>
              <w:ind w:right="11"/>
              <w:jc w:val="center"/>
              <w:rPr>
                <w:rFonts w:ascii="Times New Roman" w:eastAsiaTheme="minorHAnsi" w:hAnsi="Times New Roman" w:cstheme="minorBidi"/>
                <w:sz w:val="24"/>
                <w:szCs w:val="24"/>
              </w:rPr>
            </w:pPr>
            <w:r w:rsidRPr="0018220A">
              <w:rPr>
                <w:rFonts w:ascii="Times New Roman" w:eastAsiaTheme="minorHAnsi" w:hAnsi="Times New Roman" w:cstheme="minorBidi"/>
                <w:sz w:val="24"/>
                <w:szCs w:val="24"/>
              </w:rPr>
              <w:t>Pieteikums atrodas izskatīšanas stadijā</w:t>
            </w:r>
          </w:p>
        </w:tc>
      </w:tr>
      <w:tr w:rsidR="00A1706D" w:rsidRPr="007320CD" w14:paraId="0828076C" w14:textId="77777777" w:rsidTr="0079434E">
        <w:trPr>
          <w:jc w:val="right"/>
        </w:trPr>
        <w:tc>
          <w:tcPr>
            <w:tcW w:w="2028" w:type="dxa"/>
            <w:shd w:val="clear" w:color="auto" w:fill="auto"/>
          </w:tcPr>
          <w:p w14:paraId="4DF6B5A5" w14:textId="77777777" w:rsidR="00A1706D" w:rsidRPr="0018220A" w:rsidRDefault="00A1706D" w:rsidP="00A1706D">
            <w:pPr>
              <w:spacing w:after="120"/>
              <w:ind w:right="11"/>
              <w:jc w:val="right"/>
              <w:rPr>
                <w:rFonts w:ascii="Times New Roman" w:eastAsiaTheme="minorHAnsi" w:hAnsi="Times New Roman" w:cstheme="minorBidi"/>
                <w:b/>
                <w:sz w:val="24"/>
                <w:szCs w:val="24"/>
              </w:rPr>
            </w:pPr>
            <w:r w:rsidRPr="0018220A">
              <w:rPr>
                <w:rFonts w:ascii="Times New Roman" w:eastAsiaTheme="minorHAnsi" w:hAnsi="Times New Roman" w:cstheme="minorBidi"/>
                <w:b/>
                <w:sz w:val="24"/>
                <w:szCs w:val="24"/>
              </w:rPr>
              <w:t>Ieguldītāji kapitālsabiedrībā</w:t>
            </w:r>
          </w:p>
        </w:tc>
        <w:tc>
          <w:tcPr>
            <w:tcW w:w="1580" w:type="dxa"/>
            <w:shd w:val="clear" w:color="auto" w:fill="auto"/>
            <w:vAlign w:val="center"/>
          </w:tcPr>
          <w:p w14:paraId="0CA3609F" w14:textId="213DA237" w:rsidR="00A1706D" w:rsidRPr="0018220A" w:rsidRDefault="009F4AF7" w:rsidP="00EC511A">
            <w:pPr>
              <w:ind w:right="11"/>
              <w:jc w:val="right"/>
              <w:rPr>
                <w:rFonts w:ascii="Times New Roman" w:eastAsiaTheme="minorHAnsi" w:hAnsi="Times New Roman"/>
                <w:b/>
                <w:sz w:val="24"/>
                <w:szCs w:val="24"/>
              </w:rPr>
            </w:pPr>
            <w:r w:rsidRPr="0018220A">
              <w:rPr>
                <w:rFonts w:ascii="Times New Roman" w:eastAsiaTheme="minorHAnsi" w:hAnsi="Times New Roman"/>
                <w:b/>
                <w:sz w:val="24"/>
                <w:szCs w:val="24"/>
              </w:rPr>
              <w:t>1</w:t>
            </w:r>
            <w:r w:rsidR="0018220A" w:rsidRPr="0018220A">
              <w:rPr>
                <w:rFonts w:ascii="Times New Roman" w:eastAsiaTheme="minorHAnsi" w:hAnsi="Times New Roman"/>
                <w:b/>
                <w:sz w:val="24"/>
                <w:szCs w:val="24"/>
              </w:rPr>
              <w:t>59</w:t>
            </w:r>
          </w:p>
        </w:tc>
        <w:tc>
          <w:tcPr>
            <w:tcW w:w="1420" w:type="dxa"/>
            <w:shd w:val="clear" w:color="auto" w:fill="auto"/>
            <w:vAlign w:val="center"/>
          </w:tcPr>
          <w:p w14:paraId="72BE79E4" w14:textId="2E0C6753" w:rsidR="00A1706D" w:rsidRPr="0018220A" w:rsidRDefault="00B424F0" w:rsidP="0018220A">
            <w:pPr>
              <w:ind w:right="11"/>
              <w:jc w:val="right"/>
              <w:rPr>
                <w:rFonts w:ascii="Times New Roman" w:eastAsiaTheme="minorHAnsi" w:hAnsi="Times New Roman"/>
                <w:b/>
                <w:sz w:val="24"/>
                <w:szCs w:val="24"/>
              </w:rPr>
            </w:pPr>
            <w:r w:rsidRPr="0018220A">
              <w:rPr>
                <w:rFonts w:ascii="Times New Roman" w:eastAsiaTheme="minorHAnsi" w:hAnsi="Times New Roman"/>
                <w:b/>
                <w:sz w:val="24"/>
                <w:szCs w:val="24"/>
              </w:rPr>
              <w:t>10</w:t>
            </w:r>
            <w:r w:rsidR="0018220A" w:rsidRPr="0018220A">
              <w:rPr>
                <w:rFonts w:ascii="Times New Roman" w:eastAsiaTheme="minorHAnsi" w:hAnsi="Times New Roman"/>
                <w:b/>
                <w:sz w:val="24"/>
                <w:szCs w:val="24"/>
              </w:rPr>
              <w:t>8</w:t>
            </w:r>
          </w:p>
        </w:tc>
        <w:tc>
          <w:tcPr>
            <w:tcW w:w="1420" w:type="dxa"/>
            <w:shd w:val="clear" w:color="auto" w:fill="auto"/>
            <w:vAlign w:val="center"/>
          </w:tcPr>
          <w:p w14:paraId="105720A2" w14:textId="4C217067" w:rsidR="00A1706D" w:rsidRPr="0018220A" w:rsidRDefault="00B424F0" w:rsidP="009F4AF7">
            <w:pPr>
              <w:ind w:right="11"/>
              <w:jc w:val="right"/>
              <w:rPr>
                <w:rFonts w:ascii="Times New Roman" w:eastAsiaTheme="minorHAnsi" w:hAnsi="Times New Roman"/>
                <w:b/>
                <w:sz w:val="24"/>
                <w:szCs w:val="24"/>
              </w:rPr>
            </w:pPr>
            <w:r w:rsidRPr="0018220A">
              <w:rPr>
                <w:rFonts w:ascii="Times New Roman" w:eastAsiaTheme="minorHAnsi" w:hAnsi="Times New Roman"/>
                <w:b/>
                <w:sz w:val="24"/>
                <w:szCs w:val="24"/>
              </w:rPr>
              <w:t>28</w:t>
            </w:r>
          </w:p>
        </w:tc>
        <w:tc>
          <w:tcPr>
            <w:tcW w:w="1329" w:type="dxa"/>
            <w:shd w:val="clear" w:color="auto" w:fill="auto"/>
            <w:vAlign w:val="center"/>
          </w:tcPr>
          <w:p w14:paraId="798BA39D" w14:textId="5E303DD7" w:rsidR="00A1706D" w:rsidRPr="0018220A" w:rsidRDefault="0018220A" w:rsidP="00B424F0">
            <w:pPr>
              <w:ind w:right="11"/>
              <w:jc w:val="right"/>
              <w:rPr>
                <w:rFonts w:ascii="Times New Roman" w:eastAsiaTheme="minorHAnsi" w:hAnsi="Times New Roman"/>
                <w:b/>
                <w:sz w:val="24"/>
                <w:szCs w:val="24"/>
              </w:rPr>
            </w:pPr>
            <w:r w:rsidRPr="0018220A">
              <w:rPr>
                <w:rFonts w:ascii="Times New Roman" w:eastAsiaTheme="minorHAnsi" w:hAnsi="Times New Roman"/>
                <w:b/>
                <w:sz w:val="24"/>
                <w:szCs w:val="24"/>
              </w:rPr>
              <w:t>23</w:t>
            </w:r>
          </w:p>
        </w:tc>
        <w:tc>
          <w:tcPr>
            <w:tcW w:w="1471" w:type="dxa"/>
            <w:shd w:val="clear" w:color="auto" w:fill="auto"/>
            <w:vAlign w:val="center"/>
          </w:tcPr>
          <w:p w14:paraId="7D10CA26" w14:textId="521D6BDA" w:rsidR="00A1706D" w:rsidRPr="0018220A" w:rsidRDefault="0018220A" w:rsidP="00162886">
            <w:pPr>
              <w:ind w:right="11"/>
              <w:jc w:val="right"/>
              <w:rPr>
                <w:rFonts w:ascii="Times New Roman" w:eastAsiaTheme="minorHAnsi" w:hAnsi="Times New Roman"/>
                <w:b/>
                <w:sz w:val="24"/>
                <w:szCs w:val="24"/>
              </w:rPr>
            </w:pPr>
            <w:r w:rsidRPr="0018220A">
              <w:rPr>
                <w:rFonts w:ascii="Times New Roman" w:eastAsiaTheme="minorHAnsi" w:hAnsi="Times New Roman"/>
                <w:b/>
                <w:sz w:val="24"/>
                <w:szCs w:val="24"/>
              </w:rPr>
              <w:t>4</w:t>
            </w:r>
          </w:p>
        </w:tc>
      </w:tr>
      <w:tr w:rsidR="003637F5" w:rsidRPr="007320CD" w14:paraId="63B5E2F7" w14:textId="77777777" w:rsidTr="0079434E">
        <w:trPr>
          <w:jc w:val="right"/>
        </w:trPr>
        <w:tc>
          <w:tcPr>
            <w:tcW w:w="2028" w:type="dxa"/>
            <w:shd w:val="clear" w:color="auto" w:fill="auto"/>
          </w:tcPr>
          <w:p w14:paraId="02B17834" w14:textId="77777777" w:rsidR="003637F5" w:rsidRPr="0018220A" w:rsidRDefault="003637F5" w:rsidP="003637F5">
            <w:pPr>
              <w:spacing w:after="120"/>
              <w:ind w:right="11"/>
              <w:jc w:val="right"/>
              <w:rPr>
                <w:rFonts w:ascii="Times New Roman" w:eastAsiaTheme="minorHAnsi" w:hAnsi="Times New Roman" w:cstheme="minorBidi"/>
                <w:sz w:val="24"/>
                <w:szCs w:val="24"/>
              </w:rPr>
            </w:pPr>
            <w:r w:rsidRPr="0018220A">
              <w:rPr>
                <w:rFonts w:ascii="Times New Roman" w:eastAsiaTheme="minorHAnsi" w:hAnsi="Times New Roman" w:cstheme="minorBidi"/>
                <w:sz w:val="24"/>
                <w:szCs w:val="24"/>
              </w:rPr>
              <w:t>t.sk., investori</w:t>
            </w:r>
          </w:p>
        </w:tc>
        <w:tc>
          <w:tcPr>
            <w:tcW w:w="1580" w:type="dxa"/>
            <w:shd w:val="clear" w:color="auto" w:fill="auto"/>
            <w:vAlign w:val="center"/>
          </w:tcPr>
          <w:p w14:paraId="6D5D1EAE" w14:textId="2CB3D270" w:rsidR="003637F5" w:rsidRPr="0018220A" w:rsidRDefault="0018220A" w:rsidP="001872F9">
            <w:pPr>
              <w:jc w:val="right"/>
              <w:rPr>
                <w:rFonts w:ascii="Times New Roman" w:eastAsiaTheme="minorHAnsi" w:hAnsi="Times New Roman"/>
                <w:sz w:val="24"/>
                <w:szCs w:val="24"/>
              </w:rPr>
            </w:pPr>
            <w:r w:rsidRPr="0018220A">
              <w:rPr>
                <w:rFonts w:ascii="Times New Roman" w:eastAsiaTheme="minorHAnsi" w:hAnsi="Times New Roman"/>
                <w:sz w:val="24"/>
                <w:szCs w:val="24"/>
              </w:rPr>
              <w:t>80</w:t>
            </w:r>
          </w:p>
        </w:tc>
        <w:tc>
          <w:tcPr>
            <w:tcW w:w="1420" w:type="dxa"/>
            <w:shd w:val="clear" w:color="auto" w:fill="auto"/>
            <w:vAlign w:val="center"/>
          </w:tcPr>
          <w:p w14:paraId="286EF778" w14:textId="11513C39" w:rsidR="003637F5" w:rsidRPr="0018220A" w:rsidRDefault="0018220A" w:rsidP="00162886">
            <w:pPr>
              <w:jc w:val="right"/>
              <w:rPr>
                <w:rFonts w:ascii="Times New Roman" w:eastAsiaTheme="minorHAnsi" w:hAnsi="Times New Roman"/>
                <w:sz w:val="24"/>
                <w:szCs w:val="24"/>
              </w:rPr>
            </w:pPr>
            <w:r w:rsidRPr="0018220A">
              <w:rPr>
                <w:rFonts w:ascii="Times New Roman" w:eastAsiaTheme="minorHAnsi" w:hAnsi="Times New Roman"/>
                <w:sz w:val="24"/>
                <w:szCs w:val="24"/>
              </w:rPr>
              <w:t>56</w:t>
            </w:r>
          </w:p>
        </w:tc>
        <w:tc>
          <w:tcPr>
            <w:tcW w:w="1420" w:type="dxa"/>
            <w:shd w:val="clear" w:color="auto" w:fill="auto"/>
            <w:vAlign w:val="center"/>
          </w:tcPr>
          <w:p w14:paraId="4418838C" w14:textId="22F80167" w:rsidR="003637F5" w:rsidRPr="0018220A" w:rsidRDefault="00B424F0" w:rsidP="00162886">
            <w:pPr>
              <w:jc w:val="right"/>
              <w:rPr>
                <w:rFonts w:ascii="Times New Roman" w:eastAsiaTheme="minorHAnsi" w:hAnsi="Times New Roman"/>
                <w:sz w:val="24"/>
                <w:szCs w:val="24"/>
              </w:rPr>
            </w:pPr>
            <w:r w:rsidRPr="0018220A">
              <w:rPr>
                <w:rFonts w:ascii="Times New Roman" w:eastAsiaTheme="minorHAnsi" w:hAnsi="Times New Roman"/>
                <w:sz w:val="24"/>
                <w:szCs w:val="24"/>
              </w:rPr>
              <w:t>12</w:t>
            </w:r>
          </w:p>
        </w:tc>
        <w:tc>
          <w:tcPr>
            <w:tcW w:w="1329" w:type="dxa"/>
            <w:shd w:val="clear" w:color="auto" w:fill="auto"/>
            <w:vAlign w:val="center"/>
          </w:tcPr>
          <w:p w14:paraId="7B7B5A3D" w14:textId="66DE0F03" w:rsidR="003637F5" w:rsidRPr="0018220A" w:rsidRDefault="0018220A" w:rsidP="00162886">
            <w:pPr>
              <w:jc w:val="right"/>
              <w:rPr>
                <w:rFonts w:ascii="Times New Roman" w:eastAsiaTheme="minorHAnsi" w:hAnsi="Times New Roman"/>
                <w:sz w:val="24"/>
                <w:szCs w:val="24"/>
              </w:rPr>
            </w:pPr>
            <w:r w:rsidRPr="0018220A">
              <w:rPr>
                <w:rFonts w:ascii="Times New Roman" w:eastAsiaTheme="minorHAnsi" w:hAnsi="Times New Roman"/>
                <w:sz w:val="24"/>
                <w:szCs w:val="24"/>
              </w:rPr>
              <w:t>12</w:t>
            </w:r>
          </w:p>
        </w:tc>
        <w:tc>
          <w:tcPr>
            <w:tcW w:w="1471" w:type="dxa"/>
            <w:shd w:val="clear" w:color="auto" w:fill="auto"/>
            <w:vAlign w:val="center"/>
          </w:tcPr>
          <w:p w14:paraId="4641C1D5" w14:textId="3261BB2A" w:rsidR="003637F5" w:rsidRPr="0018220A" w:rsidRDefault="0018220A" w:rsidP="00162886">
            <w:pPr>
              <w:jc w:val="right"/>
              <w:rPr>
                <w:rFonts w:ascii="Times New Roman" w:eastAsiaTheme="minorHAnsi" w:hAnsi="Times New Roman"/>
                <w:sz w:val="24"/>
                <w:szCs w:val="24"/>
              </w:rPr>
            </w:pPr>
            <w:r w:rsidRPr="0018220A">
              <w:rPr>
                <w:rFonts w:ascii="Times New Roman" w:eastAsiaTheme="minorHAnsi" w:hAnsi="Times New Roman"/>
                <w:sz w:val="24"/>
                <w:szCs w:val="24"/>
              </w:rPr>
              <w:t>1</w:t>
            </w:r>
          </w:p>
        </w:tc>
      </w:tr>
      <w:tr w:rsidR="003637F5" w:rsidRPr="007320CD" w14:paraId="2B47C53B" w14:textId="77777777" w:rsidTr="0079434E">
        <w:trPr>
          <w:jc w:val="right"/>
        </w:trPr>
        <w:tc>
          <w:tcPr>
            <w:tcW w:w="2028" w:type="dxa"/>
            <w:shd w:val="clear" w:color="auto" w:fill="auto"/>
          </w:tcPr>
          <w:p w14:paraId="53D10EB9" w14:textId="77777777" w:rsidR="003637F5" w:rsidRPr="0018220A" w:rsidRDefault="003637F5" w:rsidP="003637F5">
            <w:pPr>
              <w:spacing w:after="120"/>
              <w:ind w:right="11"/>
              <w:jc w:val="right"/>
              <w:rPr>
                <w:rFonts w:ascii="Times New Roman" w:eastAsiaTheme="minorHAnsi" w:hAnsi="Times New Roman" w:cstheme="minorBidi"/>
                <w:sz w:val="24"/>
                <w:szCs w:val="24"/>
              </w:rPr>
            </w:pPr>
            <w:r w:rsidRPr="0018220A">
              <w:rPr>
                <w:rFonts w:ascii="Times New Roman" w:eastAsiaTheme="minorHAnsi" w:hAnsi="Times New Roman" w:cstheme="minorBidi"/>
                <w:sz w:val="24"/>
                <w:szCs w:val="24"/>
              </w:rPr>
              <w:t>ģimenes locekļi</w:t>
            </w:r>
          </w:p>
        </w:tc>
        <w:tc>
          <w:tcPr>
            <w:tcW w:w="1580" w:type="dxa"/>
            <w:shd w:val="clear" w:color="auto" w:fill="auto"/>
            <w:vAlign w:val="center"/>
          </w:tcPr>
          <w:p w14:paraId="162EA5C1" w14:textId="03395A1E" w:rsidR="003637F5" w:rsidRPr="0018220A" w:rsidRDefault="0018220A" w:rsidP="00162886">
            <w:pPr>
              <w:jc w:val="right"/>
              <w:rPr>
                <w:rFonts w:ascii="Times New Roman" w:eastAsiaTheme="minorHAnsi" w:hAnsi="Times New Roman"/>
                <w:sz w:val="24"/>
                <w:szCs w:val="24"/>
              </w:rPr>
            </w:pPr>
            <w:r w:rsidRPr="0018220A">
              <w:rPr>
                <w:rFonts w:ascii="Times New Roman" w:eastAsiaTheme="minorHAnsi" w:hAnsi="Times New Roman"/>
                <w:sz w:val="24"/>
                <w:szCs w:val="24"/>
              </w:rPr>
              <w:t>79</w:t>
            </w:r>
          </w:p>
        </w:tc>
        <w:tc>
          <w:tcPr>
            <w:tcW w:w="1420" w:type="dxa"/>
            <w:shd w:val="clear" w:color="auto" w:fill="auto"/>
            <w:vAlign w:val="center"/>
          </w:tcPr>
          <w:p w14:paraId="169988B9" w14:textId="33816F20" w:rsidR="003637F5" w:rsidRPr="0018220A" w:rsidRDefault="0018220A" w:rsidP="00162886">
            <w:pPr>
              <w:jc w:val="right"/>
              <w:rPr>
                <w:rFonts w:ascii="Times New Roman" w:eastAsiaTheme="minorHAnsi" w:hAnsi="Times New Roman"/>
                <w:sz w:val="24"/>
                <w:szCs w:val="24"/>
              </w:rPr>
            </w:pPr>
            <w:r w:rsidRPr="0018220A">
              <w:rPr>
                <w:rFonts w:ascii="Times New Roman" w:eastAsiaTheme="minorHAnsi" w:hAnsi="Times New Roman"/>
                <w:sz w:val="24"/>
                <w:szCs w:val="24"/>
              </w:rPr>
              <w:t>52</w:t>
            </w:r>
          </w:p>
        </w:tc>
        <w:tc>
          <w:tcPr>
            <w:tcW w:w="1420" w:type="dxa"/>
            <w:shd w:val="clear" w:color="auto" w:fill="auto"/>
            <w:vAlign w:val="center"/>
          </w:tcPr>
          <w:p w14:paraId="1B1EF01C" w14:textId="3A6A23B0" w:rsidR="003637F5" w:rsidRPr="0018220A" w:rsidRDefault="00B424F0" w:rsidP="00162886">
            <w:pPr>
              <w:jc w:val="right"/>
              <w:rPr>
                <w:rFonts w:ascii="Times New Roman" w:eastAsiaTheme="minorHAnsi" w:hAnsi="Times New Roman"/>
                <w:sz w:val="24"/>
                <w:szCs w:val="24"/>
              </w:rPr>
            </w:pPr>
            <w:r w:rsidRPr="0018220A">
              <w:rPr>
                <w:rFonts w:ascii="Times New Roman" w:eastAsiaTheme="minorHAnsi" w:hAnsi="Times New Roman"/>
                <w:sz w:val="24"/>
                <w:szCs w:val="24"/>
              </w:rPr>
              <w:t>16</w:t>
            </w:r>
          </w:p>
        </w:tc>
        <w:tc>
          <w:tcPr>
            <w:tcW w:w="1329" w:type="dxa"/>
            <w:shd w:val="clear" w:color="auto" w:fill="auto"/>
            <w:vAlign w:val="center"/>
          </w:tcPr>
          <w:p w14:paraId="0CEE1FEB" w14:textId="55F07C39" w:rsidR="003637F5" w:rsidRPr="0018220A" w:rsidRDefault="00B424F0" w:rsidP="0018220A">
            <w:pPr>
              <w:jc w:val="right"/>
              <w:rPr>
                <w:rFonts w:ascii="Times New Roman" w:eastAsiaTheme="minorHAnsi" w:hAnsi="Times New Roman"/>
                <w:sz w:val="24"/>
                <w:szCs w:val="24"/>
              </w:rPr>
            </w:pPr>
            <w:r w:rsidRPr="0018220A">
              <w:rPr>
                <w:rFonts w:ascii="Times New Roman" w:eastAsiaTheme="minorHAnsi" w:hAnsi="Times New Roman"/>
                <w:sz w:val="24"/>
                <w:szCs w:val="24"/>
              </w:rPr>
              <w:t>1</w:t>
            </w:r>
            <w:r w:rsidR="0018220A" w:rsidRPr="0018220A">
              <w:rPr>
                <w:rFonts w:ascii="Times New Roman" w:eastAsiaTheme="minorHAnsi" w:hAnsi="Times New Roman"/>
                <w:sz w:val="24"/>
                <w:szCs w:val="24"/>
              </w:rPr>
              <w:t>1</w:t>
            </w:r>
          </w:p>
        </w:tc>
        <w:tc>
          <w:tcPr>
            <w:tcW w:w="1471" w:type="dxa"/>
            <w:shd w:val="clear" w:color="auto" w:fill="auto"/>
            <w:vAlign w:val="center"/>
          </w:tcPr>
          <w:p w14:paraId="264B2143" w14:textId="561D4168" w:rsidR="003637F5" w:rsidRPr="0018220A" w:rsidRDefault="0018220A" w:rsidP="00162886">
            <w:pPr>
              <w:jc w:val="right"/>
              <w:rPr>
                <w:rFonts w:ascii="Times New Roman" w:eastAsiaTheme="minorHAnsi" w:hAnsi="Times New Roman"/>
                <w:sz w:val="24"/>
                <w:szCs w:val="24"/>
              </w:rPr>
            </w:pPr>
            <w:r w:rsidRPr="0018220A">
              <w:rPr>
                <w:rFonts w:ascii="Times New Roman" w:eastAsiaTheme="minorHAnsi" w:hAnsi="Times New Roman"/>
                <w:sz w:val="24"/>
                <w:szCs w:val="24"/>
              </w:rPr>
              <w:t>3</w:t>
            </w:r>
          </w:p>
        </w:tc>
      </w:tr>
      <w:tr w:rsidR="00A1706D" w:rsidRPr="007320CD" w14:paraId="2C7BE3DD" w14:textId="77777777" w:rsidTr="0079434E">
        <w:trPr>
          <w:jc w:val="right"/>
        </w:trPr>
        <w:tc>
          <w:tcPr>
            <w:tcW w:w="2028" w:type="dxa"/>
            <w:shd w:val="clear" w:color="auto" w:fill="auto"/>
          </w:tcPr>
          <w:p w14:paraId="7B66439E" w14:textId="77777777" w:rsidR="00A1706D" w:rsidRPr="00792123" w:rsidRDefault="00A1706D" w:rsidP="00A1706D">
            <w:pPr>
              <w:spacing w:after="120"/>
              <w:ind w:right="11"/>
              <w:jc w:val="right"/>
              <w:rPr>
                <w:rFonts w:ascii="Times New Roman" w:eastAsiaTheme="minorHAnsi" w:hAnsi="Times New Roman" w:cstheme="minorBidi"/>
                <w:b/>
                <w:sz w:val="24"/>
                <w:szCs w:val="24"/>
              </w:rPr>
            </w:pPr>
            <w:r w:rsidRPr="00792123">
              <w:rPr>
                <w:rFonts w:ascii="Times New Roman" w:eastAsiaTheme="minorHAnsi" w:hAnsi="Times New Roman" w:cstheme="minorBidi"/>
                <w:b/>
                <w:sz w:val="24"/>
                <w:szCs w:val="24"/>
              </w:rPr>
              <w:t>Ieguldītāji nekustamajā īpašumā</w:t>
            </w:r>
          </w:p>
        </w:tc>
        <w:tc>
          <w:tcPr>
            <w:tcW w:w="1580" w:type="dxa"/>
            <w:shd w:val="clear" w:color="auto" w:fill="auto"/>
            <w:vAlign w:val="center"/>
          </w:tcPr>
          <w:p w14:paraId="1D3D06C7" w14:textId="5C8B2FD3" w:rsidR="00792123" w:rsidRPr="007320CD" w:rsidRDefault="00792123" w:rsidP="00AC669B">
            <w:pPr>
              <w:ind w:right="11"/>
              <w:jc w:val="right"/>
              <w:rPr>
                <w:rFonts w:ascii="Times New Roman" w:eastAsiaTheme="minorHAnsi" w:hAnsi="Times New Roman"/>
                <w:b/>
                <w:sz w:val="24"/>
                <w:szCs w:val="24"/>
                <w:highlight w:val="yellow"/>
              </w:rPr>
            </w:pPr>
            <w:r>
              <w:rPr>
                <w:rFonts w:ascii="Times New Roman" w:eastAsiaTheme="minorHAnsi" w:hAnsi="Times New Roman"/>
                <w:b/>
                <w:sz w:val="24"/>
                <w:szCs w:val="24"/>
              </w:rPr>
              <w:t>10722</w:t>
            </w:r>
          </w:p>
        </w:tc>
        <w:tc>
          <w:tcPr>
            <w:tcW w:w="1420" w:type="dxa"/>
            <w:shd w:val="clear" w:color="auto" w:fill="auto"/>
            <w:vAlign w:val="center"/>
          </w:tcPr>
          <w:p w14:paraId="4939B5DE" w14:textId="789104AC" w:rsidR="00A1706D" w:rsidRPr="0018220A" w:rsidRDefault="0018220A" w:rsidP="00230FAB">
            <w:pPr>
              <w:ind w:right="11"/>
              <w:jc w:val="right"/>
              <w:rPr>
                <w:rFonts w:ascii="Times New Roman" w:eastAsiaTheme="minorHAnsi" w:hAnsi="Times New Roman"/>
                <w:b/>
                <w:sz w:val="24"/>
                <w:szCs w:val="24"/>
              </w:rPr>
            </w:pPr>
            <w:r>
              <w:rPr>
                <w:rFonts w:ascii="Times New Roman" w:eastAsiaTheme="minorHAnsi" w:hAnsi="Times New Roman"/>
                <w:b/>
                <w:sz w:val="24"/>
                <w:szCs w:val="24"/>
              </w:rPr>
              <w:t>8442</w:t>
            </w:r>
          </w:p>
        </w:tc>
        <w:tc>
          <w:tcPr>
            <w:tcW w:w="1420" w:type="dxa"/>
            <w:shd w:val="clear" w:color="auto" w:fill="auto"/>
            <w:vAlign w:val="center"/>
          </w:tcPr>
          <w:p w14:paraId="4602DA9E" w14:textId="13AC7361" w:rsidR="00A1706D" w:rsidRPr="0018220A" w:rsidRDefault="0018220A" w:rsidP="00162886">
            <w:pPr>
              <w:ind w:right="11"/>
              <w:jc w:val="right"/>
              <w:rPr>
                <w:rFonts w:ascii="Times New Roman" w:eastAsiaTheme="minorHAnsi" w:hAnsi="Times New Roman"/>
                <w:b/>
                <w:sz w:val="24"/>
                <w:szCs w:val="24"/>
              </w:rPr>
            </w:pPr>
            <w:r w:rsidRPr="0018220A">
              <w:rPr>
                <w:rFonts w:ascii="Times New Roman" w:eastAsiaTheme="minorHAnsi" w:hAnsi="Times New Roman"/>
                <w:b/>
                <w:sz w:val="24"/>
                <w:szCs w:val="24"/>
              </w:rPr>
              <w:t>1534</w:t>
            </w:r>
          </w:p>
        </w:tc>
        <w:tc>
          <w:tcPr>
            <w:tcW w:w="1329" w:type="dxa"/>
            <w:shd w:val="clear" w:color="auto" w:fill="auto"/>
            <w:vAlign w:val="center"/>
          </w:tcPr>
          <w:p w14:paraId="7689B87C" w14:textId="0B49CAAB" w:rsidR="00A1706D" w:rsidRPr="0018220A" w:rsidRDefault="0018220A" w:rsidP="00162886">
            <w:pPr>
              <w:ind w:right="11"/>
              <w:jc w:val="right"/>
              <w:rPr>
                <w:rFonts w:ascii="Times New Roman" w:eastAsiaTheme="minorHAnsi" w:hAnsi="Times New Roman"/>
                <w:b/>
                <w:sz w:val="24"/>
                <w:szCs w:val="24"/>
              </w:rPr>
            </w:pPr>
            <w:r w:rsidRPr="0018220A">
              <w:rPr>
                <w:rFonts w:ascii="Times New Roman" w:eastAsiaTheme="minorHAnsi" w:hAnsi="Times New Roman"/>
                <w:b/>
                <w:sz w:val="24"/>
                <w:szCs w:val="24"/>
              </w:rPr>
              <w:t>618</w:t>
            </w:r>
          </w:p>
        </w:tc>
        <w:tc>
          <w:tcPr>
            <w:tcW w:w="1471" w:type="dxa"/>
            <w:shd w:val="clear" w:color="auto" w:fill="auto"/>
            <w:vAlign w:val="center"/>
          </w:tcPr>
          <w:p w14:paraId="1C776C21" w14:textId="58FC06B0" w:rsidR="00A1706D" w:rsidRPr="0018220A" w:rsidRDefault="0018220A" w:rsidP="00162886">
            <w:pPr>
              <w:ind w:right="11"/>
              <w:jc w:val="right"/>
              <w:rPr>
                <w:rFonts w:ascii="Times New Roman" w:eastAsiaTheme="minorHAnsi" w:hAnsi="Times New Roman"/>
                <w:b/>
                <w:sz w:val="24"/>
                <w:szCs w:val="24"/>
              </w:rPr>
            </w:pPr>
            <w:r w:rsidRPr="0018220A">
              <w:rPr>
                <w:rFonts w:ascii="Times New Roman" w:eastAsiaTheme="minorHAnsi" w:hAnsi="Times New Roman"/>
                <w:b/>
                <w:sz w:val="24"/>
                <w:szCs w:val="24"/>
              </w:rPr>
              <w:t>128</w:t>
            </w:r>
          </w:p>
        </w:tc>
      </w:tr>
      <w:tr w:rsidR="00A1706D" w:rsidRPr="007320CD" w14:paraId="672302B4" w14:textId="77777777" w:rsidTr="0079434E">
        <w:trPr>
          <w:jc w:val="right"/>
        </w:trPr>
        <w:tc>
          <w:tcPr>
            <w:tcW w:w="2028" w:type="dxa"/>
            <w:shd w:val="clear" w:color="auto" w:fill="auto"/>
          </w:tcPr>
          <w:p w14:paraId="27E15FC4" w14:textId="77777777" w:rsidR="00A1706D" w:rsidRPr="00792123" w:rsidRDefault="00A1706D" w:rsidP="00A1706D">
            <w:pPr>
              <w:spacing w:after="120"/>
              <w:ind w:right="11"/>
              <w:jc w:val="right"/>
              <w:rPr>
                <w:rFonts w:ascii="Times New Roman" w:eastAsiaTheme="minorHAnsi" w:hAnsi="Times New Roman" w:cstheme="minorBidi"/>
                <w:sz w:val="24"/>
                <w:szCs w:val="24"/>
              </w:rPr>
            </w:pPr>
            <w:r w:rsidRPr="00792123">
              <w:rPr>
                <w:rFonts w:ascii="Times New Roman" w:eastAsiaTheme="minorHAnsi" w:hAnsi="Times New Roman" w:cstheme="minorBidi"/>
                <w:sz w:val="24"/>
                <w:szCs w:val="24"/>
              </w:rPr>
              <w:lastRenderedPageBreak/>
              <w:t>t.sk., investori</w:t>
            </w:r>
          </w:p>
        </w:tc>
        <w:tc>
          <w:tcPr>
            <w:tcW w:w="1580" w:type="dxa"/>
            <w:shd w:val="clear" w:color="auto" w:fill="auto"/>
            <w:vAlign w:val="center"/>
          </w:tcPr>
          <w:p w14:paraId="0C23AAD0" w14:textId="33714FD7" w:rsidR="00A1706D" w:rsidRPr="00792123" w:rsidRDefault="00792123" w:rsidP="00162886">
            <w:pPr>
              <w:ind w:right="11"/>
              <w:jc w:val="right"/>
              <w:rPr>
                <w:rFonts w:ascii="Times New Roman" w:eastAsiaTheme="minorHAnsi" w:hAnsi="Times New Roman"/>
                <w:sz w:val="24"/>
                <w:szCs w:val="24"/>
              </w:rPr>
            </w:pPr>
            <w:r w:rsidRPr="00792123">
              <w:rPr>
                <w:rFonts w:ascii="Times New Roman" w:eastAsiaTheme="minorHAnsi" w:hAnsi="Times New Roman"/>
                <w:sz w:val="24"/>
                <w:szCs w:val="24"/>
              </w:rPr>
              <w:t>5147</w:t>
            </w:r>
          </w:p>
        </w:tc>
        <w:tc>
          <w:tcPr>
            <w:tcW w:w="1420" w:type="dxa"/>
            <w:shd w:val="clear" w:color="auto" w:fill="auto"/>
            <w:vAlign w:val="center"/>
          </w:tcPr>
          <w:p w14:paraId="4F5CA16A" w14:textId="773D88E8" w:rsidR="00A1706D" w:rsidRPr="0018220A" w:rsidRDefault="0018220A" w:rsidP="00162886">
            <w:pPr>
              <w:ind w:right="11"/>
              <w:jc w:val="right"/>
              <w:rPr>
                <w:rFonts w:ascii="Times New Roman" w:eastAsiaTheme="minorHAnsi" w:hAnsi="Times New Roman"/>
                <w:sz w:val="24"/>
                <w:szCs w:val="24"/>
              </w:rPr>
            </w:pPr>
            <w:r>
              <w:rPr>
                <w:rFonts w:ascii="Times New Roman" w:eastAsiaTheme="minorHAnsi" w:hAnsi="Times New Roman"/>
                <w:sz w:val="24"/>
                <w:szCs w:val="24"/>
              </w:rPr>
              <w:t>3878</w:t>
            </w:r>
          </w:p>
        </w:tc>
        <w:tc>
          <w:tcPr>
            <w:tcW w:w="1420" w:type="dxa"/>
            <w:shd w:val="clear" w:color="auto" w:fill="auto"/>
            <w:vAlign w:val="center"/>
          </w:tcPr>
          <w:p w14:paraId="2FA92DA9" w14:textId="28BD02EC" w:rsidR="00A1706D" w:rsidRPr="0018220A" w:rsidRDefault="0018220A" w:rsidP="00162886">
            <w:pPr>
              <w:ind w:right="11"/>
              <w:jc w:val="right"/>
              <w:rPr>
                <w:rFonts w:ascii="Times New Roman" w:eastAsiaTheme="minorHAnsi" w:hAnsi="Times New Roman"/>
                <w:sz w:val="24"/>
                <w:szCs w:val="24"/>
              </w:rPr>
            </w:pPr>
            <w:r w:rsidRPr="0018220A">
              <w:rPr>
                <w:rFonts w:ascii="Times New Roman" w:eastAsiaTheme="minorHAnsi" w:hAnsi="Times New Roman"/>
                <w:sz w:val="24"/>
                <w:szCs w:val="24"/>
              </w:rPr>
              <w:t>872</w:t>
            </w:r>
          </w:p>
        </w:tc>
        <w:tc>
          <w:tcPr>
            <w:tcW w:w="1329" w:type="dxa"/>
            <w:shd w:val="clear" w:color="auto" w:fill="auto"/>
            <w:vAlign w:val="center"/>
          </w:tcPr>
          <w:p w14:paraId="0849712F" w14:textId="5AED7498" w:rsidR="00A1706D" w:rsidRPr="0018220A" w:rsidRDefault="0018220A" w:rsidP="00162886">
            <w:pPr>
              <w:ind w:right="11"/>
              <w:jc w:val="right"/>
              <w:rPr>
                <w:rFonts w:ascii="Times New Roman" w:eastAsiaTheme="minorHAnsi" w:hAnsi="Times New Roman"/>
                <w:sz w:val="24"/>
                <w:szCs w:val="24"/>
              </w:rPr>
            </w:pPr>
            <w:r w:rsidRPr="0018220A">
              <w:rPr>
                <w:rFonts w:ascii="Times New Roman" w:eastAsiaTheme="minorHAnsi" w:hAnsi="Times New Roman"/>
                <w:sz w:val="24"/>
                <w:szCs w:val="24"/>
              </w:rPr>
              <w:t>351</w:t>
            </w:r>
          </w:p>
        </w:tc>
        <w:tc>
          <w:tcPr>
            <w:tcW w:w="1471" w:type="dxa"/>
            <w:shd w:val="clear" w:color="auto" w:fill="auto"/>
            <w:vAlign w:val="center"/>
          </w:tcPr>
          <w:p w14:paraId="0487C1D0" w14:textId="4C27F019" w:rsidR="00A1706D" w:rsidRPr="0018220A" w:rsidRDefault="0018220A" w:rsidP="00162886">
            <w:pPr>
              <w:ind w:right="11"/>
              <w:jc w:val="right"/>
              <w:rPr>
                <w:rFonts w:ascii="Times New Roman" w:eastAsiaTheme="minorHAnsi" w:hAnsi="Times New Roman"/>
                <w:sz w:val="24"/>
                <w:szCs w:val="24"/>
              </w:rPr>
            </w:pPr>
            <w:r w:rsidRPr="0018220A">
              <w:rPr>
                <w:rFonts w:ascii="Times New Roman" w:eastAsiaTheme="minorHAnsi" w:hAnsi="Times New Roman"/>
                <w:sz w:val="24"/>
                <w:szCs w:val="24"/>
              </w:rPr>
              <w:t>46</w:t>
            </w:r>
          </w:p>
        </w:tc>
      </w:tr>
      <w:tr w:rsidR="00A1706D" w:rsidRPr="007320CD" w14:paraId="53090E62" w14:textId="77777777" w:rsidTr="0079434E">
        <w:trPr>
          <w:jc w:val="right"/>
        </w:trPr>
        <w:tc>
          <w:tcPr>
            <w:tcW w:w="2028" w:type="dxa"/>
            <w:shd w:val="clear" w:color="auto" w:fill="auto"/>
          </w:tcPr>
          <w:p w14:paraId="452BB1CB" w14:textId="77777777" w:rsidR="00A1706D" w:rsidRPr="00792123" w:rsidRDefault="00A1706D" w:rsidP="00A1706D">
            <w:pPr>
              <w:spacing w:after="120"/>
              <w:ind w:right="11"/>
              <w:jc w:val="right"/>
              <w:rPr>
                <w:rFonts w:ascii="Times New Roman" w:eastAsiaTheme="minorHAnsi" w:hAnsi="Times New Roman" w:cstheme="minorBidi"/>
                <w:sz w:val="24"/>
                <w:szCs w:val="24"/>
              </w:rPr>
            </w:pPr>
            <w:r w:rsidRPr="00792123">
              <w:rPr>
                <w:rFonts w:ascii="Times New Roman" w:eastAsiaTheme="minorHAnsi" w:hAnsi="Times New Roman" w:cstheme="minorBidi"/>
                <w:sz w:val="24"/>
                <w:szCs w:val="24"/>
              </w:rPr>
              <w:t>ģimenes locekļi</w:t>
            </w:r>
          </w:p>
        </w:tc>
        <w:tc>
          <w:tcPr>
            <w:tcW w:w="1580" w:type="dxa"/>
            <w:shd w:val="clear" w:color="auto" w:fill="auto"/>
            <w:vAlign w:val="center"/>
          </w:tcPr>
          <w:p w14:paraId="3850A2FF" w14:textId="569D961A" w:rsidR="00A1706D" w:rsidRPr="00792123" w:rsidRDefault="00792123" w:rsidP="00162886">
            <w:pPr>
              <w:ind w:right="11"/>
              <w:jc w:val="right"/>
              <w:rPr>
                <w:rFonts w:ascii="Times New Roman" w:eastAsiaTheme="minorHAnsi" w:hAnsi="Times New Roman"/>
                <w:sz w:val="24"/>
                <w:szCs w:val="24"/>
              </w:rPr>
            </w:pPr>
            <w:r w:rsidRPr="00792123">
              <w:rPr>
                <w:rFonts w:ascii="Times New Roman" w:eastAsiaTheme="minorHAnsi" w:hAnsi="Times New Roman"/>
                <w:sz w:val="24"/>
                <w:szCs w:val="24"/>
              </w:rPr>
              <w:t>5575</w:t>
            </w:r>
          </w:p>
        </w:tc>
        <w:tc>
          <w:tcPr>
            <w:tcW w:w="1420" w:type="dxa"/>
            <w:shd w:val="clear" w:color="auto" w:fill="auto"/>
            <w:vAlign w:val="center"/>
          </w:tcPr>
          <w:p w14:paraId="0889D9D8" w14:textId="0256CF0C" w:rsidR="00A1706D" w:rsidRPr="0018220A" w:rsidRDefault="0018220A" w:rsidP="00162886">
            <w:pPr>
              <w:ind w:right="11"/>
              <w:jc w:val="right"/>
              <w:rPr>
                <w:rFonts w:ascii="Times New Roman" w:eastAsiaTheme="minorHAnsi" w:hAnsi="Times New Roman"/>
                <w:sz w:val="24"/>
                <w:szCs w:val="24"/>
              </w:rPr>
            </w:pPr>
            <w:r>
              <w:rPr>
                <w:rFonts w:ascii="Times New Roman" w:eastAsiaTheme="minorHAnsi" w:hAnsi="Times New Roman"/>
                <w:sz w:val="24"/>
                <w:szCs w:val="24"/>
              </w:rPr>
              <w:t>4564</w:t>
            </w:r>
          </w:p>
        </w:tc>
        <w:tc>
          <w:tcPr>
            <w:tcW w:w="1420" w:type="dxa"/>
            <w:shd w:val="clear" w:color="auto" w:fill="auto"/>
            <w:vAlign w:val="center"/>
          </w:tcPr>
          <w:p w14:paraId="2B76F8B4" w14:textId="2888C397" w:rsidR="00A1706D" w:rsidRPr="0018220A" w:rsidRDefault="0018220A" w:rsidP="00162886">
            <w:pPr>
              <w:ind w:right="11"/>
              <w:jc w:val="right"/>
              <w:rPr>
                <w:rFonts w:ascii="Times New Roman" w:eastAsiaTheme="minorHAnsi" w:hAnsi="Times New Roman"/>
                <w:sz w:val="24"/>
                <w:szCs w:val="24"/>
              </w:rPr>
            </w:pPr>
            <w:r w:rsidRPr="0018220A">
              <w:rPr>
                <w:rFonts w:ascii="Times New Roman" w:eastAsiaTheme="minorHAnsi" w:hAnsi="Times New Roman"/>
                <w:sz w:val="24"/>
                <w:szCs w:val="24"/>
              </w:rPr>
              <w:t>662</w:t>
            </w:r>
          </w:p>
        </w:tc>
        <w:tc>
          <w:tcPr>
            <w:tcW w:w="1329" w:type="dxa"/>
            <w:shd w:val="clear" w:color="auto" w:fill="auto"/>
            <w:vAlign w:val="center"/>
          </w:tcPr>
          <w:p w14:paraId="0E2FE4F0" w14:textId="604C6522" w:rsidR="00A1706D" w:rsidRPr="0018220A" w:rsidRDefault="0018220A" w:rsidP="00162886">
            <w:pPr>
              <w:ind w:right="11"/>
              <w:jc w:val="right"/>
              <w:rPr>
                <w:rFonts w:ascii="Times New Roman" w:eastAsiaTheme="minorHAnsi" w:hAnsi="Times New Roman"/>
                <w:sz w:val="24"/>
                <w:szCs w:val="24"/>
              </w:rPr>
            </w:pPr>
            <w:r w:rsidRPr="0018220A">
              <w:rPr>
                <w:rFonts w:ascii="Times New Roman" w:eastAsiaTheme="minorHAnsi" w:hAnsi="Times New Roman"/>
                <w:sz w:val="24"/>
                <w:szCs w:val="24"/>
              </w:rPr>
              <w:t>267</w:t>
            </w:r>
          </w:p>
        </w:tc>
        <w:tc>
          <w:tcPr>
            <w:tcW w:w="1471" w:type="dxa"/>
            <w:shd w:val="clear" w:color="auto" w:fill="auto"/>
            <w:vAlign w:val="center"/>
          </w:tcPr>
          <w:p w14:paraId="5E6E92F8" w14:textId="42E01DB6" w:rsidR="00A1706D" w:rsidRPr="0018220A" w:rsidRDefault="0018220A" w:rsidP="00162886">
            <w:pPr>
              <w:ind w:right="11"/>
              <w:jc w:val="right"/>
              <w:rPr>
                <w:rFonts w:ascii="Times New Roman" w:eastAsiaTheme="minorHAnsi" w:hAnsi="Times New Roman"/>
                <w:sz w:val="24"/>
                <w:szCs w:val="24"/>
              </w:rPr>
            </w:pPr>
            <w:r w:rsidRPr="0018220A">
              <w:rPr>
                <w:rFonts w:ascii="Times New Roman" w:eastAsiaTheme="minorHAnsi" w:hAnsi="Times New Roman"/>
                <w:sz w:val="24"/>
                <w:szCs w:val="24"/>
              </w:rPr>
              <w:t>82</w:t>
            </w:r>
          </w:p>
        </w:tc>
      </w:tr>
      <w:tr w:rsidR="00A1706D" w:rsidRPr="00792123" w14:paraId="75D9208C" w14:textId="77777777" w:rsidTr="0079434E">
        <w:trPr>
          <w:jc w:val="right"/>
        </w:trPr>
        <w:tc>
          <w:tcPr>
            <w:tcW w:w="2028" w:type="dxa"/>
            <w:shd w:val="clear" w:color="auto" w:fill="auto"/>
          </w:tcPr>
          <w:p w14:paraId="1D799AB9" w14:textId="77777777" w:rsidR="00A1706D" w:rsidRPr="00792123" w:rsidRDefault="00A1706D" w:rsidP="00A1706D">
            <w:pPr>
              <w:spacing w:after="120"/>
              <w:ind w:right="11"/>
              <w:jc w:val="right"/>
              <w:rPr>
                <w:rFonts w:ascii="Times New Roman" w:eastAsiaTheme="minorHAnsi" w:hAnsi="Times New Roman" w:cstheme="minorBidi"/>
                <w:b/>
                <w:sz w:val="24"/>
                <w:szCs w:val="24"/>
              </w:rPr>
            </w:pPr>
            <w:r w:rsidRPr="00792123">
              <w:rPr>
                <w:rFonts w:ascii="Times New Roman" w:eastAsiaTheme="minorHAnsi" w:hAnsi="Times New Roman" w:cstheme="minorBidi"/>
                <w:b/>
                <w:sz w:val="24"/>
                <w:szCs w:val="24"/>
              </w:rPr>
              <w:t>Ieguldītāji kredītiestādē</w:t>
            </w:r>
          </w:p>
        </w:tc>
        <w:tc>
          <w:tcPr>
            <w:tcW w:w="1580" w:type="dxa"/>
            <w:shd w:val="clear" w:color="auto" w:fill="auto"/>
            <w:vAlign w:val="center"/>
          </w:tcPr>
          <w:p w14:paraId="5D316BDE" w14:textId="02EDC0F8" w:rsidR="00A1706D" w:rsidRPr="00792123" w:rsidRDefault="00792123" w:rsidP="00162886">
            <w:pPr>
              <w:ind w:right="11"/>
              <w:jc w:val="right"/>
              <w:rPr>
                <w:rFonts w:ascii="Times New Roman" w:eastAsiaTheme="minorHAnsi" w:hAnsi="Times New Roman"/>
                <w:b/>
                <w:sz w:val="24"/>
                <w:szCs w:val="24"/>
              </w:rPr>
            </w:pPr>
            <w:r w:rsidRPr="00792123">
              <w:rPr>
                <w:rFonts w:ascii="Times New Roman" w:eastAsiaTheme="minorHAnsi" w:hAnsi="Times New Roman"/>
                <w:b/>
                <w:sz w:val="24"/>
                <w:szCs w:val="24"/>
              </w:rPr>
              <w:t>292</w:t>
            </w:r>
          </w:p>
        </w:tc>
        <w:tc>
          <w:tcPr>
            <w:tcW w:w="1420" w:type="dxa"/>
            <w:shd w:val="clear" w:color="auto" w:fill="auto"/>
            <w:vAlign w:val="center"/>
          </w:tcPr>
          <w:p w14:paraId="4C041A7C" w14:textId="664BFF87" w:rsidR="00A1706D" w:rsidRPr="00792123" w:rsidRDefault="00792123" w:rsidP="00162886">
            <w:pPr>
              <w:ind w:right="11"/>
              <w:jc w:val="right"/>
              <w:rPr>
                <w:rFonts w:ascii="Times New Roman" w:eastAsiaTheme="minorHAnsi" w:hAnsi="Times New Roman"/>
                <w:b/>
                <w:sz w:val="24"/>
                <w:szCs w:val="24"/>
              </w:rPr>
            </w:pPr>
            <w:r w:rsidRPr="00792123">
              <w:rPr>
                <w:rFonts w:ascii="Times New Roman" w:eastAsiaTheme="minorHAnsi" w:hAnsi="Times New Roman"/>
                <w:b/>
                <w:sz w:val="24"/>
                <w:szCs w:val="24"/>
              </w:rPr>
              <w:t>253</w:t>
            </w:r>
          </w:p>
        </w:tc>
        <w:tc>
          <w:tcPr>
            <w:tcW w:w="1420" w:type="dxa"/>
            <w:shd w:val="clear" w:color="auto" w:fill="auto"/>
            <w:vAlign w:val="center"/>
          </w:tcPr>
          <w:p w14:paraId="5478E408" w14:textId="21E75A40" w:rsidR="00A1706D" w:rsidRPr="00792123" w:rsidRDefault="00792123" w:rsidP="00162886">
            <w:pPr>
              <w:ind w:right="11"/>
              <w:jc w:val="right"/>
              <w:rPr>
                <w:rFonts w:ascii="Times New Roman" w:eastAsiaTheme="minorHAnsi" w:hAnsi="Times New Roman"/>
                <w:b/>
                <w:sz w:val="24"/>
                <w:szCs w:val="24"/>
              </w:rPr>
            </w:pPr>
            <w:r w:rsidRPr="00792123">
              <w:rPr>
                <w:rFonts w:ascii="Times New Roman" w:eastAsiaTheme="minorHAnsi" w:hAnsi="Times New Roman"/>
                <w:b/>
                <w:sz w:val="24"/>
                <w:szCs w:val="24"/>
              </w:rPr>
              <w:t>16</w:t>
            </w:r>
          </w:p>
        </w:tc>
        <w:tc>
          <w:tcPr>
            <w:tcW w:w="1329" w:type="dxa"/>
            <w:shd w:val="clear" w:color="auto" w:fill="auto"/>
            <w:vAlign w:val="center"/>
          </w:tcPr>
          <w:p w14:paraId="3CD0F0B5" w14:textId="12E0E772" w:rsidR="00A1706D" w:rsidRPr="00792123" w:rsidRDefault="00792123" w:rsidP="00162886">
            <w:pPr>
              <w:ind w:right="11"/>
              <w:jc w:val="right"/>
              <w:rPr>
                <w:rFonts w:ascii="Times New Roman" w:eastAsiaTheme="minorHAnsi" w:hAnsi="Times New Roman"/>
                <w:b/>
                <w:sz w:val="24"/>
                <w:szCs w:val="24"/>
              </w:rPr>
            </w:pPr>
            <w:r w:rsidRPr="00792123">
              <w:rPr>
                <w:rFonts w:ascii="Times New Roman" w:eastAsiaTheme="minorHAnsi" w:hAnsi="Times New Roman"/>
                <w:b/>
                <w:sz w:val="24"/>
                <w:szCs w:val="24"/>
              </w:rPr>
              <w:t>23</w:t>
            </w:r>
          </w:p>
        </w:tc>
        <w:tc>
          <w:tcPr>
            <w:tcW w:w="1471" w:type="dxa"/>
            <w:shd w:val="clear" w:color="auto" w:fill="auto"/>
            <w:vAlign w:val="center"/>
          </w:tcPr>
          <w:p w14:paraId="36AF1583" w14:textId="30B76AD8" w:rsidR="00A1706D" w:rsidRPr="00792123" w:rsidRDefault="0018220A" w:rsidP="00162886">
            <w:pPr>
              <w:ind w:right="11"/>
              <w:jc w:val="right"/>
              <w:rPr>
                <w:rFonts w:ascii="Times New Roman" w:eastAsiaTheme="minorHAnsi" w:hAnsi="Times New Roman"/>
                <w:b/>
                <w:sz w:val="24"/>
                <w:szCs w:val="24"/>
              </w:rPr>
            </w:pPr>
            <w:r w:rsidRPr="00792123">
              <w:rPr>
                <w:rFonts w:ascii="Times New Roman" w:eastAsiaTheme="minorHAnsi" w:hAnsi="Times New Roman"/>
                <w:b/>
                <w:sz w:val="24"/>
                <w:szCs w:val="24"/>
              </w:rPr>
              <w:t>0</w:t>
            </w:r>
          </w:p>
        </w:tc>
      </w:tr>
      <w:tr w:rsidR="003637F5" w:rsidRPr="00792123" w14:paraId="4249DE1B" w14:textId="77777777" w:rsidTr="0079434E">
        <w:trPr>
          <w:jc w:val="right"/>
        </w:trPr>
        <w:tc>
          <w:tcPr>
            <w:tcW w:w="2028" w:type="dxa"/>
            <w:shd w:val="clear" w:color="auto" w:fill="auto"/>
          </w:tcPr>
          <w:p w14:paraId="25C29286" w14:textId="77777777" w:rsidR="003637F5" w:rsidRPr="00792123" w:rsidRDefault="003637F5" w:rsidP="003637F5">
            <w:pPr>
              <w:spacing w:after="120"/>
              <w:ind w:right="11"/>
              <w:jc w:val="right"/>
              <w:rPr>
                <w:rFonts w:ascii="Times New Roman" w:eastAsiaTheme="minorHAnsi" w:hAnsi="Times New Roman" w:cstheme="minorBidi"/>
                <w:sz w:val="24"/>
                <w:szCs w:val="24"/>
              </w:rPr>
            </w:pPr>
            <w:r w:rsidRPr="00792123">
              <w:rPr>
                <w:rFonts w:ascii="Times New Roman" w:eastAsiaTheme="minorHAnsi" w:hAnsi="Times New Roman" w:cstheme="minorBidi"/>
                <w:sz w:val="24"/>
                <w:szCs w:val="24"/>
              </w:rPr>
              <w:t>t.sk., investori</w:t>
            </w:r>
          </w:p>
        </w:tc>
        <w:tc>
          <w:tcPr>
            <w:tcW w:w="1580" w:type="dxa"/>
            <w:shd w:val="clear" w:color="auto" w:fill="auto"/>
            <w:vAlign w:val="center"/>
          </w:tcPr>
          <w:p w14:paraId="347BD54E" w14:textId="0BD40E4F" w:rsidR="003637F5" w:rsidRPr="00792123" w:rsidRDefault="00792123" w:rsidP="00162886">
            <w:pPr>
              <w:jc w:val="right"/>
              <w:rPr>
                <w:rFonts w:ascii="Times New Roman" w:hAnsi="Times New Roman"/>
                <w:color w:val="000000"/>
                <w:sz w:val="24"/>
                <w:szCs w:val="24"/>
                <w:lang w:eastAsia="lv-LV"/>
              </w:rPr>
            </w:pPr>
            <w:r w:rsidRPr="00792123">
              <w:rPr>
                <w:rFonts w:ascii="Times New Roman" w:hAnsi="Times New Roman"/>
                <w:color w:val="000000"/>
                <w:sz w:val="24"/>
                <w:szCs w:val="24"/>
              </w:rPr>
              <w:t>123</w:t>
            </w:r>
          </w:p>
        </w:tc>
        <w:tc>
          <w:tcPr>
            <w:tcW w:w="1420" w:type="dxa"/>
            <w:shd w:val="clear" w:color="auto" w:fill="auto"/>
            <w:vAlign w:val="center"/>
          </w:tcPr>
          <w:p w14:paraId="0DB2D4C6" w14:textId="02C50C7D" w:rsidR="003637F5" w:rsidRPr="00792123" w:rsidRDefault="00792123" w:rsidP="00162886">
            <w:pPr>
              <w:jc w:val="right"/>
              <w:rPr>
                <w:rFonts w:ascii="Times New Roman" w:hAnsi="Times New Roman"/>
                <w:color w:val="000000"/>
                <w:sz w:val="24"/>
                <w:szCs w:val="24"/>
              </w:rPr>
            </w:pPr>
            <w:r w:rsidRPr="00792123">
              <w:rPr>
                <w:rFonts w:ascii="Times New Roman" w:hAnsi="Times New Roman"/>
                <w:color w:val="000000"/>
                <w:sz w:val="24"/>
                <w:szCs w:val="24"/>
              </w:rPr>
              <w:t>104</w:t>
            </w:r>
          </w:p>
        </w:tc>
        <w:tc>
          <w:tcPr>
            <w:tcW w:w="1420" w:type="dxa"/>
            <w:shd w:val="clear" w:color="auto" w:fill="auto"/>
            <w:vAlign w:val="center"/>
          </w:tcPr>
          <w:p w14:paraId="209975B1" w14:textId="1177EFDE" w:rsidR="003637F5" w:rsidRPr="00792123" w:rsidRDefault="00792123" w:rsidP="00162886">
            <w:pPr>
              <w:jc w:val="right"/>
              <w:rPr>
                <w:rFonts w:ascii="Times New Roman" w:hAnsi="Times New Roman"/>
                <w:color w:val="000000"/>
                <w:sz w:val="24"/>
                <w:szCs w:val="24"/>
              </w:rPr>
            </w:pPr>
            <w:r w:rsidRPr="00792123">
              <w:rPr>
                <w:rFonts w:ascii="Times New Roman" w:hAnsi="Times New Roman"/>
                <w:color w:val="000000"/>
                <w:sz w:val="24"/>
                <w:szCs w:val="24"/>
              </w:rPr>
              <w:t>9</w:t>
            </w:r>
          </w:p>
        </w:tc>
        <w:tc>
          <w:tcPr>
            <w:tcW w:w="1329" w:type="dxa"/>
            <w:shd w:val="clear" w:color="auto" w:fill="auto"/>
            <w:vAlign w:val="center"/>
          </w:tcPr>
          <w:p w14:paraId="3A44BEE6" w14:textId="593F82B3" w:rsidR="003637F5" w:rsidRPr="00792123" w:rsidRDefault="00792123" w:rsidP="00162886">
            <w:pPr>
              <w:jc w:val="right"/>
              <w:rPr>
                <w:rFonts w:ascii="Times New Roman" w:hAnsi="Times New Roman"/>
                <w:color w:val="000000"/>
                <w:sz w:val="24"/>
                <w:szCs w:val="24"/>
              </w:rPr>
            </w:pPr>
            <w:r w:rsidRPr="00792123">
              <w:rPr>
                <w:rFonts w:ascii="Times New Roman" w:hAnsi="Times New Roman"/>
                <w:color w:val="000000"/>
                <w:sz w:val="24"/>
                <w:szCs w:val="24"/>
              </w:rPr>
              <w:t>10</w:t>
            </w:r>
          </w:p>
        </w:tc>
        <w:tc>
          <w:tcPr>
            <w:tcW w:w="1471" w:type="dxa"/>
            <w:shd w:val="clear" w:color="auto" w:fill="auto"/>
            <w:vAlign w:val="center"/>
          </w:tcPr>
          <w:p w14:paraId="7A5C4ED9" w14:textId="3B989FD4" w:rsidR="003637F5" w:rsidRPr="00792123" w:rsidRDefault="0018220A" w:rsidP="00162886">
            <w:pPr>
              <w:jc w:val="right"/>
              <w:rPr>
                <w:rFonts w:ascii="Times New Roman" w:hAnsi="Times New Roman"/>
                <w:color w:val="000000"/>
                <w:sz w:val="24"/>
                <w:szCs w:val="24"/>
              </w:rPr>
            </w:pPr>
            <w:r w:rsidRPr="00792123">
              <w:rPr>
                <w:rFonts w:ascii="Times New Roman" w:hAnsi="Times New Roman"/>
                <w:color w:val="000000"/>
                <w:sz w:val="24"/>
                <w:szCs w:val="24"/>
              </w:rPr>
              <w:t>0</w:t>
            </w:r>
          </w:p>
        </w:tc>
      </w:tr>
      <w:tr w:rsidR="003637F5" w:rsidRPr="00792123" w14:paraId="0F999DFF" w14:textId="77777777" w:rsidTr="0079434E">
        <w:trPr>
          <w:jc w:val="right"/>
        </w:trPr>
        <w:tc>
          <w:tcPr>
            <w:tcW w:w="2028" w:type="dxa"/>
            <w:shd w:val="clear" w:color="auto" w:fill="auto"/>
          </w:tcPr>
          <w:p w14:paraId="26DA94A4" w14:textId="77777777" w:rsidR="003637F5" w:rsidRPr="00792123" w:rsidRDefault="003637F5" w:rsidP="003637F5">
            <w:pPr>
              <w:spacing w:after="120"/>
              <w:ind w:right="11"/>
              <w:jc w:val="right"/>
              <w:rPr>
                <w:rFonts w:ascii="Times New Roman" w:eastAsiaTheme="minorHAnsi" w:hAnsi="Times New Roman" w:cstheme="minorBidi"/>
                <w:sz w:val="24"/>
                <w:szCs w:val="24"/>
              </w:rPr>
            </w:pPr>
            <w:r w:rsidRPr="00792123">
              <w:rPr>
                <w:rFonts w:ascii="Times New Roman" w:eastAsiaTheme="minorHAnsi" w:hAnsi="Times New Roman" w:cstheme="minorBidi"/>
                <w:sz w:val="24"/>
                <w:szCs w:val="24"/>
              </w:rPr>
              <w:t>ģimenes locekļi</w:t>
            </w:r>
          </w:p>
        </w:tc>
        <w:tc>
          <w:tcPr>
            <w:tcW w:w="1580" w:type="dxa"/>
            <w:shd w:val="clear" w:color="auto" w:fill="auto"/>
            <w:vAlign w:val="center"/>
          </w:tcPr>
          <w:p w14:paraId="2A852176" w14:textId="00CCF487" w:rsidR="003637F5" w:rsidRPr="00792123" w:rsidRDefault="00792123" w:rsidP="00162886">
            <w:pPr>
              <w:jc w:val="right"/>
              <w:rPr>
                <w:rFonts w:ascii="Times New Roman" w:hAnsi="Times New Roman"/>
                <w:color w:val="000000"/>
                <w:sz w:val="24"/>
                <w:szCs w:val="24"/>
              </w:rPr>
            </w:pPr>
            <w:r w:rsidRPr="00792123">
              <w:rPr>
                <w:rFonts w:ascii="Times New Roman" w:hAnsi="Times New Roman"/>
                <w:color w:val="000000"/>
                <w:sz w:val="24"/>
                <w:szCs w:val="24"/>
              </w:rPr>
              <w:t>16</w:t>
            </w:r>
            <w:r w:rsidR="001872F9" w:rsidRPr="00792123">
              <w:rPr>
                <w:rFonts w:ascii="Times New Roman" w:hAnsi="Times New Roman"/>
                <w:color w:val="000000"/>
                <w:sz w:val="24"/>
                <w:szCs w:val="24"/>
              </w:rPr>
              <w:t>9</w:t>
            </w:r>
          </w:p>
        </w:tc>
        <w:tc>
          <w:tcPr>
            <w:tcW w:w="1420" w:type="dxa"/>
            <w:shd w:val="clear" w:color="auto" w:fill="auto"/>
            <w:vAlign w:val="center"/>
          </w:tcPr>
          <w:p w14:paraId="50616317" w14:textId="17BB1129" w:rsidR="003637F5" w:rsidRPr="00792123" w:rsidRDefault="00792123" w:rsidP="00162886">
            <w:pPr>
              <w:jc w:val="right"/>
              <w:rPr>
                <w:rFonts w:ascii="Times New Roman" w:hAnsi="Times New Roman"/>
                <w:color w:val="000000"/>
                <w:sz w:val="24"/>
                <w:szCs w:val="24"/>
              </w:rPr>
            </w:pPr>
            <w:r w:rsidRPr="00792123">
              <w:rPr>
                <w:rFonts w:ascii="Times New Roman" w:hAnsi="Times New Roman"/>
                <w:color w:val="000000"/>
                <w:sz w:val="24"/>
                <w:szCs w:val="24"/>
              </w:rPr>
              <w:t>149</w:t>
            </w:r>
          </w:p>
        </w:tc>
        <w:tc>
          <w:tcPr>
            <w:tcW w:w="1420" w:type="dxa"/>
            <w:shd w:val="clear" w:color="auto" w:fill="auto"/>
            <w:vAlign w:val="center"/>
          </w:tcPr>
          <w:p w14:paraId="43233E2D" w14:textId="42AD5485" w:rsidR="003637F5" w:rsidRPr="00792123" w:rsidRDefault="004979E8" w:rsidP="00162886">
            <w:pPr>
              <w:jc w:val="right"/>
              <w:rPr>
                <w:rFonts w:ascii="Times New Roman" w:hAnsi="Times New Roman"/>
                <w:color w:val="000000"/>
                <w:sz w:val="24"/>
                <w:szCs w:val="24"/>
              </w:rPr>
            </w:pPr>
            <w:r w:rsidRPr="00792123">
              <w:rPr>
                <w:rFonts w:ascii="Times New Roman" w:hAnsi="Times New Roman"/>
                <w:color w:val="000000"/>
                <w:sz w:val="24"/>
                <w:szCs w:val="24"/>
              </w:rPr>
              <w:t>7</w:t>
            </w:r>
          </w:p>
        </w:tc>
        <w:tc>
          <w:tcPr>
            <w:tcW w:w="1329" w:type="dxa"/>
            <w:shd w:val="clear" w:color="auto" w:fill="auto"/>
            <w:vAlign w:val="center"/>
          </w:tcPr>
          <w:p w14:paraId="3A150F80" w14:textId="058501D8" w:rsidR="003637F5" w:rsidRPr="00792123" w:rsidRDefault="00792123" w:rsidP="00162886">
            <w:pPr>
              <w:jc w:val="right"/>
              <w:rPr>
                <w:rFonts w:ascii="Times New Roman" w:hAnsi="Times New Roman"/>
                <w:color w:val="000000"/>
                <w:sz w:val="24"/>
                <w:szCs w:val="24"/>
              </w:rPr>
            </w:pPr>
            <w:r w:rsidRPr="00792123">
              <w:rPr>
                <w:rFonts w:ascii="Times New Roman" w:hAnsi="Times New Roman"/>
                <w:color w:val="000000"/>
                <w:sz w:val="24"/>
                <w:szCs w:val="24"/>
              </w:rPr>
              <w:t>13</w:t>
            </w:r>
          </w:p>
        </w:tc>
        <w:tc>
          <w:tcPr>
            <w:tcW w:w="1471" w:type="dxa"/>
            <w:shd w:val="clear" w:color="auto" w:fill="auto"/>
            <w:vAlign w:val="center"/>
          </w:tcPr>
          <w:p w14:paraId="55008275" w14:textId="7FF4D26D" w:rsidR="003637F5" w:rsidRPr="00792123" w:rsidRDefault="0018220A" w:rsidP="00162886">
            <w:pPr>
              <w:jc w:val="right"/>
              <w:rPr>
                <w:rFonts w:ascii="Times New Roman" w:hAnsi="Times New Roman"/>
                <w:color w:val="000000"/>
                <w:sz w:val="24"/>
                <w:szCs w:val="24"/>
              </w:rPr>
            </w:pPr>
            <w:r w:rsidRPr="00792123">
              <w:rPr>
                <w:rFonts w:ascii="Times New Roman" w:hAnsi="Times New Roman"/>
                <w:color w:val="000000"/>
                <w:sz w:val="24"/>
                <w:szCs w:val="24"/>
              </w:rPr>
              <w:t>0</w:t>
            </w:r>
          </w:p>
        </w:tc>
      </w:tr>
    </w:tbl>
    <w:p w14:paraId="7225F79A" w14:textId="612F5CCD" w:rsidR="0079434E" w:rsidRPr="00792123" w:rsidRDefault="0079434E" w:rsidP="0079434E">
      <w:pPr>
        <w:spacing w:after="120"/>
        <w:rPr>
          <w:rFonts w:ascii="Times New Roman" w:hAnsi="Times New Roman"/>
          <w:i/>
        </w:rPr>
      </w:pPr>
      <w:r w:rsidRPr="00792123">
        <w:rPr>
          <w:rFonts w:ascii="Times New Roman" w:hAnsi="Times New Roman"/>
          <w:i/>
        </w:rPr>
        <w:t>Avots: PMLP</w:t>
      </w:r>
      <w:r w:rsidR="007607B1" w:rsidRPr="00792123">
        <w:rPr>
          <w:rFonts w:ascii="Times New Roman" w:hAnsi="Times New Roman"/>
          <w:i/>
        </w:rPr>
        <w:t xml:space="preserve"> dati</w:t>
      </w:r>
    </w:p>
    <w:p w14:paraId="33D2099E" w14:textId="77777777" w:rsidR="0079434E" w:rsidRPr="007320CD" w:rsidRDefault="0079434E" w:rsidP="00BE74AC">
      <w:pPr>
        <w:ind w:firstLine="567"/>
        <w:jc w:val="both"/>
        <w:rPr>
          <w:rFonts w:ascii="Times New Roman" w:eastAsia="Calibri" w:hAnsi="Times New Roman"/>
          <w:sz w:val="26"/>
          <w:szCs w:val="26"/>
          <w:highlight w:val="yellow"/>
          <w:lang w:eastAsia="lv-LV"/>
        </w:rPr>
      </w:pPr>
    </w:p>
    <w:p w14:paraId="77706798" w14:textId="77777777" w:rsidR="00A67CA7" w:rsidRPr="004C2563" w:rsidRDefault="00A67CA7" w:rsidP="007446A3">
      <w:pPr>
        <w:spacing w:after="120"/>
        <w:jc w:val="center"/>
        <w:rPr>
          <w:rFonts w:ascii="Times New Roman" w:eastAsia="Calibri" w:hAnsi="Times New Roman"/>
          <w:b/>
          <w:sz w:val="26"/>
          <w:szCs w:val="26"/>
          <w:lang w:eastAsia="lv-LV"/>
        </w:rPr>
      </w:pPr>
      <w:r w:rsidRPr="004C2563">
        <w:rPr>
          <w:rFonts w:ascii="Times New Roman" w:eastAsia="Calibri" w:hAnsi="Times New Roman"/>
          <w:b/>
          <w:sz w:val="26"/>
          <w:szCs w:val="26"/>
          <w:lang w:eastAsia="lv-LV"/>
        </w:rPr>
        <w:t>Grozījumi Imigrācijas likumā</w:t>
      </w:r>
    </w:p>
    <w:p w14:paraId="523407A4" w14:textId="77777777" w:rsidR="00A41BAA" w:rsidRPr="004C2563" w:rsidRDefault="00A41BAA" w:rsidP="007446A3">
      <w:pPr>
        <w:spacing w:after="120"/>
        <w:jc w:val="center"/>
        <w:rPr>
          <w:rFonts w:ascii="Times New Roman" w:eastAsia="Calibri" w:hAnsi="Times New Roman"/>
          <w:b/>
          <w:sz w:val="26"/>
          <w:szCs w:val="26"/>
          <w:lang w:eastAsia="lv-LV"/>
        </w:rPr>
      </w:pPr>
    </w:p>
    <w:p w14:paraId="5E2A9264" w14:textId="1AA2DB22" w:rsidR="004C2563" w:rsidRPr="004C2563" w:rsidRDefault="004C2563" w:rsidP="000B0B25">
      <w:pPr>
        <w:ind w:firstLine="567"/>
        <w:jc w:val="both"/>
        <w:rPr>
          <w:rFonts w:ascii="Times New Roman" w:hAnsi="Times New Roman"/>
          <w:sz w:val="26"/>
          <w:szCs w:val="26"/>
        </w:rPr>
      </w:pPr>
      <w:r w:rsidRPr="004C2563">
        <w:rPr>
          <w:rFonts w:ascii="Times New Roman" w:hAnsi="Times New Roman"/>
          <w:sz w:val="26"/>
          <w:szCs w:val="26"/>
        </w:rPr>
        <w:t xml:space="preserve">2022.gadā Imigrācijas likumā nav veikti grozījumi, kas attiektos uz visiem investoriem, tomēr jāatzīmē būtiski grozījumi, kas veikti 2022.gada 7.aprīlī (stājušies spēkā 2022.gada 9.aprīlī) un 2022.gada 22.septembrī (stājušies spēkā 2022.gada 24.septembrī), kas </w:t>
      </w:r>
      <w:r w:rsidR="00F37C2B">
        <w:rPr>
          <w:rFonts w:ascii="Times New Roman" w:hAnsi="Times New Roman"/>
          <w:sz w:val="26"/>
          <w:szCs w:val="26"/>
        </w:rPr>
        <w:t xml:space="preserve">aptur iespēju </w:t>
      </w:r>
      <w:r w:rsidRPr="004C2563">
        <w:rPr>
          <w:rFonts w:ascii="Times New Roman" w:hAnsi="Times New Roman"/>
          <w:sz w:val="26"/>
          <w:szCs w:val="26"/>
        </w:rPr>
        <w:t>Krievijas Federācijas un Baltkrievijas Republikas pilsoņiem pieprasīt un saņemt TUA saistībā ar investīcijām</w:t>
      </w:r>
      <w:r w:rsidR="000B0B25">
        <w:rPr>
          <w:rFonts w:ascii="Times New Roman" w:hAnsi="Times New Roman"/>
          <w:sz w:val="26"/>
          <w:szCs w:val="26"/>
        </w:rPr>
        <w:t xml:space="preserve"> Latvijas tautsaimniecībā</w:t>
      </w:r>
      <w:r w:rsidRPr="004C2563">
        <w:rPr>
          <w:rFonts w:ascii="Times New Roman" w:hAnsi="Times New Roman"/>
          <w:sz w:val="26"/>
          <w:szCs w:val="26"/>
        </w:rPr>
        <w:t>.</w:t>
      </w:r>
    </w:p>
    <w:p w14:paraId="50189BE8" w14:textId="77777777" w:rsidR="004C2563" w:rsidRDefault="004C2563" w:rsidP="00D916C6">
      <w:pPr>
        <w:ind w:firstLine="567"/>
        <w:jc w:val="both"/>
        <w:rPr>
          <w:rFonts w:ascii="Times New Roman" w:hAnsi="Times New Roman"/>
          <w:sz w:val="26"/>
          <w:szCs w:val="26"/>
        </w:rPr>
      </w:pPr>
      <w:r w:rsidRPr="004C2563">
        <w:rPr>
          <w:rFonts w:ascii="Times New Roman" w:hAnsi="Times New Roman"/>
          <w:sz w:val="26"/>
          <w:szCs w:val="26"/>
        </w:rPr>
        <w:t>2022.gada 7.aprīļa likums “Grozījumi Imigrācijas likumā” paredz pārtraukt pirmreizējo TUA izsniegšanu Krievijas Federācijas un Baltkrievijas Republikas pilsoņiem, savukārt 2022.gada 22.septembra likums “Grozījumi Imigrācijas likumā” paredz pārtraukt arī atkārtoto TUA izsniegšanu Krievijas Federācijas un Baltkrievijas Republikas pilsoņiem, ja vien pēdējos trīs mēnešus pirms atkārtotās TUA pieprasīšanas persona nav bijusi nodarbināta Latvijas Republikā</w:t>
      </w:r>
      <w:r>
        <w:rPr>
          <w:rFonts w:ascii="Times New Roman" w:hAnsi="Times New Roman"/>
          <w:sz w:val="26"/>
          <w:szCs w:val="26"/>
        </w:rPr>
        <w:t xml:space="preserve">, </w:t>
      </w:r>
      <w:r w:rsidRPr="004C2563">
        <w:rPr>
          <w:rFonts w:ascii="Times New Roman" w:hAnsi="Times New Roman"/>
          <w:sz w:val="26"/>
          <w:szCs w:val="26"/>
        </w:rPr>
        <w:t xml:space="preserve">par viņu šajā periodā veikti iedzīvotāju ienākuma nodokļa maksājumi un viņa, pieprasot atkārtotu TUA, turpina īstenot piešķirtās tiesības uz nodarbinātību. </w:t>
      </w:r>
    </w:p>
    <w:p w14:paraId="071D5648" w14:textId="4E0CD0B6" w:rsidR="009B0949" w:rsidRPr="00A648E1" w:rsidRDefault="004C2563" w:rsidP="00D916C6">
      <w:pPr>
        <w:ind w:firstLine="567"/>
        <w:jc w:val="both"/>
        <w:rPr>
          <w:rFonts w:ascii="Times New Roman" w:hAnsi="Times New Roman"/>
          <w:sz w:val="26"/>
          <w:szCs w:val="26"/>
        </w:rPr>
      </w:pPr>
      <w:r>
        <w:rPr>
          <w:rFonts w:ascii="Times New Roman" w:hAnsi="Times New Roman"/>
          <w:sz w:val="26"/>
          <w:szCs w:val="26"/>
        </w:rPr>
        <w:t xml:space="preserve">14. Saeimā </w:t>
      </w:r>
      <w:r w:rsidR="00A648E1">
        <w:rPr>
          <w:rFonts w:ascii="Times New Roman" w:hAnsi="Times New Roman"/>
          <w:sz w:val="26"/>
          <w:szCs w:val="26"/>
        </w:rPr>
        <w:t xml:space="preserve">2022.gada 15.decembrī </w:t>
      </w:r>
      <w:r>
        <w:rPr>
          <w:rFonts w:ascii="Times New Roman" w:hAnsi="Times New Roman"/>
          <w:sz w:val="26"/>
          <w:szCs w:val="26"/>
        </w:rPr>
        <w:t xml:space="preserve">pirmajā lasījumā pieņemts likumprojekts “Imigrācijas likums”, kura izskatīšana netika pabeigta 13.Saeimas sasaukuma </w:t>
      </w:r>
      <w:r w:rsidRPr="00A648E1">
        <w:rPr>
          <w:rFonts w:ascii="Times New Roman" w:hAnsi="Times New Roman"/>
          <w:sz w:val="26"/>
          <w:szCs w:val="26"/>
        </w:rPr>
        <w:t xml:space="preserve">laikā. </w:t>
      </w:r>
      <w:r w:rsidR="00A648E1" w:rsidRPr="00A648E1">
        <w:rPr>
          <w:rFonts w:ascii="Times New Roman" w:hAnsi="Times New Roman"/>
          <w:sz w:val="26"/>
          <w:szCs w:val="26"/>
        </w:rPr>
        <w:t>A</w:t>
      </w:r>
      <w:r w:rsidR="00144E26" w:rsidRPr="00A648E1">
        <w:rPr>
          <w:rFonts w:ascii="Times New Roman" w:hAnsi="Times New Roman"/>
          <w:sz w:val="26"/>
          <w:szCs w:val="26"/>
        </w:rPr>
        <w:t xml:space="preserve">tbilstoši </w:t>
      </w:r>
      <w:r w:rsidR="00A648E1" w:rsidRPr="00A648E1">
        <w:rPr>
          <w:rFonts w:ascii="Times New Roman" w:hAnsi="Times New Roman"/>
          <w:sz w:val="26"/>
          <w:szCs w:val="26"/>
        </w:rPr>
        <w:t xml:space="preserve">13. </w:t>
      </w:r>
      <w:r w:rsidR="00144E26" w:rsidRPr="00A648E1">
        <w:rPr>
          <w:rFonts w:ascii="Times New Roman" w:hAnsi="Times New Roman"/>
          <w:sz w:val="26"/>
          <w:szCs w:val="26"/>
        </w:rPr>
        <w:t xml:space="preserve">Saeimas Aizsardzības, iekšlietu un korupcijas novēršanas komisijas pieprasījumam un Ministru prezidenta 2021.gada 5.jūlija rezolūcijai Nr.90/TA-1594, no likumprojekta </w:t>
      </w:r>
      <w:r w:rsidR="005D57AB" w:rsidRPr="00A648E1">
        <w:rPr>
          <w:rFonts w:ascii="Times New Roman" w:hAnsi="Times New Roman"/>
          <w:sz w:val="26"/>
          <w:szCs w:val="26"/>
        </w:rPr>
        <w:t>paredzēts izslēgt</w:t>
      </w:r>
      <w:r w:rsidR="00144E26" w:rsidRPr="00A648E1">
        <w:rPr>
          <w:rFonts w:ascii="Times New Roman" w:hAnsi="Times New Roman"/>
          <w:sz w:val="26"/>
          <w:szCs w:val="26"/>
        </w:rPr>
        <w:t xml:space="preserve"> vairākas </w:t>
      </w:r>
      <w:r w:rsidR="00A657A3" w:rsidRPr="00A648E1">
        <w:rPr>
          <w:rFonts w:ascii="Times New Roman" w:hAnsi="Times New Roman"/>
          <w:sz w:val="26"/>
          <w:szCs w:val="26"/>
        </w:rPr>
        <w:t xml:space="preserve"> </w:t>
      </w:r>
      <w:r w:rsidR="009B0949" w:rsidRPr="00A648E1">
        <w:rPr>
          <w:rFonts w:ascii="Times New Roman" w:hAnsi="Times New Roman"/>
          <w:sz w:val="26"/>
          <w:szCs w:val="26"/>
        </w:rPr>
        <w:t xml:space="preserve">normas, kas dod iespēju pieprasīt </w:t>
      </w:r>
      <w:r w:rsidR="00A648E1">
        <w:rPr>
          <w:rFonts w:ascii="Times New Roman" w:hAnsi="Times New Roman"/>
          <w:sz w:val="26"/>
          <w:szCs w:val="26"/>
        </w:rPr>
        <w:t>TUA</w:t>
      </w:r>
      <w:r w:rsidR="009B0949" w:rsidRPr="00A648E1">
        <w:rPr>
          <w:rFonts w:ascii="Times New Roman" w:hAnsi="Times New Roman"/>
          <w:sz w:val="26"/>
          <w:szCs w:val="26"/>
        </w:rPr>
        <w:t>, veicot investīcijas:</w:t>
      </w:r>
    </w:p>
    <w:p w14:paraId="2BF1BEAB" w14:textId="0D7F9000" w:rsidR="00144E26" w:rsidRPr="00A648E1" w:rsidRDefault="00144E26" w:rsidP="009B0949">
      <w:pPr>
        <w:pStyle w:val="ListParagraph"/>
        <w:numPr>
          <w:ilvl w:val="0"/>
          <w:numId w:val="25"/>
        </w:numPr>
        <w:ind w:left="26" w:firstLine="425"/>
        <w:jc w:val="both"/>
        <w:rPr>
          <w:rFonts w:ascii="Times New Roman" w:hAnsi="Times New Roman"/>
          <w:sz w:val="26"/>
          <w:szCs w:val="26"/>
        </w:rPr>
      </w:pPr>
      <w:r w:rsidRPr="00A648E1">
        <w:rPr>
          <w:rFonts w:ascii="Times New Roman" w:hAnsi="Times New Roman"/>
          <w:sz w:val="26"/>
          <w:szCs w:val="26"/>
        </w:rPr>
        <w:t>nekustamajā īpašumā;</w:t>
      </w:r>
    </w:p>
    <w:p w14:paraId="2DCFDD1B" w14:textId="04437BD1" w:rsidR="009B0949" w:rsidRPr="00A648E1" w:rsidRDefault="009B0949" w:rsidP="009B0949">
      <w:pPr>
        <w:pStyle w:val="ListParagraph"/>
        <w:numPr>
          <w:ilvl w:val="0"/>
          <w:numId w:val="25"/>
        </w:numPr>
        <w:ind w:left="26" w:firstLine="425"/>
        <w:jc w:val="both"/>
        <w:rPr>
          <w:rFonts w:ascii="Times New Roman" w:hAnsi="Times New Roman"/>
          <w:sz w:val="26"/>
          <w:szCs w:val="26"/>
        </w:rPr>
      </w:pPr>
      <w:r w:rsidRPr="00A648E1">
        <w:rPr>
          <w:rFonts w:ascii="Times New Roman" w:hAnsi="Times New Roman"/>
          <w:sz w:val="26"/>
          <w:szCs w:val="26"/>
        </w:rPr>
        <w:t>kredītiestādes pakārtotajās saistībās 280 000 </w:t>
      </w:r>
      <w:r w:rsidRPr="00A648E1">
        <w:rPr>
          <w:rFonts w:ascii="Times New Roman" w:hAnsi="Times New Roman"/>
          <w:i/>
          <w:sz w:val="26"/>
          <w:szCs w:val="26"/>
        </w:rPr>
        <w:t>euro</w:t>
      </w:r>
      <w:r w:rsidRPr="00A648E1">
        <w:rPr>
          <w:rFonts w:ascii="Times New Roman" w:hAnsi="Times New Roman"/>
          <w:sz w:val="26"/>
          <w:szCs w:val="26"/>
        </w:rPr>
        <w:t xml:space="preserve"> apmērā;</w:t>
      </w:r>
    </w:p>
    <w:p w14:paraId="1A62335F" w14:textId="73063DC2" w:rsidR="009B0949" w:rsidRPr="00A648E1" w:rsidRDefault="009B0949" w:rsidP="009B0949">
      <w:pPr>
        <w:pStyle w:val="ListParagraph"/>
        <w:numPr>
          <w:ilvl w:val="0"/>
          <w:numId w:val="25"/>
        </w:numPr>
        <w:ind w:left="26" w:firstLine="425"/>
        <w:jc w:val="both"/>
        <w:rPr>
          <w:rFonts w:ascii="Times New Roman" w:hAnsi="Times New Roman"/>
          <w:sz w:val="26"/>
          <w:szCs w:val="26"/>
        </w:rPr>
      </w:pPr>
      <w:r w:rsidRPr="00A648E1">
        <w:rPr>
          <w:rFonts w:ascii="Times New Roman" w:hAnsi="Times New Roman"/>
          <w:sz w:val="26"/>
          <w:szCs w:val="26"/>
        </w:rPr>
        <w:t>iegādājoties īpašam mērķim noteiktus bezprocentu valsts vērtspapīrus par nominālvērtību 250 000 </w:t>
      </w:r>
      <w:r w:rsidRPr="00A648E1">
        <w:rPr>
          <w:rFonts w:ascii="Times New Roman" w:hAnsi="Times New Roman"/>
          <w:i/>
          <w:sz w:val="26"/>
          <w:szCs w:val="26"/>
        </w:rPr>
        <w:t>euro</w:t>
      </w:r>
      <w:r w:rsidRPr="00A648E1">
        <w:rPr>
          <w:rFonts w:ascii="Times New Roman" w:hAnsi="Times New Roman"/>
          <w:sz w:val="26"/>
          <w:szCs w:val="26"/>
        </w:rPr>
        <w:t>.</w:t>
      </w:r>
    </w:p>
    <w:p w14:paraId="5C511AF0" w14:textId="77777777" w:rsidR="00EF776E" w:rsidRPr="00A648E1" w:rsidRDefault="00EF776E" w:rsidP="005E35BE">
      <w:pPr>
        <w:spacing w:after="120"/>
        <w:jc w:val="center"/>
        <w:rPr>
          <w:rFonts w:ascii="Times New Roman" w:hAnsi="Times New Roman"/>
          <w:b/>
          <w:sz w:val="26"/>
          <w:szCs w:val="26"/>
        </w:rPr>
      </w:pPr>
    </w:p>
    <w:p w14:paraId="5C6C80A1" w14:textId="54C31D8A" w:rsidR="00D0393D" w:rsidRPr="004C2563" w:rsidRDefault="00343F7B" w:rsidP="005E35BE">
      <w:pPr>
        <w:spacing w:after="120"/>
        <w:jc w:val="center"/>
        <w:rPr>
          <w:rFonts w:ascii="Times New Roman" w:hAnsi="Times New Roman"/>
          <w:b/>
          <w:sz w:val="26"/>
          <w:szCs w:val="26"/>
        </w:rPr>
      </w:pPr>
      <w:r w:rsidRPr="004C2563">
        <w:rPr>
          <w:rFonts w:ascii="Times New Roman" w:hAnsi="Times New Roman"/>
          <w:b/>
          <w:sz w:val="26"/>
          <w:szCs w:val="26"/>
        </w:rPr>
        <w:t xml:space="preserve"> </w:t>
      </w:r>
      <w:r w:rsidR="0023602C" w:rsidRPr="004C2563">
        <w:rPr>
          <w:rFonts w:ascii="Times New Roman" w:hAnsi="Times New Roman"/>
          <w:b/>
          <w:sz w:val="26"/>
          <w:szCs w:val="26"/>
        </w:rPr>
        <w:t>I</w:t>
      </w:r>
      <w:r w:rsidR="00A67CA7" w:rsidRPr="004C2563">
        <w:rPr>
          <w:rFonts w:ascii="Times New Roman" w:hAnsi="Times New Roman"/>
          <w:b/>
          <w:sz w:val="26"/>
          <w:szCs w:val="26"/>
        </w:rPr>
        <w:t>etekme uz valsts drošību</w:t>
      </w:r>
      <w:bookmarkStart w:id="23" w:name="_Toc340050961"/>
      <w:bookmarkEnd w:id="1"/>
    </w:p>
    <w:p w14:paraId="3115F51F" w14:textId="77777777" w:rsidR="00A41BAA" w:rsidRPr="007320CD" w:rsidRDefault="00A41BAA" w:rsidP="005E35BE">
      <w:pPr>
        <w:spacing w:after="120"/>
        <w:jc w:val="center"/>
        <w:rPr>
          <w:rFonts w:ascii="Times New Roman" w:hAnsi="Times New Roman"/>
          <w:b/>
          <w:sz w:val="26"/>
          <w:szCs w:val="26"/>
          <w:highlight w:val="yellow"/>
        </w:rPr>
      </w:pPr>
    </w:p>
    <w:p w14:paraId="511C2DC8" w14:textId="77777777" w:rsidR="004C2563" w:rsidRPr="004C2563" w:rsidRDefault="004C2563" w:rsidP="004C2563">
      <w:pPr>
        <w:tabs>
          <w:tab w:val="left" w:pos="567"/>
          <w:tab w:val="left" w:pos="5670"/>
          <w:tab w:val="left" w:pos="5954"/>
          <w:tab w:val="left" w:pos="9214"/>
        </w:tabs>
        <w:spacing w:after="120"/>
        <w:ind w:firstLine="567"/>
        <w:jc w:val="both"/>
        <w:rPr>
          <w:rFonts w:ascii="Times New Roman" w:hAnsi="Times New Roman"/>
          <w:sz w:val="26"/>
          <w:szCs w:val="26"/>
        </w:rPr>
      </w:pPr>
      <w:r w:rsidRPr="004C2563">
        <w:rPr>
          <w:rFonts w:ascii="Times New Roman" w:hAnsi="Times New Roman"/>
          <w:sz w:val="26"/>
          <w:szCs w:val="26"/>
        </w:rPr>
        <w:t xml:space="preserve">VDD savas kompetences ietvaros 2022. gadā īstenoja pasākumu kopumu valsts drošības apdraudējuma atklāšanai un novēršanai saistībā ar ārzemnieku ieceļošanu un uzturēšanos Latvijas Republikā, kā rezultātā ir sagatavoti atzinumi un informācija par nepieciešamajiem ierobežojumiem attiecībā uz uzturēšanās atļaujām. Vienlaikus jāvērš uzmanība, ka kopš 2022. gada 24. februāra, kad Krievijas Federācija īstenoja pilna mēroga militāro iebrukumu Ukrainā, ģeopolitiskā situācija reģionā ir mainījusies, tādējādi ietekmējot arī Latvijas ārpolitiskos un iekšpolitiskos procesus, vienlaikus atsevišķu izmaiņu īstenošana ir laikietilpīgs process. </w:t>
      </w:r>
    </w:p>
    <w:p w14:paraId="41153829" w14:textId="7248718A" w:rsidR="004C2563" w:rsidRPr="004C2563" w:rsidRDefault="004C2563" w:rsidP="004C2563">
      <w:pPr>
        <w:tabs>
          <w:tab w:val="left" w:pos="567"/>
          <w:tab w:val="left" w:pos="5670"/>
          <w:tab w:val="left" w:pos="5954"/>
          <w:tab w:val="left" w:pos="9214"/>
        </w:tabs>
        <w:spacing w:after="120"/>
        <w:jc w:val="both"/>
        <w:rPr>
          <w:rFonts w:ascii="Times New Roman" w:hAnsi="Times New Roman"/>
          <w:sz w:val="26"/>
          <w:szCs w:val="26"/>
        </w:rPr>
      </w:pPr>
      <w:r w:rsidRPr="004C2563">
        <w:rPr>
          <w:rFonts w:ascii="Times New Roman" w:hAnsi="Times New Roman"/>
          <w:sz w:val="26"/>
          <w:szCs w:val="26"/>
        </w:rPr>
        <w:lastRenderedPageBreak/>
        <w:t xml:space="preserve">        Ņemot vērā iepriekš minēto, 2022. gadā VDD veica </w:t>
      </w:r>
      <w:r>
        <w:rPr>
          <w:rFonts w:ascii="Times New Roman" w:hAnsi="Times New Roman"/>
          <w:sz w:val="26"/>
          <w:szCs w:val="26"/>
        </w:rPr>
        <w:t>šādas</w:t>
      </w:r>
      <w:r w:rsidRPr="004C2563">
        <w:rPr>
          <w:rFonts w:ascii="Times New Roman" w:hAnsi="Times New Roman"/>
          <w:sz w:val="26"/>
          <w:szCs w:val="26"/>
        </w:rPr>
        <w:t xml:space="preserve"> personu pārbaudes saist</w:t>
      </w:r>
      <w:r>
        <w:rPr>
          <w:rFonts w:ascii="Times New Roman" w:hAnsi="Times New Roman"/>
          <w:sz w:val="26"/>
          <w:szCs w:val="26"/>
        </w:rPr>
        <w:t xml:space="preserve">ībā </w:t>
      </w:r>
      <w:r w:rsidRPr="004C2563">
        <w:rPr>
          <w:rFonts w:ascii="Times New Roman" w:hAnsi="Times New Roman"/>
          <w:sz w:val="26"/>
          <w:szCs w:val="26"/>
        </w:rPr>
        <w:t xml:space="preserve">ar </w:t>
      </w:r>
      <w:r>
        <w:rPr>
          <w:rFonts w:ascii="Times New Roman" w:hAnsi="Times New Roman"/>
          <w:sz w:val="26"/>
          <w:szCs w:val="26"/>
        </w:rPr>
        <w:t>TUA</w:t>
      </w:r>
      <w:r w:rsidRPr="004C2563">
        <w:rPr>
          <w:rFonts w:ascii="Times New Roman" w:hAnsi="Times New Roman"/>
          <w:sz w:val="26"/>
          <w:szCs w:val="26"/>
        </w:rPr>
        <w:t>:</w:t>
      </w:r>
    </w:p>
    <w:p w14:paraId="661842F3" w14:textId="77777777" w:rsidR="004C2563" w:rsidRPr="004C2563" w:rsidRDefault="004C2563" w:rsidP="004C2563">
      <w:pPr>
        <w:pStyle w:val="ListParagraph"/>
        <w:numPr>
          <w:ilvl w:val="0"/>
          <w:numId w:val="27"/>
        </w:numPr>
        <w:tabs>
          <w:tab w:val="left" w:pos="567"/>
          <w:tab w:val="left" w:pos="5670"/>
          <w:tab w:val="left" w:pos="5954"/>
          <w:tab w:val="left" w:pos="9214"/>
        </w:tabs>
        <w:spacing w:after="120"/>
        <w:ind w:left="567" w:hanging="283"/>
        <w:contextualSpacing w:val="0"/>
        <w:jc w:val="both"/>
        <w:rPr>
          <w:rFonts w:ascii="Times New Roman" w:hAnsi="Times New Roman"/>
          <w:sz w:val="26"/>
          <w:szCs w:val="26"/>
        </w:rPr>
      </w:pPr>
      <w:r w:rsidRPr="004C2563">
        <w:rPr>
          <w:rFonts w:ascii="Times New Roman" w:hAnsi="Times New Roman"/>
          <w:sz w:val="26"/>
          <w:szCs w:val="26"/>
        </w:rPr>
        <w:t xml:space="preserve">Pamatojoties uz Imigrācijas likuma 23. panta pirmās daļas 28. punktu (ieguldījumi kapitālsabiedrības pamatkapitālā), veica 38 personu pirmreizējās pārbaudes (no tiem 4 Krievijas Federācijas pilsoņi), bet 27 personu atkārtotās pārbaudes (no tiem – 6 Krievijas Federācijas pilsoņi). </w:t>
      </w:r>
    </w:p>
    <w:p w14:paraId="4BCD5E1C" w14:textId="03ECABB4" w:rsidR="004C2563" w:rsidRPr="004C2563" w:rsidRDefault="004C2563" w:rsidP="004C2563">
      <w:pPr>
        <w:pStyle w:val="ListParagraph"/>
        <w:numPr>
          <w:ilvl w:val="0"/>
          <w:numId w:val="27"/>
        </w:numPr>
        <w:tabs>
          <w:tab w:val="left" w:pos="567"/>
          <w:tab w:val="left" w:pos="5670"/>
          <w:tab w:val="left" w:pos="5954"/>
          <w:tab w:val="left" w:pos="9214"/>
        </w:tabs>
        <w:spacing w:after="120"/>
        <w:ind w:left="567" w:hanging="283"/>
        <w:contextualSpacing w:val="0"/>
        <w:jc w:val="both"/>
        <w:rPr>
          <w:rFonts w:ascii="Times New Roman" w:hAnsi="Times New Roman"/>
          <w:sz w:val="26"/>
          <w:szCs w:val="26"/>
        </w:rPr>
      </w:pPr>
      <w:r w:rsidRPr="004C2563">
        <w:rPr>
          <w:rFonts w:ascii="Times New Roman" w:hAnsi="Times New Roman"/>
          <w:sz w:val="26"/>
          <w:szCs w:val="26"/>
        </w:rPr>
        <w:t>Pamatojoties uz Imigrācijas likuma 23. panta pirmās daļas 29. punktu (nekust</w:t>
      </w:r>
      <w:r>
        <w:rPr>
          <w:rFonts w:ascii="Times New Roman" w:hAnsi="Times New Roman"/>
          <w:sz w:val="26"/>
          <w:szCs w:val="26"/>
        </w:rPr>
        <w:t>a</w:t>
      </w:r>
      <w:r w:rsidRPr="004C2563">
        <w:rPr>
          <w:rFonts w:ascii="Times New Roman" w:hAnsi="Times New Roman"/>
          <w:sz w:val="26"/>
          <w:szCs w:val="26"/>
        </w:rPr>
        <w:t>mā īpašuma iegāde), veica 251 personas pirmreizējās pārbaudes (no tiem 222 Krievijas Federācijas pilsoņi, 10 Krievijas Federācijas/Izraēlas dubultpilsoņi), bet 927 personu pārbaudes veiktas atkārtoti (no tiem 784 Krievijas Federācijas pilsoņi, 31 Krievijas Federācijas /Izraēlas dubultpilsonis).</w:t>
      </w:r>
    </w:p>
    <w:p w14:paraId="20A03F5A" w14:textId="77777777" w:rsidR="004C2563" w:rsidRPr="004C2563" w:rsidRDefault="004C2563" w:rsidP="004C2563">
      <w:pPr>
        <w:pStyle w:val="ListParagraph"/>
        <w:numPr>
          <w:ilvl w:val="0"/>
          <w:numId w:val="27"/>
        </w:numPr>
        <w:tabs>
          <w:tab w:val="left" w:pos="567"/>
          <w:tab w:val="left" w:pos="5670"/>
          <w:tab w:val="left" w:pos="5954"/>
          <w:tab w:val="left" w:pos="9214"/>
        </w:tabs>
        <w:spacing w:after="120"/>
        <w:ind w:left="567" w:hanging="283"/>
        <w:contextualSpacing w:val="0"/>
        <w:jc w:val="both"/>
        <w:rPr>
          <w:rFonts w:ascii="Times New Roman" w:hAnsi="Times New Roman"/>
          <w:sz w:val="26"/>
          <w:szCs w:val="26"/>
        </w:rPr>
      </w:pPr>
      <w:r w:rsidRPr="004C2563">
        <w:rPr>
          <w:rFonts w:ascii="Times New Roman" w:hAnsi="Times New Roman"/>
          <w:sz w:val="26"/>
          <w:szCs w:val="26"/>
        </w:rPr>
        <w:t>Pamatojoties uz Imigrācijas likuma 23. panta pirmās daļas 30. punktu (parādsaistības Latvijas kredītiestādēs), veica 2 personu pārbaudes, bet 28 personu atkārtotu pārbaudi (no tiem 13 Krievijas Federācijas pilsoņi).</w:t>
      </w:r>
    </w:p>
    <w:p w14:paraId="3EAB17BE" w14:textId="77777777" w:rsidR="004C2563" w:rsidRPr="004C2563" w:rsidRDefault="004C2563" w:rsidP="004C2563">
      <w:pPr>
        <w:pStyle w:val="ListParagraph"/>
        <w:numPr>
          <w:ilvl w:val="0"/>
          <w:numId w:val="27"/>
        </w:numPr>
        <w:tabs>
          <w:tab w:val="left" w:pos="567"/>
          <w:tab w:val="left" w:pos="5670"/>
          <w:tab w:val="left" w:pos="5954"/>
          <w:tab w:val="left" w:pos="9214"/>
        </w:tabs>
        <w:spacing w:after="120"/>
        <w:ind w:left="567" w:hanging="283"/>
        <w:contextualSpacing w:val="0"/>
        <w:jc w:val="both"/>
        <w:rPr>
          <w:rFonts w:ascii="Times New Roman" w:hAnsi="Times New Roman"/>
          <w:sz w:val="26"/>
          <w:szCs w:val="26"/>
        </w:rPr>
      </w:pPr>
      <w:r w:rsidRPr="004C2563">
        <w:rPr>
          <w:rFonts w:ascii="Times New Roman" w:hAnsi="Times New Roman"/>
          <w:sz w:val="26"/>
          <w:szCs w:val="26"/>
        </w:rPr>
        <w:t xml:space="preserve">Pamatojoties uz Imigrācijas likuma 23. panta pirmās daļas 31. punktu (bezprocentu valsts vērstpapīru iegāde), veica 5 personu pārbaudes (no tiem 2 Krievijas Federācijas pilsoņi), bet atkārtotu personu pārbaude netika veikta.  </w:t>
      </w:r>
    </w:p>
    <w:p w14:paraId="44BAA8C4" w14:textId="77777777" w:rsidR="004C2563" w:rsidRPr="004C2563" w:rsidRDefault="004C2563" w:rsidP="004C2563">
      <w:pPr>
        <w:tabs>
          <w:tab w:val="left" w:pos="567"/>
          <w:tab w:val="left" w:pos="5670"/>
          <w:tab w:val="left" w:pos="5954"/>
          <w:tab w:val="left" w:pos="9214"/>
        </w:tabs>
        <w:ind w:left="567"/>
        <w:jc w:val="both"/>
        <w:rPr>
          <w:rFonts w:ascii="Times New Roman" w:hAnsi="Times New Roman"/>
          <w:sz w:val="26"/>
          <w:szCs w:val="26"/>
        </w:rPr>
      </w:pPr>
    </w:p>
    <w:p w14:paraId="47E951C0" w14:textId="5B7E3140" w:rsidR="004C2563" w:rsidRPr="004C2563" w:rsidRDefault="004C2563" w:rsidP="004C2563">
      <w:pPr>
        <w:tabs>
          <w:tab w:val="left" w:pos="567"/>
          <w:tab w:val="left" w:pos="5670"/>
          <w:tab w:val="left" w:pos="5954"/>
          <w:tab w:val="left" w:pos="9214"/>
        </w:tabs>
        <w:jc w:val="both"/>
        <w:rPr>
          <w:rFonts w:ascii="Times New Roman" w:hAnsi="Times New Roman"/>
          <w:sz w:val="26"/>
          <w:szCs w:val="26"/>
        </w:rPr>
      </w:pPr>
      <w:r w:rsidRPr="004C2563">
        <w:rPr>
          <w:rFonts w:ascii="Times New Roman" w:hAnsi="Times New Roman"/>
          <w:sz w:val="26"/>
          <w:szCs w:val="26"/>
        </w:rPr>
        <w:tab/>
        <w:t>Kopumā 2022. gadā VDD veica 1278 personu pārbaudes, saistībā ar Imigrācijas likuma 23. panta pirmās daļas 3., 28., 29., 30. un 31. punktā paredzēto iespēju pieprasīt ārzemniekam termiņuzturēšanās atļauju. Vienlaikus VDD Pilsonības un migrācijas lietu pārvaldei sagatavoja  atteikumus par 152 personu.  Papildus, veikto pārbaužu rezultātā, VDD ierosinājis arī 18 personas, kuras pieprasījušas vai ieguvušas uzturēšanās tiesības saistībā ar Imigrācijas likuma 23. panta pirmās daļas 3., 28., 29., 30. un 31. punktu, iekļaut to ārvalstnieku sarakstā, kuriem ieceļošana Latvijas Republikā ir aizliegta. Uzturēšanās un ieceļošanas ierobežojumi galvenokārt pamatoti ar VDD konstatētiem izlūkošanas riskiem, iespējamu apdrau</w:t>
      </w:r>
      <w:r>
        <w:rPr>
          <w:rFonts w:ascii="Times New Roman" w:hAnsi="Times New Roman"/>
          <w:sz w:val="26"/>
          <w:szCs w:val="26"/>
        </w:rPr>
        <w:t>dējumu Latvijas konstitucionālajai</w:t>
      </w:r>
      <w:r w:rsidRPr="004C2563">
        <w:rPr>
          <w:rFonts w:ascii="Times New Roman" w:hAnsi="Times New Roman"/>
          <w:sz w:val="26"/>
          <w:szCs w:val="26"/>
        </w:rPr>
        <w:t xml:space="preserve"> iekārtai un atbalsta sniegšanu Krievijas vai tās tuvākās sabiedrotās Baltkrievijas ārpolitikas interešu sasniegšanai.</w:t>
      </w:r>
    </w:p>
    <w:p w14:paraId="5ABF9437" w14:textId="77777777" w:rsidR="007607B1" w:rsidRPr="007607B1" w:rsidRDefault="007607B1" w:rsidP="005E35BE">
      <w:pPr>
        <w:spacing w:after="120"/>
        <w:ind w:firstLine="567"/>
        <w:jc w:val="both"/>
        <w:rPr>
          <w:rFonts w:ascii="Times New Roman" w:hAnsi="Times New Roman"/>
          <w:sz w:val="26"/>
          <w:szCs w:val="26"/>
        </w:rPr>
      </w:pPr>
    </w:p>
    <w:p w14:paraId="584CBF15" w14:textId="77777777" w:rsidR="002144AF" w:rsidRDefault="002144AF" w:rsidP="003E2466">
      <w:pPr>
        <w:pStyle w:val="Heading1"/>
        <w:spacing w:before="0" w:after="120"/>
        <w:jc w:val="center"/>
        <w:rPr>
          <w:rFonts w:ascii="Times New Roman" w:eastAsia="Times New Roman" w:hAnsi="Times New Roman"/>
          <w:bCs w:val="0"/>
          <w:color w:val="auto"/>
          <w:sz w:val="26"/>
          <w:szCs w:val="26"/>
          <w:lang w:eastAsia="en-US"/>
        </w:rPr>
      </w:pPr>
      <w:r w:rsidRPr="007607B1">
        <w:rPr>
          <w:rFonts w:ascii="Times New Roman" w:eastAsia="Times New Roman" w:hAnsi="Times New Roman"/>
          <w:bCs w:val="0"/>
          <w:color w:val="auto"/>
          <w:sz w:val="26"/>
          <w:szCs w:val="26"/>
          <w:lang w:eastAsia="en-US"/>
        </w:rPr>
        <w:t>Ietekme uz sabiedrību</w:t>
      </w:r>
    </w:p>
    <w:p w14:paraId="78B7029D" w14:textId="77777777" w:rsidR="00A41BAA" w:rsidRPr="00A41BAA" w:rsidRDefault="00A41BAA" w:rsidP="00A41BAA"/>
    <w:p w14:paraId="61E4B5E3" w14:textId="75555A32" w:rsidR="007320CD" w:rsidRPr="007320CD" w:rsidRDefault="007320CD" w:rsidP="007320CD">
      <w:pPr>
        <w:spacing w:after="120"/>
        <w:ind w:firstLine="720"/>
        <w:jc w:val="both"/>
        <w:rPr>
          <w:rFonts w:ascii="Times New Roman" w:hAnsi="Times New Roman"/>
          <w:sz w:val="26"/>
          <w:szCs w:val="26"/>
        </w:rPr>
      </w:pPr>
      <w:r w:rsidRPr="007320CD">
        <w:rPr>
          <w:rFonts w:ascii="Times New Roman" w:hAnsi="Times New Roman"/>
          <w:sz w:val="26"/>
          <w:szCs w:val="26"/>
          <w:lang w:eastAsia="lv-LV"/>
        </w:rPr>
        <w:t xml:space="preserve">2022.gadā ir sarucis gan pieteikumu skaits, gan kopējais personu (investoru ar ģimenes locekļiem) skaits, kas ierodas Latvijā. </w:t>
      </w:r>
      <w:r w:rsidRPr="007320CD">
        <w:rPr>
          <w:rFonts w:ascii="Times New Roman" w:hAnsi="Times New Roman"/>
          <w:sz w:val="26"/>
          <w:szCs w:val="26"/>
        </w:rPr>
        <w:t xml:space="preserve">Analizējot statistikas datus, var secināt, ka ir palielinājies trešo valstu pilsoņu skaits no valstīm ar atšķirīgu kultūru un tradīcijām. 2022.gadā reģistrēti pieteikumi arī no tādu valstu pilsoņiem kā Urugvajas, Melnkalnes, Vjetnamas un Singapūras. Savukārt samazinājies pieteikumu skaits ir no Krievijas Federācijas pilsoņiem. </w:t>
      </w:r>
    </w:p>
    <w:p w14:paraId="1E22BA95" w14:textId="69EFBF9E" w:rsidR="007320CD" w:rsidRPr="007320CD" w:rsidRDefault="007320CD" w:rsidP="007320CD">
      <w:pPr>
        <w:spacing w:after="120"/>
        <w:ind w:firstLine="720"/>
        <w:jc w:val="both"/>
        <w:rPr>
          <w:rFonts w:ascii="Times New Roman" w:hAnsi="Times New Roman"/>
          <w:sz w:val="26"/>
          <w:szCs w:val="26"/>
        </w:rPr>
      </w:pPr>
      <w:r w:rsidRPr="007320CD">
        <w:rPr>
          <w:rFonts w:ascii="Times New Roman" w:hAnsi="Times New Roman"/>
          <w:sz w:val="26"/>
          <w:szCs w:val="26"/>
        </w:rPr>
        <w:t xml:space="preserve">Ņemot vērā, ka </w:t>
      </w:r>
      <w:r w:rsidRPr="007320CD">
        <w:rPr>
          <w:rFonts w:ascii="Times New Roman" w:hAnsi="Times New Roman"/>
          <w:sz w:val="26"/>
          <w:szCs w:val="26"/>
          <w:lang w:eastAsia="lv-LV"/>
        </w:rPr>
        <w:t xml:space="preserve">Latvijā dalība integrācijas pasākumos ir brīvprātīga un noteikta līmeņa latviešu valodas zināšanas tiek prasītas, tikai stājoties darba attiecībās un pretendējot uz </w:t>
      </w:r>
      <w:r>
        <w:rPr>
          <w:rFonts w:ascii="Times New Roman" w:hAnsi="Times New Roman"/>
          <w:sz w:val="26"/>
          <w:szCs w:val="26"/>
          <w:lang w:eastAsia="lv-LV"/>
        </w:rPr>
        <w:t>PUA</w:t>
      </w:r>
      <w:r w:rsidRPr="007320CD">
        <w:rPr>
          <w:rFonts w:ascii="Times New Roman" w:hAnsi="Times New Roman"/>
          <w:sz w:val="26"/>
          <w:szCs w:val="26"/>
          <w:lang w:eastAsia="lv-LV"/>
        </w:rPr>
        <w:t xml:space="preserve"> saņemšanu, Latvijā </w:t>
      </w:r>
      <w:r w:rsidRPr="007320CD">
        <w:rPr>
          <w:rFonts w:ascii="Times New Roman" w:hAnsi="Times New Roman"/>
          <w:sz w:val="26"/>
          <w:szCs w:val="26"/>
        </w:rPr>
        <w:t xml:space="preserve">palielinās kultūras un valodu daudzveidība. </w:t>
      </w:r>
    </w:p>
    <w:p w14:paraId="355C95EF" w14:textId="1B9DB40F" w:rsidR="007320CD" w:rsidRPr="007320CD" w:rsidRDefault="007320CD" w:rsidP="007320CD">
      <w:pPr>
        <w:spacing w:after="120"/>
        <w:ind w:firstLine="720"/>
        <w:jc w:val="both"/>
        <w:rPr>
          <w:rFonts w:ascii="Times New Roman" w:hAnsi="Times New Roman"/>
          <w:sz w:val="26"/>
          <w:szCs w:val="26"/>
        </w:rPr>
      </w:pPr>
      <w:r w:rsidRPr="007320CD">
        <w:rPr>
          <w:rFonts w:ascii="Times New Roman" w:hAnsi="Times New Roman"/>
          <w:sz w:val="26"/>
          <w:szCs w:val="26"/>
        </w:rPr>
        <w:t xml:space="preserve">Lai nodrošinātu trešo valstu pilsoņu veiksmīgu iekļaušanos Latvijas sabiedrībā, būtiskas ir latviešu valodas zināšanas un izpratne par vietējās sabiedrības kultūru, noteikumiem un uzvedības normām. 2022.gadā gan latviešu valodas mācības, gan kultūrorientācijas kursi Latvijā bija pieejami Patvēruma, migrācijas un integrācijas fonda 2014.-2020.gada </w:t>
      </w:r>
      <w:r w:rsidR="0068299A" w:rsidRPr="007320CD">
        <w:rPr>
          <w:rFonts w:ascii="Times New Roman" w:hAnsi="Times New Roman"/>
          <w:sz w:val="26"/>
          <w:szCs w:val="26"/>
        </w:rPr>
        <w:t xml:space="preserve">(turpmāk – PMIF) </w:t>
      </w:r>
      <w:r w:rsidRPr="007320CD">
        <w:rPr>
          <w:rFonts w:ascii="Times New Roman" w:hAnsi="Times New Roman"/>
          <w:sz w:val="26"/>
          <w:szCs w:val="26"/>
        </w:rPr>
        <w:t>plānošanas perioda ietvaros īstenotajos projektos.</w:t>
      </w:r>
    </w:p>
    <w:p w14:paraId="1F1B51EF" w14:textId="37871913" w:rsidR="007320CD" w:rsidRPr="007320CD" w:rsidRDefault="007320CD" w:rsidP="004C2563">
      <w:pPr>
        <w:spacing w:after="120"/>
        <w:ind w:firstLine="567"/>
        <w:rPr>
          <w:rStyle w:val="Strong"/>
          <w:rFonts w:ascii="Times New Roman" w:hAnsi="Times New Roman"/>
          <w:sz w:val="26"/>
          <w:szCs w:val="26"/>
        </w:rPr>
      </w:pPr>
      <w:r w:rsidRPr="007320CD">
        <w:rPr>
          <w:rStyle w:val="Strong"/>
          <w:rFonts w:ascii="Times New Roman" w:hAnsi="Times New Roman"/>
          <w:sz w:val="26"/>
          <w:szCs w:val="26"/>
        </w:rPr>
        <w:lastRenderedPageBreak/>
        <w:t xml:space="preserve">2022.gadā PMIF ietvaros norisinājās projektu īstenošana vairākās aktivitātēs, kas veicina trešo valstu pilsoņu iekļaušanos sabiedrībā: </w:t>
      </w:r>
    </w:p>
    <w:p w14:paraId="7622F9B0" w14:textId="77777777" w:rsidR="007320CD" w:rsidRPr="007320CD" w:rsidRDefault="007320CD" w:rsidP="007320CD">
      <w:pPr>
        <w:pStyle w:val="ListParagraph"/>
        <w:spacing w:after="120"/>
        <w:ind w:left="0" w:firstLine="720"/>
        <w:contextualSpacing w:val="0"/>
        <w:jc w:val="both"/>
        <w:rPr>
          <w:rFonts w:ascii="Times New Roman" w:hAnsi="Times New Roman"/>
          <w:sz w:val="26"/>
          <w:szCs w:val="26"/>
        </w:rPr>
      </w:pPr>
      <w:r w:rsidRPr="007320CD">
        <w:rPr>
          <w:rStyle w:val="Strong"/>
          <w:rFonts w:ascii="Times New Roman" w:hAnsi="Times New Roman"/>
          <w:sz w:val="26"/>
          <w:szCs w:val="26"/>
        </w:rPr>
        <w:t xml:space="preserve">1. </w:t>
      </w:r>
      <w:r w:rsidRPr="007320CD">
        <w:rPr>
          <w:rFonts w:ascii="Times New Roman" w:hAnsi="Times New Roman"/>
          <w:sz w:val="26"/>
          <w:szCs w:val="26"/>
        </w:rPr>
        <w:t>„</w:t>
      </w:r>
      <w:r w:rsidRPr="007320CD">
        <w:rPr>
          <w:rFonts w:ascii="Times New Roman" w:hAnsi="Times New Roman"/>
          <w:b/>
          <w:bCs/>
          <w:sz w:val="26"/>
          <w:szCs w:val="26"/>
        </w:rPr>
        <w:t>Nacionāla līmeņa koordinācijas sistēmas izveide, lai nodrošinātu atbalstu imigrantu līdzdalībai, kas saņēmuši tiesības uzturēties Latvijas teritorijā</w:t>
      </w:r>
      <w:r w:rsidRPr="007320CD">
        <w:rPr>
          <w:rFonts w:ascii="Times New Roman" w:hAnsi="Times New Roman"/>
          <w:sz w:val="26"/>
          <w:szCs w:val="26"/>
        </w:rPr>
        <w:t xml:space="preserve">”. Aktivitātes ietvaros turpinājās projekts „Informācijas centrs iebraucējiem”, ko īstenoja biedrība „Patvērums „Drošā mājā””. Projekta ietvaros 2022.gada trijos ceturkšņos tika nodrošinātas </w:t>
      </w:r>
      <w:r w:rsidRPr="007320CD">
        <w:rPr>
          <w:rFonts w:ascii="Times New Roman" w:hAnsi="Times New Roman"/>
          <w:b/>
          <w:bCs/>
          <w:sz w:val="26"/>
          <w:szCs w:val="26"/>
        </w:rPr>
        <w:t>2875 bezmaksas konsultācijas</w:t>
      </w:r>
      <w:r w:rsidRPr="007320CD">
        <w:rPr>
          <w:rFonts w:ascii="Times New Roman" w:hAnsi="Times New Roman"/>
          <w:sz w:val="26"/>
          <w:szCs w:val="26"/>
        </w:rPr>
        <w:t xml:space="preserve"> trešo valstu pilsoņiem par dažādām tēmām: nodarbinātība, migrācija (uzturēšanās atļaujas, vīzas), namīpašuma tiesības (ar mājokli saistīti jautājumi), ģimenes tiesības (ģimenes atkalapvienošanās, šķiršanās, mantojuma lietas utt.), izglītības dokumentu atzīšana, uzņēmējdarbības uzsākšana (jautājumi, kas saistīti ar uzņēmējdarbību utt.). Ir nodrošināti arī tulka pakalpojumi </w:t>
      </w:r>
      <w:r w:rsidRPr="007320CD">
        <w:rPr>
          <w:rFonts w:ascii="Times New Roman" w:hAnsi="Times New Roman"/>
          <w:b/>
          <w:bCs/>
          <w:sz w:val="26"/>
          <w:szCs w:val="26"/>
        </w:rPr>
        <w:t>152 personām</w:t>
      </w:r>
      <w:r w:rsidRPr="007320CD">
        <w:rPr>
          <w:rFonts w:ascii="Times New Roman" w:hAnsi="Times New Roman"/>
          <w:sz w:val="26"/>
          <w:szCs w:val="26"/>
        </w:rPr>
        <w:t xml:space="preserve"> dažādās valodās, piemēram, dari, persiešu, puštu, urdu, arābu, franču, kurdu, pandžabu, ķīniešu, turku, uzbeku, hindi, tamilu, spāņu, sorani, bengāļu, vjetnamiešu, tigriņu u.c.</w:t>
      </w:r>
    </w:p>
    <w:p w14:paraId="36D1DA29" w14:textId="77777777" w:rsidR="007320CD" w:rsidRPr="007320CD" w:rsidRDefault="007320CD" w:rsidP="007320CD">
      <w:pPr>
        <w:pStyle w:val="ListParagraph"/>
        <w:spacing w:after="120"/>
        <w:ind w:left="0" w:firstLine="720"/>
        <w:contextualSpacing w:val="0"/>
        <w:jc w:val="both"/>
        <w:rPr>
          <w:rFonts w:ascii="Times New Roman" w:hAnsi="Times New Roman"/>
          <w:sz w:val="26"/>
          <w:szCs w:val="26"/>
        </w:rPr>
      </w:pPr>
      <w:r w:rsidRPr="007320CD">
        <w:rPr>
          <w:rFonts w:ascii="Times New Roman" w:hAnsi="Times New Roman"/>
          <w:sz w:val="26"/>
          <w:szCs w:val="26"/>
        </w:rPr>
        <w:t>2. „</w:t>
      </w:r>
      <w:r w:rsidRPr="007320CD">
        <w:rPr>
          <w:rFonts w:ascii="Times New Roman" w:hAnsi="Times New Roman"/>
          <w:b/>
          <w:bCs/>
          <w:sz w:val="26"/>
          <w:szCs w:val="26"/>
        </w:rPr>
        <w:t>Latviešu valodas lietošanas publiskajā telpā, tai skaitā daudzveidīgu pieeju latviešu valodas apguvē, attīstīšana</w:t>
      </w:r>
      <w:r w:rsidRPr="007320CD">
        <w:rPr>
          <w:rFonts w:ascii="Times New Roman" w:hAnsi="Times New Roman"/>
          <w:sz w:val="26"/>
          <w:szCs w:val="26"/>
        </w:rPr>
        <w:t xml:space="preserve">”. Aktivitātes ietvaros 2022.gadā tika īstenoti septiņi projekti, kuru ietvaros latviešu valodas mācības ir apguvušas </w:t>
      </w:r>
      <w:r w:rsidRPr="007320CD">
        <w:rPr>
          <w:rFonts w:ascii="Times New Roman" w:hAnsi="Times New Roman"/>
          <w:b/>
          <w:bCs/>
          <w:sz w:val="26"/>
          <w:szCs w:val="26"/>
        </w:rPr>
        <w:t>1 364 personas</w:t>
      </w:r>
      <w:r w:rsidRPr="007320CD">
        <w:rPr>
          <w:rFonts w:ascii="Times New Roman" w:hAnsi="Times New Roman"/>
          <w:sz w:val="26"/>
          <w:szCs w:val="26"/>
        </w:rPr>
        <w:t>.</w:t>
      </w:r>
    </w:p>
    <w:p w14:paraId="2BAB2F3D" w14:textId="77777777" w:rsidR="007320CD" w:rsidRPr="007320CD" w:rsidRDefault="007320CD" w:rsidP="007320CD">
      <w:pPr>
        <w:pStyle w:val="ListParagraph"/>
        <w:spacing w:after="120"/>
        <w:ind w:left="0" w:firstLine="720"/>
        <w:contextualSpacing w:val="0"/>
        <w:jc w:val="both"/>
        <w:rPr>
          <w:rFonts w:ascii="Times New Roman" w:hAnsi="Times New Roman"/>
          <w:sz w:val="26"/>
          <w:szCs w:val="26"/>
        </w:rPr>
      </w:pPr>
      <w:r w:rsidRPr="007320CD">
        <w:rPr>
          <w:rFonts w:ascii="Times New Roman" w:hAnsi="Times New Roman"/>
          <w:sz w:val="26"/>
          <w:szCs w:val="26"/>
        </w:rPr>
        <w:t xml:space="preserve">3. „Trešo valstu valstspiederīgo iesaistīšana Latvijas sabiedriskajā dzīvē, tai skaitā atbalsts mazaizsargātu personu (sievietes, bērni, veci cilvēki) un starptautiskās aizsardzības personu līdzdalības nodrošināšanai”. Aktivitātes ietvaros 2022.gadā tika īstenoti divi projekti, kuru ietvaros integrācijas jeb kultūrorientācijas kursus ir apmeklējušas </w:t>
      </w:r>
      <w:r w:rsidRPr="007320CD">
        <w:rPr>
          <w:rFonts w:ascii="Times New Roman" w:hAnsi="Times New Roman"/>
          <w:b/>
          <w:bCs/>
          <w:sz w:val="26"/>
          <w:szCs w:val="26"/>
        </w:rPr>
        <w:t>1 082 personas</w:t>
      </w:r>
      <w:r w:rsidRPr="007320CD">
        <w:rPr>
          <w:rFonts w:ascii="Times New Roman" w:hAnsi="Times New Roman"/>
          <w:sz w:val="26"/>
          <w:szCs w:val="26"/>
        </w:rPr>
        <w:t xml:space="preserve">.  </w:t>
      </w:r>
    </w:p>
    <w:p w14:paraId="61D7B1A0" w14:textId="77777777" w:rsidR="008D5167" w:rsidRPr="005E2529" w:rsidRDefault="008D5167">
      <w:pPr>
        <w:rPr>
          <w:rFonts w:ascii="Times New Roman" w:hAnsi="Times New Roman"/>
          <w:sz w:val="26"/>
          <w:szCs w:val="26"/>
        </w:rPr>
      </w:pPr>
      <w:r w:rsidRPr="005E2529">
        <w:rPr>
          <w:rFonts w:ascii="Times New Roman" w:hAnsi="Times New Roman"/>
          <w:sz w:val="26"/>
          <w:szCs w:val="26"/>
        </w:rPr>
        <w:br w:type="page"/>
      </w:r>
    </w:p>
    <w:p w14:paraId="2F5E2CF7" w14:textId="00AFF016" w:rsidR="009B10A4" w:rsidRPr="00EB3B24" w:rsidRDefault="009B10A4" w:rsidP="007607B1">
      <w:pPr>
        <w:pStyle w:val="Heading1"/>
        <w:spacing w:before="0" w:after="120"/>
        <w:jc w:val="center"/>
        <w:rPr>
          <w:rFonts w:ascii="Times New Roman" w:eastAsia="Times New Roman" w:hAnsi="Times New Roman"/>
          <w:bCs w:val="0"/>
          <w:color w:val="auto"/>
          <w:sz w:val="26"/>
          <w:szCs w:val="26"/>
          <w:lang w:eastAsia="en-US"/>
        </w:rPr>
      </w:pPr>
      <w:bookmarkStart w:id="24" w:name="_Toc429659172"/>
      <w:r w:rsidRPr="00EB3B24">
        <w:rPr>
          <w:rFonts w:ascii="Times New Roman" w:eastAsia="Times New Roman" w:hAnsi="Times New Roman"/>
          <w:bCs w:val="0"/>
          <w:color w:val="auto"/>
          <w:sz w:val="26"/>
          <w:szCs w:val="26"/>
          <w:lang w:eastAsia="en-US"/>
        </w:rPr>
        <w:lastRenderedPageBreak/>
        <w:t>Secinājumi</w:t>
      </w:r>
      <w:bookmarkEnd w:id="23"/>
      <w:bookmarkEnd w:id="24"/>
      <w:r w:rsidR="00EA025A" w:rsidRPr="00EB3B24">
        <w:rPr>
          <w:rFonts w:ascii="Times New Roman" w:eastAsia="Times New Roman" w:hAnsi="Times New Roman"/>
          <w:bCs w:val="0"/>
          <w:color w:val="auto"/>
          <w:sz w:val="26"/>
          <w:szCs w:val="26"/>
          <w:lang w:eastAsia="en-US"/>
        </w:rPr>
        <w:t xml:space="preserve"> un ieteikumi turpmākai rīcībai</w:t>
      </w:r>
    </w:p>
    <w:p w14:paraId="1FEC3148" w14:textId="77777777" w:rsidR="00A41BAA" w:rsidRPr="00EB3B24" w:rsidRDefault="00A41BAA" w:rsidP="00A41BAA"/>
    <w:p w14:paraId="0A4CD07D" w14:textId="433D5D6B" w:rsidR="00D22457" w:rsidRPr="00EB3B24" w:rsidRDefault="003C72E6" w:rsidP="00EB3B24">
      <w:pPr>
        <w:pStyle w:val="ListParagraph"/>
        <w:numPr>
          <w:ilvl w:val="0"/>
          <w:numId w:val="22"/>
        </w:numPr>
        <w:spacing w:after="120"/>
        <w:ind w:left="0" w:firstLine="357"/>
        <w:contextualSpacing w:val="0"/>
        <w:jc w:val="both"/>
        <w:rPr>
          <w:rFonts w:ascii="Times New Roman" w:hAnsi="Times New Roman"/>
          <w:sz w:val="26"/>
          <w:szCs w:val="26"/>
        </w:rPr>
      </w:pPr>
      <w:r w:rsidRPr="00EB3B24">
        <w:rPr>
          <w:rFonts w:ascii="Times New Roman" w:hAnsi="Times New Roman"/>
          <w:sz w:val="26"/>
          <w:szCs w:val="26"/>
        </w:rPr>
        <w:t>No 2010.gada 1.jūlija līdz 20</w:t>
      </w:r>
      <w:r w:rsidR="00CF47DD" w:rsidRPr="00EB3B24">
        <w:rPr>
          <w:rFonts w:ascii="Times New Roman" w:hAnsi="Times New Roman"/>
          <w:sz w:val="26"/>
          <w:szCs w:val="26"/>
        </w:rPr>
        <w:t>2</w:t>
      </w:r>
      <w:r w:rsidR="00EB3B24" w:rsidRPr="00EB3B24">
        <w:rPr>
          <w:rFonts w:ascii="Times New Roman" w:hAnsi="Times New Roman"/>
          <w:sz w:val="26"/>
          <w:szCs w:val="26"/>
        </w:rPr>
        <w:t>2</w:t>
      </w:r>
      <w:r w:rsidRPr="00EB3B24">
        <w:rPr>
          <w:rFonts w:ascii="Times New Roman" w:hAnsi="Times New Roman"/>
          <w:sz w:val="26"/>
          <w:szCs w:val="26"/>
        </w:rPr>
        <w:t>.gada 3</w:t>
      </w:r>
      <w:r w:rsidR="00CF47DD" w:rsidRPr="00EB3B24">
        <w:rPr>
          <w:rFonts w:ascii="Times New Roman" w:hAnsi="Times New Roman"/>
          <w:sz w:val="26"/>
          <w:szCs w:val="26"/>
        </w:rPr>
        <w:t>1</w:t>
      </w:r>
      <w:r w:rsidRPr="00EB3B24">
        <w:rPr>
          <w:rFonts w:ascii="Times New Roman" w:hAnsi="Times New Roman"/>
          <w:sz w:val="26"/>
          <w:szCs w:val="26"/>
        </w:rPr>
        <w:t>.</w:t>
      </w:r>
      <w:r w:rsidR="00CF47DD" w:rsidRPr="00EB3B24">
        <w:rPr>
          <w:rFonts w:ascii="Times New Roman" w:hAnsi="Times New Roman"/>
          <w:sz w:val="26"/>
          <w:szCs w:val="26"/>
        </w:rPr>
        <w:t>decembrim</w:t>
      </w:r>
      <w:r w:rsidRPr="00EB3B24">
        <w:rPr>
          <w:rFonts w:ascii="Times New Roman" w:hAnsi="Times New Roman"/>
          <w:sz w:val="26"/>
          <w:szCs w:val="26"/>
        </w:rPr>
        <w:t xml:space="preserve"> investīciju programmas ietvaros PMLP ir izsniegusi </w:t>
      </w:r>
      <w:r w:rsidR="00CF47DD" w:rsidRPr="00EB3B24">
        <w:rPr>
          <w:rFonts w:ascii="Times New Roman" w:hAnsi="Times New Roman"/>
          <w:sz w:val="26"/>
          <w:szCs w:val="26"/>
        </w:rPr>
        <w:t>19</w:t>
      </w:r>
      <w:r w:rsidR="00EB3B24" w:rsidRPr="00EB3B24">
        <w:rPr>
          <w:rFonts w:ascii="Times New Roman" w:hAnsi="Times New Roman"/>
          <w:sz w:val="26"/>
          <w:szCs w:val="26"/>
        </w:rPr>
        <w:t>,6</w:t>
      </w:r>
      <w:r w:rsidR="00074EFD" w:rsidRPr="00EB3B24">
        <w:rPr>
          <w:rFonts w:ascii="Times New Roman" w:hAnsi="Times New Roman"/>
          <w:sz w:val="26"/>
          <w:szCs w:val="26"/>
        </w:rPr>
        <w:t xml:space="preserve"> tūkst. </w:t>
      </w:r>
      <w:r w:rsidRPr="00EB3B24">
        <w:rPr>
          <w:rFonts w:ascii="Times New Roman" w:hAnsi="Times New Roman"/>
          <w:sz w:val="26"/>
          <w:szCs w:val="26"/>
        </w:rPr>
        <w:t xml:space="preserve">TUA. </w:t>
      </w:r>
      <w:r w:rsidR="00EB3B24" w:rsidRPr="00EB3B24">
        <w:rPr>
          <w:rFonts w:ascii="Times New Roman" w:hAnsi="Times New Roman"/>
          <w:sz w:val="26"/>
          <w:szCs w:val="26"/>
        </w:rPr>
        <w:t>251 gadījumā</w:t>
      </w:r>
      <w:r w:rsidRPr="00EB3B24">
        <w:rPr>
          <w:rFonts w:ascii="Times New Roman" w:hAnsi="Times New Roman"/>
          <w:sz w:val="26"/>
          <w:szCs w:val="26"/>
        </w:rPr>
        <w:t xml:space="preserve"> TUA izsniegšana investoriem atteikta, bet anulētas kopā </w:t>
      </w:r>
      <w:r w:rsidR="00EB3B24" w:rsidRPr="00EB3B24">
        <w:rPr>
          <w:rFonts w:ascii="Times New Roman" w:hAnsi="Times New Roman"/>
          <w:sz w:val="26"/>
          <w:szCs w:val="26"/>
        </w:rPr>
        <w:t>3110</w:t>
      </w:r>
      <w:r w:rsidR="00CF47DD" w:rsidRPr="00EB3B24">
        <w:rPr>
          <w:rFonts w:ascii="Times New Roman" w:hAnsi="Times New Roman"/>
          <w:sz w:val="26"/>
          <w:szCs w:val="26"/>
        </w:rPr>
        <w:t xml:space="preserve"> </w:t>
      </w:r>
      <w:r w:rsidRPr="00EB3B24">
        <w:rPr>
          <w:rFonts w:ascii="Times New Roman" w:hAnsi="Times New Roman"/>
          <w:sz w:val="26"/>
          <w:szCs w:val="26"/>
        </w:rPr>
        <w:t>TUA.</w:t>
      </w:r>
      <w:r w:rsidR="000E27D0" w:rsidRPr="00EB3B24">
        <w:rPr>
          <w:rFonts w:ascii="Times New Roman" w:hAnsi="Times New Roman"/>
          <w:sz w:val="26"/>
          <w:szCs w:val="26"/>
        </w:rPr>
        <w:t xml:space="preserve"> </w:t>
      </w:r>
      <w:r w:rsidR="00A33A5F" w:rsidRPr="00EB3B24">
        <w:rPr>
          <w:rFonts w:ascii="Times New Roman" w:hAnsi="Times New Roman"/>
          <w:sz w:val="26"/>
          <w:szCs w:val="26"/>
        </w:rPr>
        <w:t>2</w:t>
      </w:r>
      <w:r w:rsidR="000E27D0" w:rsidRPr="00EB3B24">
        <w:rPr>
          <w:rFonts w:ascii="Times New Roman" w:hAnsi="Times New Roman"/>
          <w:sz w:val="26"/>
          <w:szCs w:val="26"/>
        </w:rPr>
        <w:t>0</w:t>
      </w:r>
      <w:r w:rsidR="00CF47DD" w:rsidRPr="00EB3B24">
        <w:rPr>
          <w:rFonts w:ascii="Times New Roman" w:hAnsi="Times New Roman"/>
          <w:sz w:val="26"/>
          <w:szCs w:val="26"/>
        </w:rPr>
        <w:t>2</w:t>
      </w:r>
      <w:r w:rsidR="00EB3B24" w:rsidRPr="00EB3B24">
        <w:rPr>
          <w:rFonts w:ascii="Times New Roman" w:hAnsi="Times New Roman"/>
          <w:sz w:val="26"/>
          <w:szCs w:val="26"/>
        </w:rPr>
        <w:t>2</w:t>
      </w:r>
      <w:r w:rsidR="000E27D0" w:rsidRPr="00EB3B24">
        <w:rPr>
          <w:rFonts w:ascii="Times New Roman" w:hAnsi="Times New Roman"/>
          <w:sz w:val="26"/>
          <w:szCs w:val="26"/>
        </w:rPr>
        <w:t xml:space="preserve">.gada </w:t>
      </w:r>
      <w:r w:rsidR="00CF47DD" w:rsidRPr="00EB3B24">
        <w:rPr>
          <w:rFonts w:ascii="Times New Roman" w:hAnsi="Times New Roman"/>
          <w:sz w:val="26"/>
          <w:szCs w:val="26"/>
        </w:rPr>
        <w:t>3</w:t>
      </w:r>
      <w:r w:rsidR="000E27D0" w:rsidRPr="00EB3B24">
        <w:rPr>
          <w:rFonts w:ascii="Times New Roman" w:hAnsi="Times New Roman"/>
          <w:sz w:val="26"/>
          <w:szCs w:val="26"/>
        </w:rPr>
        <w:t>1.</w:t>
      </w:r>
      <w:r w:rsidR="00CF47DD" w:rsidRPr="00EB3B24">
        <w:rPr>
          <w:rFonts w:ascii="Times New Roman" w:hAnsi="Times New Roman"/>
          <w:sz w:val="26"/>
          <w:szCs w:val="26"/>
        </w:rPr>
        <w:t>decembrī</w:t>
      </w:r>
      <w:r w:rsidR="000E27D0" w:rsidRPr="00EB3B24">
        <w:rPr>
          <w:rFonts w:ascii="Times New Roman" w:hAnsi="Times New Roman"/>
          <w:sz w:val="26"/>
          <w:szCs w:val="26"/>
        </w:rPr>
        <w:t xml:space="preserve"> Latvijas Republikā uzturējās </w:t>
      </w:r>
      <w:r w:rsidR="00EB3B24">
        <w:rPr>
          <w:rFonts w:ascii="Times New Roman" w:hAnsi="Times New Roman"/>
          <w:sz w:val="26"/>
          <w:szCs w:val="26"/>
        </w:rPr>
        <w:t>5675</w:t>
      </w:r>
      <w:r w:rsidR="00057AFF" w:rsidRPr="00EB3B24">
        <w:rPr>
          <w:rFonts w:ascii="Times New Roman" w:hAnsi="Times New Roman"/>
          <w:sz w:val="26"/>
          <w:szCs w:val="26"/>
        </w:rPr>
        <w:t xml:space="preserve"> </w:t>
      </w:r>
      <w:r w:rsidR="000E27D0" w:rsidRPr="00EB3B24">
        <w:rPr>
          <w:rFonts w:ascii="Times New Roman" w:hAnsi="Times New Roman"/>
          <w:sz w:val="26"/>
          <w:szCs w:val="26"/>
        </w:rPr>
        <w:t>investor</w:t>
      </w:r>
      <w:r w:rsidR="00057AFF" w:rsidRPr="00EB3B24">
        <w:rPr>
          <w:rFonts w:ascii="Times New Roman" w:hAnsi="Times New Roman"/>
          <w:sz w:val="26"/>
          <w:szCs w:val="26"/>
        </w:rPr>
        <w:t>i</w:t>
      </w:r>
      <w:r w:rsidR="000E27D0" w:rsidRPr="00EB3B24">
        <w:rPr>
          <w:rFonts w:ascii="Times New Roman" w:hAnsi="Times New Roman"/>
          <w:sz w:val="26"/>
          <w:szCs w:val="26"/>
        </w:rPr>
        <w:t xml:space="preserve"> un viņ</w:t>
      </w:r>
      <w:r w:rsidR="00057AFF" w:rsidRPr="00EB3B24">
        <w:rPr>
          <w:rFonts w:ascii="Times New Roman" w:hAnsi="Times New Roman"/>
          <w:sz w:val="26"/>
          <w:szCs w:val="26"/>
        </w:rPr>
        <w:t>u ģimenes locekļi</w:t>
      </w:r>
      <w:r w:rsidR="000E27D0" w:rsidRPr="00EB3B24">
        <w:rPr>
          <w:rFonts w:ascii="Times New Roman" w:hAnsi="Times New Roman"/>
          <w:sz w:val="26"/>
          <w:szCs w:val="26"/>
        </w:rPr>
        <w:t xml:space="preserve"> ar derīgām TUA</w:t>
      </w:r>
      <w:r w:rsidR="00CF47DD" w:rsidRPr="00EB3B24">
        <w:rPr>
          <w:rFonts w:ascii="Times New Roman" w:hAnsi="Times New Roman"/>
          <w:sz w:val="26"/>
          <w:szCs w:val="26"/>
        </w:rPr>
        <w:t xml:space="preserve">. </w:t>
      </w:r>
    </w:p>
    <w:p w14:paraId="65DBE49C" w14:textId="29F2DC6A" w:rsidR="00CD6552" w:rsidRPr="00EB3B24" w:rsidRDefault="00055839" w:rsidP="00CD6552">
      <w:pPr>
        <w:pStyle w:val="ListParagraph"/>
        <w:numPr>
          <w:ilvl w:val="0"/>
          <w:numId w:val="22"/>
        </w:numPr>
        <w:spacing w:after="120"/>
        <w:ind w:left="0" w:firstLine="357"/>
        <w:contextualSpacing w:val="0"/>
        <w:jc w:val="both"/>
        <w:rPr>
          <w:rFonts w:ascii="Times New Roman" w:hAnsi="Times New Roman"/>
          <w:sz w:val="26"/>
          <w:szCs w:val="26"/>
        </w:rPr>
      </w:pPr>
      <w:r w:rsidRPr="00EB3B24">
        <w:rPr>
          <w:rFonts w:ascii="Times New Roman" w:hAnsi="Times New Roman"/>
          <w:sz w:val="26"/>
          <w:szCs w:val="26"/>
        </w:rPr>
        <w:t>Nerezidentu ar TUA saņemšanu saistītie ieguldījumi</w:t>
      </w:r>
      <w:r w:rsidR="00E72462" w:rsidRPr="00EB3B24">
        <w:rPr>
          <w:rFonts w:ascii="Times New Roman" w:hAnsi="Times New Roman"/>
          <w:sz w:val="26"/>
          <w:szCs w:val="26"/>
        </w:rPr>
        <w:t xml:space="preserve"> no 2010.gada 1.jūlija līdz 20</w:t>
      </w:r>
      <w:r w:rsidR="00CD6552" w:rsidRPr="00EB3B24">
        <w:rPr>
          <w:rFonts w:ascii="Times New Roman" w:hAnsi="Times New Roman"/>
          <w:sz w:val="26"/>
          <w:szCs w:val="26"/>
        </w:rPr>
        <w:t>2</w:t>
      </w:r>
      <w:r w:rsidR="00EB3B24" w:rsidRPr="00EB3B24">
        <w:rPr>
          <w:rFonts w:ascii="Times New Roman" w:hAnsi="Times New Roman"/>
          <w:sz w:val="26"/>
          <w:szCs w:val="26"/>
        </w:rPr>
        <w:t>2</w:t>
      </w:r>
      <w:r w:rsidRPr="00EB3B24">
        <w:rPr>
          <w:rFonts w:ascii="Times New Roman" w:hAnsi="Times New Roman"/>
          <w:sz w:val="26"/>
          <w:szCs w:val="26"/>
        </w:rPr>
        <w:t>.gada 3</w:t>
      </w:r>
      <w:r w:rsidR="008A1B91" w:rsidRPr="00EB3B24">
        <w:rPr>
          <w:rFonts w:ascii="Times New Roman" w:hAnsi="Times New Roman"/>
          <w:sz w:val="26"/>
          <w:szCs w:val="26"/>
        </w:rPr>
        <w:t>1.decembrim</w:t>
      </w:r>
      <w:r w:rsidRPr="00EB3B24">
        <w:rPr>
          <w:rFonts w:ascii="Times New Roman" w:hAnsi="Times New Roman"/>
          <w:sz w:val="26"/>
          <w:szCs w:val="26"/>
        </w:rPr>
        <w:t xml:space="preserve"> bija 1,</w:t>
      </w:r>
      <w:r w:rsidR="00EB3B24" w:rsidRPr="00EB3B24">
        <w:rPr>
          <w:rFonts w:ascii="Times New Roman" w:hAnsi="Times New Roman"/>
          <w:sz w:val="26"/>
          <w:szCs w:val="26"/>
        </w:rPr>
        <w:t>61</w:t>
      </w:r>
      <w:r w:rsidRPr="00EB3B24">
        <w:rPr>
          <w:rFonts w:ascii="Times New Roman" w:hAnsi="Times New Roman"/>
          <w:sz w:val="26"/>
          <w:szCs w:val="26"/>
        </w:rPr>
        <w:t xml:space="preserve"> mljrd. </w:t>
      </w:r>
      <w:r w:rsidRPr="00EB3B24">
        <w:rPr>
          <w:rFonts w:ascii="Times New Roman" w:hAnsi="Times New Roman"/>
          <w:i/>
          <w:sz w:val="26"/>
          <w:szCs w:val="26"/>
        </w:rPr>
        <w:t>euro</w:t>
      </w:r>
      <w:r w:rsidR="00CD6552" w:rsidRPr="00EB3B24">
        <w:rPr>
          <w:rFonts w:ascii="Times New Roman" w:hAnsi="Times New Roman"/>
          <w:sz w:val="26"/>
          <w:szCs w:val="26"/>
        </w:rPr>
        <w:t xml:space="preserve">. </w:t>
      </w:r>
    </w:p>
    <w:p w14:paraId="4E266948" w14:textId="4C4E94E1" w:rsidR="002117E7" w:rsidRPr="00EB3B24" w:rsidRDefault="006B62D6" w:rsidP="00CD6552">
      <w:pPr>
        <w:pStyle w:val="ListParagraph"/>
        <w:numPr>
          <w:ilvl w:val="0"/>
          <w:numId w:val="22"/>
        </w:numPr>
        <w:spacing w:after="120"/>
        <w:ind w:left="0" w:firstLine="357"/>
        <w:contextualSpacing w:val="0"/>
        <w:jc w:val="both"/>
        <w:rPr>
          <w:rFonts w:ascii="Times New Roman" w:hAnsi="Times New Roman"/>
          <w:sz w:val="26"/>
          <w:szCs w:val="26"/>
        </w:rPr>
      </w:pPr>
      <w:r w:rsidRPr="00EB3B24">
        <w:rPr>
          <w:rFonts w:ascii="Times New Roman" w:hAnsi="Times New Roman"/>
          <w:sz w:val="26"/>
          <w:szCs w:val="26"/>
        </w:rPr>
        <w:t>No kopumā investīciju programmas ietvar</w:t>
      </w:r>
      <w:r w:rsidR="00E72462" w:rsidRPr="00EB3B24">
        <w:rPr>
          <w:rFonts w:ascii="Times New Roman" w:hAnsi="Times New Roman"/>
          <w:sz w:val="26"/>
          <w:szCs w:val="26"/>
        </w:rPr>
        <w:t>os ieguldītajiem līdzekļiem 8</w:t>
      </w:r>
      <w:r w:rsidR="00C71B91" w:rsidRPr="00EB3B24">
        <w:rPr>
          <w:rFonts w:ascii="Times New Roman" w:hAnsi="Times New Roman"/>
          <w:sz w:val="26"/>
          <w:szCs w:val="26"/>
        </w:rPr>
        <w:t>3</w:t>
      </w:r>
      <w:r w:rsidRPr="00EB3B24">
        <w:rPr>
          <w:rFonts w:ascii="Times New Roman" w:hAnsi="Times New Roman"/>
          <w:sz w:val="26"/>
          <w:szCs w:val="26"/>
        </w:rPr>
        <w:t>% jeb 1,</w:t>
      </w:r>
      <w:r w:rsidR="00CD6552" w:rsidRPr="00EB3B24">
        <w:rPr>
          <w:rFonts w:ascii="Times New Roman" w:hAnsi="Times New Roman"/>
          <w:sz w:val="26"/>
          <w:szCs w:val="26"/>
        </w:rPr>
        <w:t>3</w:t>
      </w:r>
      <w:r w:rsidR="00EB3B24" w:rsidRPr="00EB3B24">
        <w:rPr>
          <w:rFonts w:ascii="Times New Roman" w:hAnsi="Times New Roman"/>
          <w:sz w:val="26"/>
          <w:szCs w:val="26"/>
        </w:rPr>
        <w:t>4</w:t>
      </w:r>
      <w:r w:rsidRPr="00EB3B24">
        <w:rPr>
          <w:rFonts w:ascii="Times New Roman" w:hAnsi="Times New Roman"/>
          <w:sz w:val="26"/>
          <w:szCs w:val="26"/>
        </w:rPr>
        <w:t xml:space="preserve"> mljrd. </w:t>
      </w:r>
      <w:r w:rsidRPr="00EB3B24">
        <w:rPr>
          <w:rFonts w:ascii="Times New Roman" w:hAnsi="Times New Roman"/>
          <w:i/>
          <w:sz w:val="26"/>
          <w:szCs w:val="26"/>
        </w:rPr>
        <w:t>euro</w:t>
      </w:r>
      <w:r w:rsidRPr="00EB3B24">
        <w:rPr>
          <w:rFonts w:ascii="Times New Roman" w:hAnsi="Times New Roman"/>
          <w:sz w:val="26"/>
          <w:szCs w:val="26"/>
        </w:rPr>
        <w:t xml:space="preserve"> ir saistīti ar darījumiem Latvijas nekustamā īpašuma tirgū</w:t>
      </w:r>
      <w:r w:rsidR="00E73730" w:rsidRPr="00EB3B24">
        <w:rPr>
          <w:rFonts w:ascii="Times New Roman" w:hAnsi="Times New Roman"/>
          <w:sz w:val="26"/>
          <w:szCs w:val="26"/>
        </w:rPr>
        <w:t xml:space="preserve">. </w:t>
      </w:r>
      <w:bookmarkStart w:id="25" w:name="_Hlk24462064"/>
      <w:r w:rsidR="00E73730" w:rsidRPr="00EB3B24">
        <w:rPr>
          <w:rFonts w:ascii="Times New Roman" w:hAnsi="Times New Roman"/>
          <w:sz w:val="26"/>
          <w:szCs w:val="26"/>
        </w:rPr>
        <w:t>Ieguldījumi kredītiestāžu p</w:t>
      </w:r>
      <w:r w:rsidR="00E72462" w:rsidRPr="00EB3B24">
        <w:rPr>
          <w:rFonts w:ascii="Times New Roman" w:hAnsi="Times New Roman"/>
          <w:sz w:val="26"/>
          <w:szCs w:val="26"/>
        </w:rPr>
        <w:t xml:space="preserve">akārtotajās saistībās </w:t>
      </w:r>
      <w:bookmarkEnd w:id="25"/>
      <w:r w:rsidR="00E72462" w:rsidRPr="00EB3B24">
        <w:rPr>
          <w:rFonts w:ascii="Times New Roman" w:hAnsi="Times New Roman"/>
          <w:sz w:val="26"/>
          <w:szCs w:val="26"/>
        </w:rPr>
        <w:t>veido 10</w:t>
      </w:r>
      <w:r w:rsidR="00E73730" w:rsidRPr="00EB3B24">
        <w:rPr>
          <w:rFonts w:ascii="Times New Roman" w:hAnsi="Times New Roman"/>
          <w:sz w:val="26"/>
          <w:szCs w:val="26"/>
        </w:rPr>
        <w:t>% jeb 158</w:t>
      </w:r>
      <w:r w:rsidR="00CD6552" w:rsidRPr="00EB3B24">
        <w:rPr>
          <w:rFonts w:ascii="Times New Roman" w:hAnsi="Times New Roman"/>
          <w:sz w:val="26"/>
          <w:szCs w:val="26"/>
        </w:rPr>
        <w:t>,9</w:t>
      </w:r>
      <w:r w:rsidR="00E73730" w:rsidRPr="00EB3B24">
        <w:rPr>
          <w:rFonts w:ascii="Times New Roman" w:hAnsi="Times New Roman"/>
          <w:sz w:val="26"/>
          <w:szCs w:val="26"/>
        </w:rPr>
        <w:t xml:space="preserve"> milj. </w:t>
      </w:r>
      <w:r w:rsidR="00E73730" w:rsidRPr="00EB3B24">
        <w:rPr>
          <w:rFonts w:ascii="Times New Roman" w:hAnsi="Times New Roman"/>
          <w:i/>
          <w:sz w:val="26"/>
          <w:szCs w:val="26"/>
        </w:rPr>
        <w:t>euro</w:t>
      </w:r>
      <w:r w:rsidR="00E73730" w:rsidRPr="00EB3B24">
        <w:rPr>
          <w:rFonts w:ascii="Times New Roman" w:hAnsi="Times New Roman"/>
          <w:sz w:val="26"/>
          <w:szCs w:val="26"/>
        </w:rPr>
        <w:t xml:space="preserve">, bet attiecinātie ieguldījumi kapitālsabiedrību pamatkapitālā – </w:t>
      </w:r>
      <w:r w:rsidR="00E72462" w:rsidRPr="00EB3B24">
        <w:rPr>
          <w:rFonts w:ascii="Times New Roman" w:hAnsi="Times New Roman"/>
          <w:sz w:val="26"/>
          <w:szCs w:val="26"/>
        </w:rPr>
        <w:t>6</w:t>
      </w:r>
      <w:r w:rsidR="00E73730" w:rsidRPr="00EB3B24">
        <w:rPr>
          <w:rFonts w:ascii="Times New Roman" w:hAnsi="Times New Roman"/>
          <w:sz w:val="26"/>
          <w:szCs w:val="26"/>
        </w:rPr>
        <w:t>% (</w:t>
      </w:r>
      <w:r w:rsidR="00E72462" w:rsidRPr="00EB3B24">
        <w:rPr>
          <w:rFonts w:ascii="Times New Roman" w:hAnsi="Times New Roman"/>
          <w:sz w:val="26"/>
          <w:szCs w:val="26"/>
        </w:rPr>
        <w:t>9</w:t>
      </w:r>
      <w:r w:rsidR="00EB3B24" w:rsidRPr="00EB3B24">
        <w:rPr>
          <w:rFonts w:ascii="Times New Roman" w:hAnsi="Times New Roman"/>
          <w:sz w:val="26"/>
          <w:szCs w:val="26"/>
        </w:rPr>
        <w:t>5,5</w:t>
      </w:r>
      <w:r w:rsidR="00065C22" w:rsidRPr="00EB3B24">
        <w:rPr>
          <w:rFonts w:ascii="Times New Roman" w:hAnsi="Times New Roman"/>
          <w:sz w:val="26"/>
          <w:szCs w:val="26"/>
        </w:rPr>
        <w:t xml:space="preserve"> </w:t>
      </w:r>
      <w:r w:rsidR="00E73730" w:rsidRPr="00EB3B24">
        <w:rPr>
          <w:rFonts w:ascii="Times New Roman" w:hAnsi="Times New Roman"/>
          <w:sz w:val="26"/>
          <w:szCs w:val="26"/>
        </w:rPr>
        <w:t>milj. </w:t>
      </w:r>
      <w:r w:rsidR="00E73730" w:rsidRPr="00EB3B24">
        <w:rPr>
          <w:rFonts w:ascii="Times New Roman" w:hAnsi="Times New Roman"/>
          <w:i/>
          <w:sz w:val="26"/>
          <w:szCs w:val="26"/>
        </w:rPr>
        <w:t>euro</w:t>
      </w:r>
      <w:r w:rsidR="00E73730" w:rsidRPr="00EB3B24">
        <w:rPr>
          <w:rFonts w:ascii="Times New Roman" w:hAnsi="Times New Roman"/>
          <w:sz w:val="26"/>
          <w:szCs w:val="26"/>
        </w:rPr>
        <w:t xml:space="preserve">). Īpašam mērķim noteiktu bezprocentu valsts vērtspapīru iegādē ieguldīti </w:t>
      </w:r>
      <w:r w:rsidR="009D7C41" w:rsidRPr="00EB3B24">
        <w:rPr>
          <w:rFonts w:ascii="Times New Roman" w:hAnsi="Times New Roman"/>
          <w:sz w:val="26"/>
          <w:szCs w:val="26"/>
        </w:rPr>
        <w:t>1</w:t>
      </w:r>
      <w:r w:rsidR="00EB3B24" w:rsidRPr="00EB3B24">
        <w:rPr>
          <w:rFonts w:ascii="Times New Roman" w:hAnsi="Times New Roman"/>
          <w:sz w:val="26"/>
          <w:szCs w:val="26"/>
        </w:rPr>
        <w:t>6,3</w:t>
      </w:r>
      <w:r w:rsidR="0047185A" w:rsidRPr="00EB3B24">
        <w:rPr>
          <w:rFonts w:ascii="Times New Roman" w:hAnsi="Times New Roman"/>
          <w:sz w:val="26"/>
          <w:szCs w:val="26"/>
        </w:rPr>
        <w:t xml:space="preserve"> </w:t>
      </w:r>
      <w:r w:rsidR="00E73730" w:rsidRPr="00EB3B24">
        <w:rPr>
          <w:rFonts w:ascii="Times New Roman" w:hAnsi="Times New Roman"/>
          <w:sz w:val="26"/>
          <w:szCs w:val="26"/>
        </w:rPr>
        <w:t xml:space="preserve">milj. </w:t>
      </w:r>
      <w:r w:rsidR="00E73730" w:rsidRPr="00EB3B24">
        <w:rPr>
          <w:rFonts w:ascii="Times New Roman" w:hAnsi="Times New Roman"/>
          <w:i/>
          <w:sz w:val="26"/>
          <w:szCs w:val="26"/>
        </w:rPr>
        <w:t>euro</w:t>
      </w:r>
      <w:r w:rsidR="00E72462" w:rsidRPr="00EB3B24">
        <w:rPr>
          <w:rFonts w:ascii="Times New Roman" w:hAnsi="Times New Roman"/>
          <w:sz w:val="26"/>
          <w:szCs w:val="26"/>
        </w:rPr>
        <w:t xml:space="preserve"> jeb </w:t>
      </w:r>
      <w:r w:rsidR="0047185A" w:rsidRPr="00EB3B24">
        <w:rPr>
          <w:rFonts w:ascii="Times New Roman" w:hAnsi="Times New Roman"/>
          <w:sz w:val="26"/>
          <w:szCs w:val="26"/>
        </w:rPr>
        <w:t>1</w:t>
      </w:r>
      <w:r w:rsidR="00E73730" w:rsidRPr="00EB3B24">
        <w:rPr>
          <w:rFonts w:ascii="Times New Roman" w:hAnsi="Times New Roman"/>
          <w:sz w:val="26"/>
          <w:szCs w:val="26"/>
        </w:rPr>
        <w:t>% no kopējā investīciju apjoma.</w:t>
      </w:r>
      <w:r w:rsidR="00CD6552" w:rsidRPr="00EB3B24">
        <w:rPr>
          <w:rFonts w:ascii="Times New Roman" w:hAnsi="Times New Roman"/>
          <w:sz w:val="26"/>
          <w:szCs w:val="26"/>
        </w:rPr>
        <w:t xml:space="preserve"> </w:t>
      </w:r>
    </w:p>
    <w:p w14:paraId="6C570E6D" w14:textId="77777777" w:rsidR="0026267A" w:rsidRDefault="00E73730" w:rsidP="0026267A">
      <w:pPr>
        <w:pStyle w:val="ListParagraph"/>
        <w:numPr>
          <w:ilvl w:val="0"/>
          <w:numId w:val="22"/>
        </w:numPr>
        <w:spacing w:after="120"/>
        <w:ind w:left="0" w:firstLine="357"/>
        <w:contextualSpacing w:val="0"/>
        <w:jc w:val="both"/>
        <w:rPr>
          <w:rFonts w:ascii="Times New Roman" w:hAnsi="Times New Roman"/>
          <w:sz w:val="26"/>
          <w:szCs w:val="26"/>
        </w:rPr>
      </w:pPr>
      <w:r w:rsidRPr="00EB3B24">
        <w:rPr>
          <w:rFonts w:ascii="Times New Roman" w:hAnsi="Times New Roman"/>
          <w:sz w:val="26"/>
          <w:szCs w:val="26"/>
        </w:rPr>
        <w:t xml:space="preserve">TUA pieteicēji galvenokārt ir no reģioniem ar nestabilu ģeopolitisko situāciju un kapitāla piesaistei paaugstinātiem riskiem – lielu ekonomisko un politisko nenoteiktību. Aptuveni </w:t>
      </w:r>
      <w:r w:rsidR="00AE6A17" w:rsidRPr="00EB3B24">
        <w:rPr>
          <w:rFonts w:ascii="Times New Roman" w:hAnsi="Times New Roman"/>
          <w:sz w:val="26"/>
          <w:szCs w:val="26"/>
        </w:rPr>
        <w:t>8</w:t>
      </w:r>
      <w:r w:rsidR="00EB3B24">
        <w:rPr>
          <w:rFonts w:ascii="Times New Roman" w:hAnsi="Times New Roman"/>
          <w:sz w:val="26"/>
          <w:szCs w:val="26"/>
        </w:rPr>
        <w:t>5</w:t>
      </w:r>
      <w:r w:rsidRPr="00EB3B24">
        <w:rPr>
          <w:rFonts w:ascii="Times New Roman" w:hAnsi="Times New Roman"/>
          <w:sz w:val="26"/>
          <w:szCs w:val="26"/>
        </w:rPr>
        <w:t>% no visām TUA ir pieprasījuši investori no bijušās PSRS teritorijas.</w:t>
      </w:r>
      <w:r w:rsidR="00D22457" w:rsidRPr="00EB3B24">
        <w:rPr>
          <w:rFonts w:ascii="Times New Roman" w:hAnsi="Times New Roman"/>
          <w:sz w:val="26"/>
          <w:szCs w:val="26"/>
        </w:rPr>
        <w:t xml:space="preserve"> </w:t>
      </w:r>
      <w:r w:rsidR="00CD6552" w:rsidRPr="00EB3B24">
        <w:rPr>
          <w:rFonts w:ascii="Times New Roman" w:hAnsi="Times New Roman"/>
          <w:sz w:val="26"/>
          <w:szCs w:val="26"/>
        </w:rPr>
        <w:t>Ārpus bijušās PSRS teritorijas lielākā investoru interese ir no Āzijas valstīm.</w:t>
      </w:r>
    </w:p>
    <w:p w14:paraId="462CDE97" w14:textId="77777777" w:rsidR="0026267A" w:rsidRDefault="006A5846" w:rsidP="0026267A">
      <w:pPr>
        <w:pStyle w:val="ListParagraph"/>
        <w:numPr>
          <w:ilvl w:val="0"/>
          <w:numId w:val="22"/>
        </w:numPr>
        <w:spacing w:after="120"/>
        <w:ind w:left="0" w:firstLine="357"/>
        <w:contextualSpacing w:val="0"/>
        <w:jc w:val="both"/>
        <w:rPr>
          <w:rFonts w:ascii="Times New Roman" w:hAnsi="Times New Roman"/>
          <w:sz w:val="26"/>
          <w:szCs w:val="26"/>
        </w:rPr>
      </w:pPr>
      <w:r w:rsidRPr="0026267A">
        <w:rPr>
          <w:rFonts w:ascii="Times New Roman" w:hAnsi="Times New Roman"/>
          <w:sz w:val="26"/>
          <w:szCs w:val="26"/>
        </w:rPr>
        <w:t xml:space="preserve">Sakarā ar investīciju programmas nosacījumu maiņu, tiem kļūstot stingrākiem no 2014.gada 1.septembra, būtiski samazinājies </w:t>
      </w:r>
      <w:r w:rsidR="00CD0830" w:rsidRPr="0026267A">
        <w:rPr>
          <w:rFonts w:ascii="Times New Roman" w:hAnsi="Times New Roman"/>
          <w:sz w:val="26"/>
          <w:szCs w:val="26"/>
        </w:rPr>
        <w:t xml:space="preserve">programmas ietvaros saņemtais </w:t>
      </w:r>
      <w:r w:rsidR="00D64832" w:rsidRPr="0026267A">
        <w:rPr>
          <w:rFonts w:ascii="Times New Roman" w:hAnsi="Times New Roman"/>
          <w:sz w:val="26"/>
          <w:szCs w:val="26"/>
        </w:rPr>
        <w:t>pieteikumu skaits un invest</w:t>
      </w:r>
      <w:r w:rsidR="00CD0830" w:rsidRPr="0026267A">
        <w:rPr>
          <w:rFonts w:ascii="Times New Roman" w:hAnsi="Times New Roman"/>
          <w:sz w:val="26"/>
          <w:szCs w:val="26"/>
        </w:rPr>
        <w:t>īciju apjoms.</w:t>
      </w:r>
      <w:r w:rsidR="00D37D05" w:rsidRPr="0026267A">
        <w:rPr>
          <w:rFonts w:ascii="Times New Roman" w:hAnsi="Times New Roman"/>
          <w:sz w:val="26"/>
          <w:szCs w:val="26"/>
        </w:rPr>
        <w:t xml:space="preserve"> </w:t>
      </w:r>
      <w:r w:rsidR="00C22F05" w:rsidRPr="0026267A">
        <w:rPr>
          <w:rFonts w:ascii="Times New Roman" w:hAnsi="Times New Roman"/>
          <w:sz w:val="26"/>
          <w:szCs w:val="26"/>
        </w:rPr>
        <w:t xml:space="preserve">Ja 2014.gadā investīciju programmas ietvaros izsniegto TUA skaits veidoja 53% no visām trešo valstu pilsoņiem izsniegtajām pirmreizējām TUA, tad turpmākajos gados tas strauji samazinājies, 2022.gadā šim skaitam veidojot 1,5% no kopējā pirmreizēji izsniegto TUA skaita. </w:t>
      </w:r>
    </w:p>
    <w:p w14:paraId="5405DAAF" w14:textId="448164C7" w:rsidR="0026267A" w:rsidRDefault="00C22F05" w:rsidP="0026267A">
      <w:pPr>
        <w:pStyle w:val="ListParagraph"/>
        <w:numPr>
          <w:ilvl w:val="0"/>
          <w:numId w:val="22"/>
        </w:numPr>
        <w:spacing w:after="120"/>
        <w:ind w:left="0" w:firstLine="357"/>
        <w:contextualSpacing w:val="0"/>
        <w:jc w:val="both"/>
        <w:rPr>
          <w:rFonts w:ascii="Times New Roman" w:hAnsi="Times New Roman"/>
          <w:sz w:val="26"/>
          <w:szCs w:val="26"/>
        </w:rPr>
      </w:pPr>
      <w:r w:rsidRPr="0026267A">
        <w:rPr>
          <w:rFonts w:ascii="Times New Roman" w:hAnsi="Times New Roman"/>
          <w:sz w:val="26"/>
          <w:szCs w:val="26"/>
        </w:rPr>
        <w:t>Negatīva ietekme uz investīciju programmu bija arī</w:t>
      </w:r>
      <w:r w:rsidR="00D37D05" w:rsidRPr="0026267A">
        <w:rPr>
          <w:rFonts w:ascii="Times New Roman" w:hAnsi="Times New Roman"/>
          <w:sz w:val="26"/>
          <w:szCs w:val="26"/>
        </w:rPr>
        <w:t xml:space="preserve"> </w:t>
      </w:r>
      <w:r w:rsidR="009A71D9" w:rsidRPr="0026267A">
        <w:rPr>
          <w:rFonts w:ascii="Times New Roman" w:hAnsi="Times New Roman"/>
          <w:sz w:val="26"/>
          <w:szCs w:val="26"/>
        </w:rPr>
        <w:t>Covid-19 pandēmijas ierobežojošie</w:t>
      </w:r>
      <w:r w:rsidRPr="0026267A">
        <w:rPr>
          <w:rFonts w:ascii="Times New Roman" w:hAnsi="Times New Roman"/>
          <w:sz w:val="26"/>
          <w:szCs w:val="26"/>
        </w:rPr>
        <w:t>m</w:t>
      </w:r>
      <w:r w:rsidR="009A71D9" w:rsidRPr="0026267A">
        <w:rPr>
          <w:rFonts w:ascii="Times New Roman" w:hAnsi="Times New Roman"/>
          <w:sz w:val="26"/>
          <w:szCs w:val="26"/>
        </w:rPr>
        <w:t xml:space="preserve"> pasākumi</w:t>
      </w:r>
      <w:r w:rsidRPr="0026267A">
        <w:rPr>
          <w:rFonts w:ascii="Times New Roman" w:hAnsi="Times New Roman"/>
          <w:sz w:val="26"/>
          <w:szCs w:val="26"/>
        </w:rPr>
        <w:t>em</w:t>
      </w:r>
      <w:r w:rsidR="009A71D9" w:rsidRPr="0026267A">
        <w:rPr>
          <w:rFonts w:ascii="Times New Roman" w:hAnsi="Times New Roman"/>
          <w:sz w:val="26"/>
          <w:szCs w:val="26"/>
        </w:rPr>
        <w:t xml:space="preserve"> </w:t>
      </w:r>
      <w:r w:rsidR="00D37D05" w:rsidRPr="0026267A">
        <w:rPr>
          <w:rFonts w:ascii="Times New Roman" w:hAnsi="Times New Roman"/>
          <w:sz w:val="26"/>
          <w:szCs w:val="26"/>
        </w:rPr>
        <w:t xml:space="preserve">un, it īpaši, 2022.gadā </w:t>
      </w:r>
      <w:r w:rsidR="00222941">
        <w:rPr>
          <w:rFonts w:ascii="Times New Roman" w:hAnsi="Times New Roman"/>
          <w:sz w:val="26"/>
          <w:szCs w:val="26"/>
        </w:rPr>
        <w:t xml:space="preserve">veiktie grozījumi Imigrācijas likumā, kas atcēla iespēju </w:t>
      </w:r>
      <w:r w:rsidR="00D37D05" w:rsidRPr="0026267A">
        <w:rPr>
          <w:rFonts w:ascii="Times New Roman" w:hAnsi="Times New Roman"/>
          <w:sz w:val="26"/>
          <w:szCs w:val="26"/>
        </w:rPr>
        <w:t>Krievijas Federācijas un Baltkrievijas Republikas pilsoņiem</w:t>
      </w:r>
      <w:r w:rsidR="00222941">
        <w:rPr>
          <w:rFonts w:ascii="Times New Roman" w:hAnsi="Times New Roman"/>
          <w:sz w:val="26"/>
          <w:szCs w:val="26"/>
        </w:rPr>
        <w:t xml:space="preserve"> saņemt termiņuzturēšanās atļaujas saistībā ar investīcijām Latvijas Republikas tautsaimniecībā</w:t>
      </w:r>
      <w:bookmarkStart w:id="26" w:name="_GoBack"/>
      <w:bookmarkEnd w:id="26"/>
      <w:r w:rsidR="0026267A">
        <w:rPr>
          <w:rFonts w:ascii="Times New Roman" w:hAnsi="Times New Roman"/>
          <w:sz w:val="26"/>
          <w:szCs w:val="26"/>
        </w:rPr>
        <w:t>,</w:t>
      </w:r>
      <w:r w:rsidR="00D37D05" w:rsidRPr="0026267A">
        <w:rPr>
          <w:rFonts w:ascii="Times New Roman" w:hAnsi="Times New Roman"/>
          <w:sz w:val="26"/>
          <w:szCs w:val="26"/>
        </w:rPr>
        <w:t xml:space="preserve"> </w:t>
      </w:r>
      <w:r w:rsidR="00C772DB" w:rsidRPr="0026267A">
        <w:rPr>
          <w:rFonts w:ascii="Times New Roman" w:hAnsi="Times New Roman"/>
          <w:sz w:val="26"/>
          <w:szCs w:val="26"/>
        </w:rPr>
        <w:t xml:space="preserve"> kā arī ģeopolitisk</w:t>
      </w:r>
      <w:r w:rsidRPr="0026267A">
        <w:rPr>
          <w:rFonts w:ascii="Times New Roman" w:hAnsi="Times New Roman"/>
          <w:sz w:val="26"/>
          <w:szCs w:val="26"/>
        </w:rPr>
        <w:t>ajai</w:t>
      </w:r>
      <w:r w:rsidR="00C772DB" w:rsidRPr="0026267A">
        <w:rPr>
          <w:rFonts w:ascii="Times New Roman" w:hAnsi="Times New Roman"/>
          <w:sz w:val="26"/>
          <w:szCs w:val="26"/>
        </w:rPr>
        <w:t xml:space="preserve"> situācij</w:t>
      </w:r>
      <w:r w:rsidRPr="0026267A">
        <w:rPr>
          <w:rFonts w:ascii="Times New Roman" w:hAnsi="Times New Roman"/>
          <w:sz w:val="26"/>
          <w:szCs w:val="26"/>
        </w:rPr>
        <w:t>ai</w:t>
      </w:r>
      <w:r w:rsidR="00C772DB" w:rsidRPr="0026267A">
        <w:rPr>
          <w:rFonts w:ascii="Times New Roman" w:hAnsi="Times New Roman"/>
          <w:sz w:val="26"/>
          <w:szCs w:val="26"/>
        </w:rPr>
        <w:t xml:space="preserve"> reģionā </w:t>
      </w:r>
      <w:r w:rsidR="00D37D05" w:rsidRPr="0026267A">
        <w:rPr>
          <w:rFonts w:ascii="Times New Roman" w:hAnsi="Times New Roman"/>
          <w:sz w:val="26"/>
          <w:szCs w:val="26"/>
        </w:rPr>
        <w:t xml:space="preserve">saistībā ar Krievijas Federācijas izraisīto bruņoto konfliktu Ukrainā. </w:t>
      </w:r>
    </w:p>
    <w:p w14:paraId="558FCF4C" w14:textId="06198318" w:rsidR="0026267A" w:rsidRDefault="00AE6A17" w:rsidP="00156836">
      <w:pPr>
        <w:pStyle w:val="ListParagraph"/>
        <w:numPr>
          <w:ilvl w:val="0"/>
          <w:numId w:val="22"/>
        </w:numPr>
        <w:spacing w:after="120"/>
        <w:ind w:left="0" w:firstLine="357"/>
        <w:contextualSpacing w:val="0"/>
        <w:jc w:val="both"/>
        <w:rPr>
          <w:rFonts w:ascii="Times New Roman" w:hAnsi="Times New Roman"/>
          <w:sz w:val="26"/>
          <w:szCs w:val="26"/>
        </w:rPr>
      </w:pPr>
      <w:r w:rsidRPr="00C7519A">
        <w:rPr>
          <w:rFonts w:ascii="Times New Roman" w:hAnsi="Times New Roman"/>
          <w:sz w:val="26"/>
          <w:szCs w:val="26"/>
        </w:rPr>
        <w:t>202</w:t>
      </w:r>
      <w:r w:rsidR="004D116F" w:rsidRPr="00C7519A">
        <w:rPr>
          <w:rFonts w:ascii="Times New Roman" w:hAnsi="Times New Roman"/>
          <w:sz w:val="26"/>
          <w:szCs w:val="26"/>
        </w:rPr>
        <w:t>2</w:t>
      </w:r>
      <w:r w:rsidRPr="00C7519A">
        <w:rPr>
          <w:rFonts w:ascii="Times New Roman" w:hAnsi="Times New Roman"/>
          <w:sz w:val="26"/>
          <w:szCs w:val="26"/>
        </w:rPr>
        <w:t xml:space="preserve">.gadā saņemti </w:t>
      </w:r>
      <w:r w:rsidR="004D116F" w:rsidRPr="00C7519A">
        <w:rPr>
          <w:rFonts w:ascii="Times New Roman" w:hAnsi="Times New Roman"/>
          <w:sz w:val="26"/>
          <w:szCs w:val="26"/>
        </w:rPr>
        <w:t>103</w:t>
      </w:r>
      <w:r w:rsidRPr="00C7519A">
        <w:rPr>
          <w:rFonts w:ascii="Times New Roman" w:hAnsi="Times New Roman"/>
          <w:sz w:val="26"/>
          <w:szCs w:val="26"/>
        </w:rPr>
        <w:t xml:space="preserve"> investoru pieteikumi, investīciju apjomam sasniedzot </w:t>
      </w:r>
      <w:r w:rsidR="00D37D05" w:rsidRPr="00C7519A">
        <w:rPr>
          <w:rFonts w:ascii="Times New Roman" w:hAnsi="Times New Roman"/>
          <w:sz w:val="26"/>
          <w:szCs w:val="26"/>
        </w:rPr>
        <w:t>26,6</w:t>
      </w:r>
      <w:r w:rsidR="00572B4F" w:rsidRPr="00C7519A">
        <w:rPr>
          <w:rFonts w:ascii="Times New Roman" w:hAnsi="Times New Roman"/>
          <w:sz w:val="26"/>
          <w:szCs w:val="26"/>
        </w:rPr>
        <w:t xml:space="preserve"> </w:t>
      </w:r>
      <w:r w:rsidRPr="00C7519A">
        <w:rPr>
          <w:rFonts w:ascii="Times New Roman" w:hAnsi="Times New Roman"/>
          <w:sz w:val="26"/>
          <w:szCs w:val="26"/>
        </w:rPr>
        <w:t xml:space="preserve">milj. </w:t>
      </w:r>
      <w:r w:rsidRPr="00C7519A">
        <w:rPr>
          <w:rFonts w:ascii="Times New Roman" w:hAnsi="Times New Roman"/>
          <w:i/>
          <w:sz w:val="26"/>
          <w:szCs w:val="26"/>
        </w:rPr>
        <w:t>euro</w:t>
      </w:r>
      <w:r w:rsidR="006833C3" w:rsidRPr="00C7519A">
        <w:rPr>
          <w:rFonts w:ascii="Times New Roman" w:hAnsi="Times New Roman"/>
          <w:iCs/>
          <w:sz w:val="26"/>
          <w:szCs w:val="26"/>
        </w:rPr>
        <w:t>, kas ir 75% no iepriekšējā gada līmeņa</w:t>
      </w:r>
      <w:r w:rsidRPr="00C7519A">
        <w:rPr>
          <w:rFonts w:ascii="Times New Roman" w:hAnsi="Times New Roman"/>
          <w:i/>
          <w:sz w:val="26"/>
          <w:szCs w:val="26"/>
        </w:rPr>
        <w:t xml:space="preserve">. </w:t>
      </w:r>
      <w:r w:rsidR="006833C3" w:rsidRPr="00C7519A">
        <w:rPr>
          <w:rFonts w:ascii="Times New Roman" w:hAnsi="Times New Roman"/>
          <w:sz w:val="26"/>
          <w:szCs w:val="26"/>
        </w:rPr>
        <w:t>Pārsvarā tie bija ieguldījumi nekustamajā īpašumā (</w:t>
      </w:r>
      <w:r w:rsidR="007D2771">
        <w:rPr>
          <w:rFonts w:ascii="Times New Roman" w:hAnsi="Times New Roman"/>
          <w:sz w:val="26"/>
          <w:szCs w:val="26"/>
        </w:rPr>
        <w:t>87</w:t>
      </w:r>
      <w:r w:rsidR="006833C3" w:rsidRPr="00C7519A">
        <w:rPr>
          <w:rFonts w:ascii="Times New Roman" w:hAnsi="Times New Roman"/>
          <w:sz w:val="26"/>
          <w:szCs w:val="26"/>
        </w:rPr>
        <w:t>% no</w:t>
      </w:r>
      <w:r w:rsidR="007D2771">
        <w:rPr>
          <w:rFonts w:ascii="Times New Roman" w:hAnsi="Times New Roman"/>
          <w:sz w:val="26"/>
          <w:szCs w:val="26"/>
        </w:rPr>
        <w:t xml:space="preserve"> 2022.gadā</w:t>
      </w:r>
      <w:r w:rsidR="006833C3" w:rsidRPr="00C7519A">
        <w:rPr>
          <w:rFonts w:ascii="Times New Roman" w:hAnsi="Times New Roman"/>
          <w:sz w:val="26"/>
          <w:szCs w:val="26"/>
        </w:rPr>
        <w:t xml:space="preserve"> ar TUA piesaistītajām kopējām investīcijām)</w:t>
      </w:r>
      <w:r w:rsidR="00632B77" w:rsidRPr="00C7519A">
        <w:rPr>
          <w:rFonts w:ascii="Times New Roman" w:hAnsi="Times New Roman"/>
          <w:sz w:val="26"/>
          <w:szCs w:val="26"/>
        </w:rPr>
        <w:t>.</w:t>
      </w:r>
      <w:r w:rsidR="002338DE" w:rsidRPr="002338DE">
        <w:t xml:space="preserve"> </w:t>
      </w:r>
      <w:r w:rsidR="002338DE" w:rsidRPr="00C7519A">
        <w:rPr>
          <w:rFonts w:ascii="Times New Roman" w:hAnsi="Times New Roman"/>
          <w:sz w:val="26"/>
          <w:szCs w:val="26"/>
        </w:rPr>
        <w:t>Nekustamā īpašuma iegādē saistībā ar TUA saņemšanu dominē Rīga un Pierīga, it īpaši Jūrmala</w:t>
      </w:r>
      <w:r w:rsidR="0026267A">
        <w:rPr>
          <w:rFonts w:ascii="Times New Roman" w:hAnsi="Times New Roman"/>
          <w:sz w:val="26"/>
          <w:szCs w:val="26"/>
        </w:rPr>
        <w:t>.</w:t>
      </w:r>
    </w:p>
    <w:p w14:paraId="7FDC7CBD" w14:textId="4912FC0D" w:rsidR="005B1B41" w:rsidRPr="00222941" w:rsidRDefault="005B1B41" w:rsidP="0026267A">
      <w:pPr>
        <w:pStyle w:val="ListParagraph"/>
        <w:numPr>
          <w:ilvl w:val="0"/>
          <w:numId w:val="22"/>
        </w:numPr>
        <w:spacing w:after="120"/>
        <w:ind w:left="0" w:firstLine="357"/>
        <w:contextualSpacing w:val="0"/>
        <w:jc w:val="both"/>
        <w:rPr>
          <w:rFonts w:ascii="Times New Roman" w:hAnsi="Times New Roman"/>
          <w:sz w:val="26"/>
          <w:szCs w:val="26"/>
        </w:rPr>
      </w:pPr>
      <w:r w:rsidRPr="0026267A">
        <w:rPr>
          <w:rFonts w:ascii="Times New Roman" w:hAnsi="Times New Roman"/>
          <w:sz w:val="26"/>
          <w:szCs w:val="26"/>
        </w:rPr>
        <w:t xml:space="preserve">Ar investīciju programmu saistīto ieguldījumu nekustamajos īpašumos apjomu samazināšanās kopumā nav iespaidojusi nekustamā īpašumu tirgu. Nozare lielā mērā pārkārtojusies uz vietējo pieprasījumu. </w:t>
      </w:r>
    </w:p>
    <w:p w14:paraId="7DFD0704" w14:textId="265C23A6" w:rsidR="00156836" w:rsidRDefault="005B1B41" w:rsidP="00156836">
      <w:pPr>
        <w:pStyle w:val="ListParagraph"/>
        <w:numPr>
          <w:ilvl w:val="0"/>
          <w:numId w:val="22"/>
        </w:numPr>
        <w:spacing w:after="120"/>
        <w:ind w:left="0" w:firstLine="284"/>
        <w:contextualSpacing w:val="0"/>
        <w:jc w:val="both"/>
        <w:rPr>
          <w:rFonts w:ascii="Times New Roman" w:hAnsi="Times New Roman"/>
          <w:sz w:val="26"/>
          <w:szCs w:val="26"/>
        </w:rPr>
      </w:pPr>
      <w:r w:rsidRPr="0026267A">
        <w:rPr>
          <w:rFonts w:ascii="Times New Roman" w:hAnsi="Times New Roman"/>
          <w:sz w:val="26"/>
          <w:szCs w:val="26"/>
        </w:rPr>
        <w:t>TUA pieteikumu skaits saistībā ar ieguldījumiem kredītiestāžu pakārtotajās saistībās pēdējos gados ir apsīcis, un šobrīd neliecina par nerezidentu interesi par šo ieguldījumu veidu Latvijas ekonomikā.</w:t>
      </w:r>
      <w:r w:rsidRPr="0026267A">
        <w:rPr>
          <w:rFonts w:ascii="Times New Roman" w:hAnsi="Times New Roman"/>
          <w:sz w:val="26"/>
          <w:szCs w:val="26"/>
        </w:rPr>
        <w:t xml:space="preserve"> </w:t>
      </w:r>
      <w:r w:rsidR="00156836">
        <w:rPr>
          <w:rFonts w:ascii="Times New Roman" w:hAnsi="Times New Roman"/>
          <w:sz w:val="26"/>
          <w:szCs w:val="26"/>
        </w:rPr>
        <w:t>To būtiski</w:t>
      </w:r>
      <w:r w:rsidR="00FB666C" w:rsidRPr="00222941">
        <w:rPr>
          <w:rFonts w:ascii="Times New Roman" w:hAnsi="Times New Roman"/>
          <w:sz w:val="26"/>
          <w:szCs w:val="26"/>
        </w:rPr>
        <w:t xml:space="preserve"> ietekmējuši </w:t>
      </w:r>
      <w:r w:rsidR="00A91D43" w:rsidRPr="00222941">
        <w:rPr>
          <w:rFonts w:ascii="Times New Roman" w:hAnsi="Times New Roman"/>
          <w:sz w:val="26"/>
          <w:szCs w:val="26"/>
        </w:rPr>
        <w:t>veiktie pasākumi, lai pastiprinātu uzraudzību nerezidentu nogu</w:t>
      </w:r>
      <w:r w:rsidR="00AB1177" w:rsidRPr="00222941">
        <w:rPr>
          <w:rFonts w:ascii="Times New Roman" w:hAnsi="Times New Roman"/>
          <w:sz w:val="26"/>
          <w:szCs w:val="26"/>
        </w:rPr>
        <w:t>ldījumiem Latvijas komercbankās</w:t>
      </w:r>
      <w:r w:rsidR="00FB666C" w:rsidRPr="00222941">
        <w:rPr>
          <w:rFonts w:ascii="Times New Roman" w:hAnsi="Times New Roman"/>
          <w:sz w:val="26"/>
          <w:szCs w:val="26"/>
        </w:rPr>
        <w:t>.</w:t>
      </w:r>
      <w:r w:rsidR="00D26BB2" w:rsidRPr="00222941">
        <w:rPr>
          <w:rFonts w:ascii="Times New Roman" w:hAnsi="Times New Roman"/>
          <w:sz w:val="26"/>
          <w:szCs w:val="26"/>
        </w:rPr>
        <w:t xml:space="preserve"> </w:t>
      </w:r>
    </w:p>
    <w:p w14:paraId="2B821710" w14:textId="417B2278" w:rsidR="00674CC6" w:rsidRPr="00222941" w:rsidRDefault="00663950" w:rsidP="00156836">
      <w:pPr>
        <w:pStyle w:val="ListParagraph"/>
        <w:numPr>
          <w:ilvl w:val="0"/>
          <w:numId w:val="22"/>
        </w:numPr>
        <w:spacing w:after="120"/>
        <w:ind w:left="0" w:firstLine="284"/>
        <w:contextualSpacing w:val="0"/>
        <w:jc w:val="both"/>
        <w:rPr>
          <w:rFonts w:ascii="Times New Roman" w:hAnsi="Times New Roman"/>
          <w:sz w:val="26"/>
          <w:szCs w:val="26"/>
        </w:rPr>
      </w:pPr>
      <w:r w:rsidRPr="00222941">
        <w:rPr>
          <w:rFonts w:ascii="Times New Roman" w:hAnsi="Times New Roman"/>
          <w:sz w:val="26"/>
          <w:szCs w:val="26"/>
        </w:rPr>
        <w:t>K</w:t>
      </w:r>
      <w:r w:rsidR="005B67E1" w:rsidRPr="00222941">
        <w:rPr>
          <w:rFonts w:ascii="Times New Roman" w:hAnsi="Times New Roman"/>
          <w:sz w:val="26"/>
          <w:szCs w:val="26"/>
        </w:rPr>
        <w:t>opumā ar TUA saistīto investīciju</w:t>
      </w:r>
      <w:r w:rsidRPr="00222941">
        <w:rPr>
          <w:rFonts w:ascii="Times New Roman" w:hAnsi="Times New Roman"/>
          <w:sz w:val="26"/>
          <w:szCs w:val="26"/>
        </w:rPr>
        <w:t xml:space="preserve"> (ieguldījumi kapitālsabiedrību pamatkapitālā)</w:t>
      </w:r>
      <w:r w:rsidR="005B67E1" w:rsidRPr="00222941">
        <w:rPr>
          <w:rFonts w:ascii="Times New Roman" w:hAnsi="Times New Roman"/>
          <w:sz w:val="26"/>
          <w:szCs w:val="26"/>
        </w:rPr>
        <w:t xml:space="preserve"> ietekme uz nerezidentu</w:t>
      </w:r>
      <w:r w:rsidR="005B67E1" w:rsidRPr="00D37D05">
        <w:t xml:space="preserve"> </w:t>
      </w:r>
      <w:r w:rsidR="005B67E1" w:rsidRPr="00222941">
        <w:rPr>
          <w:rFonts w:ascii="Times New Roman" w:hAnsi="Times New Roman"/>
          <w:sz w:val="26"/>
          <w:szCs w:val="26"/>
        </w:rPr>
        <w:t>kapitāla piesaisti</w:t>
      </w:r>
      <w:r w:rsidR="005B67E1" w:rsidRPr="00D37D05">
        <w:t xml:space="preserve"> </w:t>
      </w:r>
      <w:r w:rsidR="005B67E1" w:rsidRPr="00222941">
        <w:rPr>
          <w:rFonts w:ascii="Times New Roman" w:hAnsi="Times New Roman"/>
          <w:sz w:val="26"/>
          <w:szCs w:val="26"/>
        </w:rPr>
        <w:t>ir vāja. Tomēr atsevišķu valstu, kā piemēram,</w:t>
      </w:r>
      <w:r w:rsidR="00674CC6" w:rsidRPr="00222941">
        <w:rPr>
          <w:rFonts w:ascii="Times New Roman" w:hAnsi="Times New Roman"/>
          <w:sz w:val="26"/>
          <w:szCs w:val="26"/>
        </w:rPr>
        <w:t xml:space="preserve"> </w:t>
      </w:r>
      <w:r w:rsidR="005B67E1" w:rsidRPr="00222941">
        <w:rPr>
          <w:rFonts w:ascii="Times New Roman" w:hAnsi="Times New Roman"/>
          <w:sz w:val="26"/>
          <w:szCs w:val="26"/>
        </w:rPr>
        <w:lastRenderedPageBreak/>
        <w:t xml:space="preserve">Krievijas </w:t>
      </w:r>
      <w:r w:rsidR="00894233" w:rsidRPr="00222941">
        <w:rPr>
          <w:rFonts w:ascii="Times New Roman" w:hAnsi="Times New Roman"/>
          <w:sz w:val="26"/>
          <w:szCs w:val="26"/>
        </w:rPr>
        <w:t xml:space="preserve">un </w:t>
      </w:r>
      <w:r w:rsidR="006F1787" w:rsidRPr="00222941">
        <w:rPr>
          <w:rFonts w:ascii="Times New Roman" w:hAnsi="Times New Roman"/>
          <w:sz w:val="26"/>
          <w:szCs w:val="26"/>
        </w:rPr>
        <w:t xml:space="preserve">iepriekšējos </w:t>
      </w:r>
      <w:r w:rsidR="00894233" w:rsidRPr="00222941">
        <w:rPr>
          <w:rFonts w:ascii="Times New Roman" w:hAnsi="Times New Roman"/>
          <w:sz w:val="26"/>
          <w:szCs w:val="26"/>
        </w:rPr>
        <w:t xml:space="preserve">gados </w:t>
      </w:r>
      <w:r w:rsidR="005B67E1" w:rsidRPr="00222941">
        <w:rPr>
          <w:rFonts w:ascii="Times New Roman" w:hAnsi="Times New Roman"/>
          <w:sz w:val="26"/>
          <w:szCs w:val="26"/>
        </w:rPr>
        <w:t xml:space="preserve">Vjetnamas investoriem, </w:t>
      </w:r>
      <w:r w:rsidR="00CA7AEF" w:rsidRPr="00222941">
        <w:rPr>
          <w:rFonts w:ascii="Times New Roman" w:hAnsi="Times New Roman"/>
          <w:sz w:val="26"/>
          <w:szCs w:val="26"/>
        </w:rPr>
        <w:t>TUA</w:t>
      </w:r>
      <w:r w:rsidR="005B67E1" w:rsidRPr="00222941">
        <w:rPr>
          <w:rFonts w:ascii="Times New Roman" w:hAnsi="Times New Roman"/>
          <w:sz w:val="26"/>
          <w:szCs w:val="26"/>
        </w:rPr>
        <w:t xml:space="preserve"> ir bijis stimuls ieguldījumiem Latvijā reģistrētu uzņēmumu pamatkapitālā.</w:t>
      </w:r>
    </w:p>
    <w:p w14:paraId="27948B10" w14:textId="45633BC7" w:rsidR="00156836" w:rsidRDefault="00156836" w:rsidP="00156836">
      <w:pPr>
        <w:pStyle w:val="ListParagraph"/>
        <w:spacing w:after="120"/>
        <w:ind w:left="357"/>
        <w:contextualSpacing w:val="0"/>
        <w:jc w:val="both"/>
        <w:rPr>
          <w:rFonts w:ascii="Times New Roman" w:hAnsi="Times New Roman"/>
          <w:sz w:val="26"/>
          <w:szCs w:val="26"/>
          <w:lang w:eastAsia="lv-LV"/>
        </w:rPr>
      </w:pPr>
    </w:p>
    <w:p w14:paraId="0835E78F" w14:textId="77777777" w:rsidR="00156836" w:rsidRPr="00156836" w:rsidRDefault="00EB3B24" w:rsidP="00156836">
      <w:pPr>
        <w:pStyle w:val="ListParagraph"/>
        <w:numPr>
          <w:ilvl w:val="0"/>
          <w:numId w:val="22"/>
        </w:numPr>
        <w:spacing w:after="120"/>
        <w:ind w:left="0" w:firstLine="284"/>
        <w:contextualSpacing w:val="0"/>
        <w:jc w:val="both"/>
        <w:rPr>
          <w:rFonts w:ascii="Times New Roman" w:hAnsi="Times New Roman"/>
          <w:sz w:val="26"/>
          <w:szCs w:val="26"/>
        </w:rPr>
      </w:pPr>
      <w:r w:rsidRPr="00156836">
        <w:rPr>
          <w:rFonts w:ascii="Times New Roman" w:eastAsia="Calibri" w:hAnsi="Times New Roman"/>
          <w:sz w:val="26"/>
          <w:szCs w:val="26"/>
          <w:lang w:eastAsia="lv-LV"/>
        </w:rPr>
        <w:t xml:space="preserve">Pirmreizēju un atkārtotu TUA saņemšanai valsts pamatbudžeta programmā 33.00.00 “Ekonomikas attīstības programma” kopumā ārzemnieki no programmas uzsākšanas brīža 2014.gada 1.septembrī līdz 2023.gada 15.februārim ir veikuši iemaksas 28,9 milj. </w:t>
      </w:r>
      <w:r w:rsidRPr="00156836">
        <w:rPr>
          <w:rFonts w:ascii="Times New Roman" w:eastAsia="Calibri" w:hAnsi="Times New Roman"/>
          <w:i/>
          <w:sz w:val="26"/>
          <w:szCs w:val="26"/>
          <w:lang w:eastAsia="lv-LV"/>
        </w:rPr>
        <w:t>euro</w:t>
      </w:r>
      <w:r w:rsidRPr="00156836">
        <w:rPr>
          <w:rFonts w:ascii="Times New Roman" w:eastAsia="Calibri" w:hAnsi="Times New Roman"/>
          <w:sz w:val="26"/>
          <w:szCs w:val="26"/>
          <w:lang w:eastAsia="lv-LV"/>
        </w:rPr>
        <w:t xml:space="preserve"> apmērā.</w:t>
      </w:r>
    </w:p>
    <w:p w14:paraId="096AB83F" w14:textId="77777777" w:rsidR="00156836" w:rsidRDefault="00B20694" w:rsidP="00156836">
      <w:pPr>
        <w:pStyle w:val="ListParagraph"/>
        <w:numPr>
          <w:ilvl w:val="0"/>
          <w:numId w:val="22"/>
        </w:numPr>
        <w:spacing w:after="120"/>
        <w:ind w:left="0" w:firstLine="284"/>
        <w:contextualSpacing w:val="0"/>
        <w:jc w:val="both"/>
        <w:rPr>
          <w:rFonts w:ascii="Times New Roman" w:hAnsi="Times New Roman"/>
          <w:sz w:val="26"/>
          <w:szCs w:val="26"/>
        </w:rPr>
      </w:pPr>
      <w:r w:rsidRPr="00156836">
        <w:rPr>
          <w:rFonts w:ascii="Times New Roman" w:eastAsia="Calibri" w:hAnsi="Times New Roman"/>
          <w:sz w:val="26"/>
          <w:szCs w:val="26"/>
          <w:lang w:eastAsia="lv-LV"/>
        </w:rPr>
        <w:t>Ā</w:t>
      </w:r>
      <w:r w:rsidR="00D07302" w:rsidRPr="00156836">
        <w:rPr>
          <w:rFonts w:ascii="Times New Roman" w:eastAsia="Calibri" w:hAnsi="Times New Roman"/>
          <w:sz w:val="26"/>
          <w:szCs w:val="26"/>
          <w:lang w:eastAsia="lv-LV"/>
        </w:rPr>
        <w:t>rzemnieku veiktie maksājumi pirms TUA</w:t>
      </w:r>
      <w:r w:rsidR="00093BBA" w:rsidRPr="00156836">
        <w:rPr>
          <w:rFonts w:ascii="Times New Roman" w:eastAsia="Calibri" w:hAnsi="Times New Roman"/>
          <w:sz w:val="26"/>
          <w:szCs w:val="26"/>
          <w:lang w:eastAsia="lv-LV"/>
        </w:rPr>
        <w:t xml:space="preserve"> (pirmreizējas vai atkārtotas)</w:t>
      </w:r>
      <w:r w:rsidR="00D07302" w:rsidRPr="00156836">
        <w:rPr>
          <w:rFonts w:ascii="Times New Roman" w:eastAsia="Calibri" w:hAnsi="Times New Roman"/>
          <w:sz w:val="26"/>
          <w:szCs w:val="26"/>
          <w:lang w:eastAsia="lv-LV"/>
        </w:rPr>
        <w:t xml:space="preserve"> saņemšanas budžeta programmā 33.00.00 “Ekonomikas attīstības programma”</w:t>
      </w:r>
      <w:r w:rsidR="00156836" w:rsidRPr="00156836">
        <w:rPr>
          <w:rFonts w:ascii="Times New Roman" w:eastAsia="Calibri" w:hAnsi="Times New Roman"/>
          <w:sz w:val="26"/>
          <w:szCs w:val="26"/>
          <w:lang w:eastAsia="lv-LV"/>
        </w:rPr>
        <w:t xml:space="preserve"> bijis būtisks finanšu avots ALTUM īstenotajai mājokļu galvojumu programmai – valsts galvojumiem bankas aizdevumiem mājokļu iegādei vai būvniecībai no programmas darbības sākuma kopumā novirzīti 8,5 milj. </w:t>
      </w:r>
      <w:r w:rsidR="00156836" w:rsidRPr="00156836">
        <w:rPr>
          <w:rFonts w:ascii="Times New Roman" w:eastAsia="Calibri" w:hAnsi="Times New Roman"/>
          <w:i/>
          <w:iCs/>
          <w:sz w:val="26"/>
          <w:szCs w:val="26"/>
          <w:lang w:eastAsia="lv-LV"/>
        </w:rPr>
        <w:t>euro</w:t>
      </w:r>
      <w:r w:rsidR="00156836" w:rsidRPr="00156836">
        <w:rPr>
          <w:rFonts w:ascii="Times New Roman" w:eastAsia="Calibri" w:hAnsi="Times New Roman"/>
          <w:sz w:val="26"/>
          <w:szCs w:val="26"/>
          <w:lang w:eastAsia="lv-LV"/>
        </w:rPr>
        <w:t>.</w:t>
      </w:r>
      <w:r w:rsidR="00156836">
        <w:rPr>
          <w:rFonts w:ascii="Times New Roman" w:eastAsia="Calibri" w:hAnsi="Times New Roman"/>
          <w:sz w:val="26"/>
          <w:szCs w:val="26"/>
          <w:lang w:eastAsia="lv-LV"/>
        </w:rPr>
        <w:t xml:space="preserve"> Citi būtiskākie mērķi </w:t>
      </w:r>
      <w:r w:rsidR="00156836" w:rsidRPr="00156836">
        <w:rPr>
          <w:rFonts w:ascii="Times New Roman" w:hAnsi="Times New Roman"/>
          <w:sz w:val="26"/>
          <w:szCs w:val="26"/>
        </w:rPr>
        <w:t>ārzemnieku ieskaitīto līdzekļu izmantošanai</w:t>
      </w:r>
      <w:r w:rsidR="00156836">
        <w:rPr>
          <w:rFonts w:ascii="Times New Roman" w:hAnsi="Times New Roman"/>
          <w:sz w:val="26"/>
          <w:szCs w:val="26"/>
        </w:rPr>
        <w:t xml:space="preserve"> - </w:t>
      </w:r>
      <w:r w:rsidR="00156836" w:rsidRPr="00156836">
        <w:rPr>
          <w:rFonts w:ascii="Times New Roman" w:hAnsi="Times New Roman"/>
          <w:sz w:val="26"/>
          <w:szCs w:val="26"/>
        </w:rPr>
        <w:t>atbalsts Latvijas uzņēmējiem jaunu eksporta tirgu apguvē un eksporta palielināšanā uz prioritāriem mērķa tirgiem, tūrisma attīstības pasākumi un sistēmas administrēšanas izmaksu segšana</w:t>
      </w:r>
      <w:r w:rsidR="00156836">
        <w:rPr>
          <w:rFonts w:ascii="Times New Roman" w:hAnsi="Times New Roman"/>
          <w:sz w:val="26"/>
          <w:szCs w:val="26"/>
        </w:rPr>
        <w:t>.</w:t>
      </w:r>
    </w:p>
    <w:p w14:paraId="3D739FFE" w14:textId="16643034" w:rsidR="00C22F05" w:rsidRPr="00156836" w:rsidRDefault="009A71D9" w:rsidP="00F27977">
      <w:pPr>
        <w:pStyle w:val="ListParagraph"/>
        <w:numPr>
          <w:ilvl w:val="0"/>
          <w:numId w:val="22"/>
        </w:numPr>
        <w:spacing w:after="120"/>
        <w:ind w:left="0" w:firstLine="284"/>
        <w:contextualSpacing w:val="0"/>
        <w:jc w:val="both"/>
        <w:rPr>
          <w:rFonts w:ascii="Times New Roman" w:hAnsi="Times New Roman"/>
          <w:sz w:val="26"/>
          <w:szCs w:val="26"/>
        </w:rPr>
      </w:pPr>
      <w:r w:rsidRPr="00222941">
        <w:rPr>
          <w:rFonts w:ascii="Times New Roman" w:hAnsi="Times New Roman"/>
          <w:sz w:val="26"/>
          <w:szCs w:val="26"/>
        </w:rPr>
        <w:t xml:space="preserve">Investīciju piesaistes  programmai, piedāvājot nerezidentiem iespēju saņemt TUA, </w:t>
      </w:r>
      <w:r w:rsidRPr="00F27977">
        <w:rPr>
          <w:rFonts w:ascii="Times New Roman" w:hAnsi="Times New Roman"/>
          <w:sz w:val="26"/>
          <w:szCs w:val="26"/>
        </w:rPr>
        <w:t xml:space="preserve">ieviešanas pirmajos gados (2010.-2014.gadam) bija vērojams pozitīvs efekts. </w:t>
      </w:r>
      <w:r w:rsidR="00156836" w:rsidRPr="00156836">
        <w:rPr>
          <w:rFonts w:ascii="Times New Roman" w:hAnsi="Times New Roman"/>
          <w:sz w:val="26"/>
          <w:szCs w:val="26"/>
        </w:rPr>
        <w:t xml:space="preserve">Tomēr </w:t>
      </w:r>
      <w:r w:rsidR="00EB3B24" w:rsidRPr="00156836">
        <w:rPr>
          <w:rFonts w:ascii="Times New Roman" w:hAnsi="Times New Roman"/>
          <w:sz w:val="26"/>
          <w:szCs w:val="26"/>
        </w:rPr>
        <w:t>programmas nosacījumiem kļūstot stingrākiem</w:t>
      </w:r>
      <w:r w:rsidR="002261B5" w:rsidRPr="00156836">
        <w:rPr>
          <w:rFonts w:ascii="Times New Roman" w:hAnsi="Times New Roman"/>
          <w:sz w:val="26"/>
          <w:szCs w:val="26"/>
        </w:rPr>
        <w:t>, kā arī pasliktinoties ģeopolitiskai situācijai</w:t>
      </w:r>
      <w:r w:rsidR="00EB3B24" w:rsidRPr="00156836">
        <w:rPr>
          <w:rFonts w:ascii="Times New Roman" w:hAnsi="Times New Roman"/>
          <w:sz w:val="26"/>
          <w:szCs w:val="26"/>
        </w:rPr>
        <w:t>, ar TUA piesaistīta ārvalstu kapitāla apjoms kopš 2014.gada samazinājās</w:t>
      </w:r>
      <w:r w:rsidR="002261B5" w:rsidRPr="00156836">
        <w:rPr>
          <w:rFonts w:ascii="Times New Roman" w:hAnsi="Times New Roman"/>
          <w:sz w:val="26"/>
          <w:szCs w:val="26"/>
        </w:rPr>
        <w:t>.</w:t>
      </w:r>
      <w:r w:rsidR="00EB3B24" w:rsidRPr="00156836">
        <w:rPr>
          <w:rFonts w:ascii="Times New Roman" w:hAnsi="Times New Roman"/>
          <w:sz w:val="26"/>
          <w:szCs w:val="26"/>
        </w:rPr>
        <w:t xml:space="preserve"> </w:t>
      </w:r>
      <w:r w:rsidR="002261B5" w:rsidRPr="00156836">
        <w:rPr>
          <w:rFonts w:ascii="Times New Roman" w:hAnsi="Times New Roman"/>
          <w:sz w:val="26"/>
          <w:szCs w:val="26"/>
        </w:rPr>
        <w:t>Laikā no</w:t>
      </w:r>
      <w:r w:rsidR="00EB3B24" w:rsidRPr="00156836">
        <w:rPr>
          <w:rFonts w:ascii="Times New Roman" w:hAnsi="Times New Roman"/>
          <w:sz w:val="26"/>
          <w:szCs w:val="26"/>
        </w:rPr>
        <w:t xml:space="preserve"> 2018. līdz 2022. gadam</w:t>
      </w:r>
      <w:r w:rsidR="007A2C5E" w:rsidRPr="00156836">
        <w:rPr>
          <w:rFonts w:ascii="Times New Roman" w:hAnsi="Times New Roman"/>
          <w:sz w:val="26"/>
          <w:szCs w:val="26"/>
        </w:rPr>
        <w:t xml:space="preserve"> </w:t>
      </w:r>
      <w:r w:rsidR="002261B5" w:rsidRPr="00156836">
        <w:rPr>
          <w:rFonts w:ascii="Times New Roman" w:hAnsi="Times New Roman"/>
          <w:sz w:val="26"/>
          <w:szCs w:val="26"/>
        </w:rPr>
        <w:t>ar T</w:t>
      </w:r>
      <w:r w:rsidR="007A2C5E" w:rsidRPr="00156836">
        <w:rPr>
          <w:rFonts w:ascii="Times New Roman" w:hAnsi="Times New Roman"/>
          <w:sz w:val="26"/>
          <w:szCs w:val="26"/>
        </w:rPr>
        <w:t>UA piesaistītais investīciju apjoms</w:t>
      </w:r>
      <w:r w:rsidR="00EB3B24" w:rsidRPr="00156836">
        <w:rPr>
          <w:rFonts w:ascii="Times New Roman" w:hAnsi="Times New Roman"/>
          <w:sz w:val="26"/>
          <w:szCs w:val="26"/>
        </w:rPr>
        <w:t xml:space="preserve"> </w:t>
      </w:r>
      <w:r w:rsidR="007A2C5E" w:rsidRPr="00156836">
        <w:rPr>
          <w:rFonts w:ascii="Times New Roman" w:hAnsi="Times New Roman"/>
          <w:sz w:val="26"/>
          <w:szCs w:val="26"/>
        </w:rPr>
        <w:t>bija</w:t>
      </w:r>
      <w:r w:rsidR="00EB3B24" w:rsidRPr="00156836">
        <w:rPr>
          <w:rFonts w:ascii="Times New Roman" w:hAnsi="Times New Roman"/>
          <w:sz w:val="26"/>
          <w:szCs w:val="26"/>
        </w:rPr>
        <w:t xml:space="preserve"> aptuveni 31,</w:t>
      </w:r>
      <w:r w:rsidR="006A7CF7">
        <w:rPr>
          <w:rFonts w:ascii="Times New Roman" w:hAnsi="Times New Roman"/>
          <w:sz w:val="26"/>
          <w:szCs w:val="26"/>
        </w:rPr>
        <w:t>9</w:t>
      </w:r>
      <w:r w:rsidR="006A7CF7" w:rsidRPr="00156836">
        <w:rPr>
          <w:rFonts w:ascii="Times New Roman" w:hAnsi="Times New Roman"/>
          <w:sz w:val="26"/>
          <w:szCs w:val="26"/>
        </w:rPr>
        <w:t xml:space="preserve"> </w:t>
      </w:r>
      <w:r w:rsidR="00EB3B24" w:rsidRPr="00156836">
        <w:rPr>
          <w:rFonts w:ascii="Times New Roman" w:hAnsi="Times New Roman"/>
          <w:sz w:val="26"/>
          <w:szCs w:val="26"/>
        </w:rPr>
        <w:t xml:space="preserve">milj. </w:t>
      </w:r>
      <w:r w:rsidR="00EB3B24" w:rsidRPr="00156836">
        <w:rPr>
          <w:rFonts w:ascii="Times New Roman" w:hAnsi="Times New Roman"/>
          <w:i/>
          <w:sz w:val="26"/>
          <w:szCs w:val="26"/>
        </w:rPr>
        <w:t>euro</w:t>
      </w:r>
      <w:r w:rsidR="00EB3B24" w:rsidRPr="00156836">
        <w:rPr>
          <w:rFonts w:ascii="Times New Roman" w:hAnsi="Times New Roman"/>
          <w:sz w:val="26"/>
          <w:szCs w:val="26"/>
        </w:rPr>
        <w:t xml:space="preserve"> vidēji gadā, kas ir tikai 10,3% no programmas pirmajos gados piesaistītajām investīcijām. Ja 2014.gadā nerezidentu ieguldījumi, kas saistīti ar TUA saņemšanu, salīdzinājumā pret kopējiem nerezidentu ieguldījumiem Latvijas ekonomikā, pārsniedza 11%, tad</w:t>
      </w:r>
      <w:r w:rsidR="00EB3B24" w:rsidRPr="00B5757A">
        <w:t xml:space="preserve"> </w:t>
      </w:r>
      <w:r w:rsidR="00EB3B24" w:rsidRPr="00156836">
        <w:rPr>
          <w:rFonts w:ascii="Times New Roman" w:hAnsi="Times New Roman"/>
          <w:sz w:val="26"/>
          <w:szCs w:val="26"/>
        </w:rPr>
        <w:t xml:space="preserve">kopš 2018. gada tie vairs nepārsniedz 0,5%.Tas norāda, ka kopumā investīciju piesaistes programma ir zaudējusi savu nozīmi, un TUA nav </w:t>
      </w:r>
      <w:r w:rsidR="007A2C5E" w:rsidRPr="00156836">
        <w:rPr>
          <w:rFonts w:ascii="Times New Roman" w:hAnsi="Times New Roman"/>
          <w:sz w:val="26"/>
          <w:szCs w:val="26"/>
        </w:rPr>
        <w:t>motivējošs instruments</w:t>
      </w:r>
      <w:r w:rsidR="00EB3B24" w:rsidRPr="00156836">
        <w:rPr>
          <w:rFonts w:ascii="Times New Roman" w:hAnsi="Times New Roman"/>
          <w:sz w:val="26"/>
          <w:szCs w:val="26"/>
        </w:rPr>
        <w:t xml:space="preserve"> ārvalstu kapitāla piesaistei Latvijā. </w:t>
      </w:r>
    </w:p>
    <w:p w14:paraId="55399036" w14:textId="77777777" w:rsidR="00C22F05" w:rsidRPr="00156836" w:rsidRDefault="00C22F05" w:rsidP="00156836">
      <w:pPr>
        <w:spacing w:after="120"/>
        <w:jc w:val="both"/>
        <w:rPr>
          <w:rFonts w:ascii="Times New Roman" w:hAnsi="Times New Roman"/>
          <w:sz w:val="26"/>
          <w:szCs w:val="26"/>
        </w:rPr>
      </w:pPr>
    </w:p>
    <w:p w14:paraId="08296868" w14:textId="77777777" w:rsidR="009A71D9" w:rsidRPr="007320CD" w:rsidRDefault="009A71D9" w:rsidP="00D131FD">
      <w:pPr>
        <w:pStyle w:val="ListParagraph"/>
        <w:spacing w:after="240"/>
        <w:ind w:left="357"/>
        <w:contextualSpacing w:val="0"/>
        <w:jc w:val="both"/>
        <w:rPr>
          <w:rFonts w:ascii="Times New Roman" w:hAnsi="Times New Roman"/>
          <w:sz w:val="26"/>
          <w:szCs w:val="26"/>
          <w:highlight w:val="yellow"/>
        </w:rPr>
      </w:pPr>
    </w:p>
    <w:p w14:paraId="27F0E43A" w14:textId="394A3513" w:rsidR="001A1983" w:rsidRPr="007320CD" w:rsidRDefault="001A1983" w:rsidP="00DF368D">
      <w:pPr>
        <w:tabs>
          <w:tab w:val="left" w:pos="5123"/>
          <w:tab w:val="left" w:pos="6431"/>
        </w:tabs>
        <w:spacing w:after="240"/>
        <w:rPr>
          <w:rFonts w:ascii="Times New Roman" w:hAnsi="Times New Roman"/>
          <w:sz w:val="26"/>
          <w:szCs w:val="26"/>
        </w:rPr>
      </w:pPr>
      <w:r w:rsidRPr="007320CD">
        <w:rPr>
          <w:rFonts w:ascii="Times New Roman" w:hAnsi="Times New Roman"/>
          <w:sz w:val="26"/>
          <w:szCs w:val="26"/>
        </w:rPr>
        <w:t>Ministru prezidents</w:t>
      </w:r>
      <w:r w:rsidRPr="007320CD">
        <w:rPr>
          <w:rFonts w:ascii="Times New Roman" w:hAnsi="Times New Roman"/>
          <w:sz w:val="26"/>
          <w:szCs w:val="26"/>
        </w:rPr>
        <w:tab/>
      </w:r>
      <w:r w:rsidRPr="007320CD">
        <w:rPr>
          <w:rFonts w:ascii="Times New Roman" w:hAnsi="Times New Roman"/>
          <w:sz w:val="26"/>
          <w:szCs w:val="26"/>
        </w:rPr>
        <w:tab/>
      </w:r>
      <w:r w:rsidR="00E72462" w:rsidRPr="007320CD">
        <w:rPr>
          <w:rFonts w:ascii="Times New Roman" w:hAnsi="Times New Roman"/>
          <w:sz w:val="26"/>
          <w:szCs w:val="26"/>
        </w:rPr>
        <w:t>A. K. Kariņš</w:t>
      </w:r>
    </w:p>
    <w:p w14:paraId="739CF1D5" w14:textId="77777777" w:rsidR="001A1983" w:rsidRPr="007320CD" w:rsidRDefault="001A1983" w:rsidP="00686BDB">
      <w:pPr>
        <w:tabs>
          <w:tab w:val="left" w:pos="6758"/>
        </w:tabs>
        <w:rPr>
          <w:rFonts w:ascii="Times New Roman" w:hAnsi="Times New Roman"/>
          <w:sz w:val="26"/>
          <w:szCs w:val="26"/>
        </w:rPr>
      </w:pPr>
      <w:r w:rsidRPr="007320CD">
        <w:rPr>
          <w:rFonts w:ascii="Times New Roman" w:hAnsi="Times New Roman"/>
          <w:sz w:val="26"/>
          <w:szCs w:val="26"/>
        </w:rPr>
        <w:t>Iesniedzējs:</w:t>
      </w:r>
    </w:p>
    <w:p w14:paraId="66F673EF" w14:textId="3D2B6B05" w:rsidR="001A1983" w:rsidRPr="00E72462" w:rsidRDefault="00514534" w:rsidP="00686BDB">
      <w:pPr>
        <w:tabs>
          <w:tab w:val="left" w:pos="6431"/>
          <w:tab w:val="left" w:pos="6758"/>
        </w:tabs>
        <w:rPr>
          <w:rFonts w:ascii="Times New Roman" w:hAnsi="Times New Roman"/>
          <w:sz w:val="26"/>
          <w:szCs w:val="26"/>
        </w:rPr>
      </w:pPr>
      <w:r w:rsidRPr="007320CD">
        <w:rPr>
          <w:rFonts w:ascii="Times New Roman" w:hAnsi="Times New Roman"/>
          <w:sz w:val="26"/>
          <w:szCs w:val="26"/>
        </w:rPr>
        <w:t>Iekšlietu ministr</w:t>
      </w:r>
      <w:r w:rsidR="007320CD" w:rsidRPr="007320CD">
        <w:rPr>
          <w:rFonts w:ascii="Times New Roman" w:hAnsi="Times New Roman"/>
          <w:sz w:val="26"/>
          <w:szCs w:val="26"/>
        </w:rPr>
        <w:t>s</w:t>
      </w:r>
      <w:r w:rsidR="001A1983" w:rsidRPr="007320CD">
        <w:rPr>
          <w:rFonts w:ascii="Times New Roman" w:hAnsi="Times New Roman"/>
          <w:sz w:val="26"/>
          <w:szCs w:val="26"/>
        </w:rPr>
        <w:t xml:space="preserve"> </w:t>
      </w:r>
      <w:r w:rsidR="001A1983" w:rsidRPr="007320CD">
        <w:rPr>
          <w:rFonts w:ascii="Times New Roman" w:hAnsi="Times New Roman"/>
          <w:sz w:val="26"/>
          <w:szCs w:val="26"/>
        </w:rPr>
        <w:tab/>
      </w:r>
      <w:r w:rsidRPr="007320CD">
        <w:rPr>
          <w:rFonts w:ascii="Times New Roman" w:hAnsi="Times New Roman"/>
          <w:sz w:val="26"/>
          <w:szCs w:val="26"/>
        </w:rPr>
        <w:t xml:space="preserve">M. </w:t>
      </w:r>
      <w:r w:rsidR="007320CD" w:rsidRPr="007320CD">
        <w:rPr>
          <w:rFonts w:ascii="Times New Roman" w:hAnsi="Times New Roman"/>
          <w:sz w:val="26"/>
          <w:szCs w:val="26"/>
        </w:rPr>
        <w:t>Kučinskis</w:t>
      </w:r>
    </w:p>
    <w:p w14:paraId="6EA8386E" w14:textId="77777777" w:rsidR="00A84F44" w:rsidRDefault="00A84F44" w:rsidP="00686BDB">
      <w:pPr>
        <w:ind w:left="720" w:hanging="720"/>
        <w:rPr>
          <w:rFonts w:ascii="Times New Roman" w:hAnsi="Times New Roman"/>
          <w:sz w:val="26"/>
          <w:szCs w:val="26"/>
        </w:rPr>
      </w:pPr>
    </w:p>
    <w:p w14:paraId="424455B6" w14:textId="77777777" w:rsidR="00581532" w:rsidRDefault="00581532" w:rsidP="00686BDB">
      <w:pPr>
        <w:ind w:left="720" w:hanging="720"/>
        <w:rPr>
          <w:rFonts w:ascii="Times New Roman" w:hAnsi="Times New Roman"/>
          <w:sz w:val="26"/>
          <w:szCs w:val="26"/>
        </w:rPr>
      </w:pPr>
    </w:p>
    <w:p w14:paraId="4F7F7583" w14:textId="335796E3" w:rsidR="001A1983" w:rsidRPr="00E72462" w:rsidRDefault="001A1983" w:rsidP="00686BDB">
      <w:pPr>
        <w:ind w:left="720" w:hanging="720"/>
        <w:rPr>
          <w:rFonts w:ascii="Times New Roman" w:hAnsi="Times New Roman"/>
          <w:sz w:val="26"/>
          <w:szCs w:val="26"/>
        </w:rPr>
      </w:pPr>
      <w:r w:rsidRPr="00E72462">
        <w:rPr>
          <w:rFonts w:ascii="Times New Roman" w:hAnsi="Times New Roman"/>
          <w:sz w:val="26"/>
          <w:szCs w:val="26"/>
        </w:rPr>
        <w:t>Vīza:</w:t>
      </w:r>
    </w:p>
    <w:p w14:paraId="67CBFBD4" w14:textId="77777777" w:rsidR="001A1983" w:rsidRPr="00E72462" w:rsidRDefault="00F152C6" w:rsidP="00686BDB">
      <w:pPr>
        <w:tabs>
          <w:tab w:val="left" w:pos="6431"/>
        </w:tabs>
        <w:ind w:left="720" w:hanging="720"/>
        <w:rPr>
          <w:rFonts w:ascii="Times New Roman" w:hAnsi="Times New Roman"/>
          <w:sz w:val="26"/>
          <w:szCs w:val="26"/>
        </w:rPr>
      </w:pPr>
      <w:r w:rsidRPr="00E72462">
        <w:rPr>
          <w:rFonts w:ascii="Times New Roman" w:hAnsi="Times New Roman"/>
          <w:sz w:val="26"/>
          <w:szCs w:val="26"/>
        </w:rPr>
        <w:t>Valsts sekretārs</w:t>
      </w:r>
      <w:r w:rsidR="001A1983" w:rsidRPr="00E72462">
        <w:rPr>
          <w:rFonts w:ascii="Times New Roman" w:hAnsi="Times New Roman"/>
          <w:sz w:val="26"/>
          <w:szCs w:val="26"/>
        </w:rPr>
        <w:tab/>
      </w:r>
      <w:r w:rsidR="001A1983" w:rsidRPr="00E72462">
        <w:rPr>
          <w:rFonts w:ascii="Times New Roman" w:hAnsi="Times New Roman"/>
          <w:sz w:val="26"/>
          <w:szCs w:val="26"/>
        </w:rPr>
        <w:tab/>
      </w:r>
      <w:r w:rsidRPr="00E72462">
        <w:rPr>
          <w:rFonts w:ascii="Times New Roman" w:hAnsi="Times New Roman"/>
          <w:sz w:val="26"/>
          <w:szCs w:val="26"/>
        </w:rPr>
        <w:t>D. Trofimovs</w:t>
      </w:r>
    </w:p>
    <w:p w14:paraId="4689C255" w14:textId="77777777" w:rsidR="00A84F44" w:rsidRDefault="00A84F44" w:rsidP="00F152C6">
      <w:pPr>
        <w:ind w:right="-329"/>
        <w:rPr>
          <w:rFonts w:ascii="Times New Roman" w:hAnsi="Times New Roman"/>
          <w:sz w:val="20"/>
          <w:szCs w:val="20"/>
        </w:rPr>
      </w:pPr>
    </w:p>
    <w:p w14:paraId="7C16008C" w14:textId="77777777" w:rsidR="00581532" w:rsidRDefault="00581532" w:rsidP="00F152C6">
      <w:pPr>
        <w:ind w:right="-329"/>
        <w:rPr>
          <w:rFonts w:ascii="Times New Roman" w:hAnsi="Times New Roman"/>
          <w:sz w:val="20"/>
          <w:szCs w:val="20"/>
        </w:rPr>
      </w:pPr>
    </w:p>
    <w:p w14:paraId="7E06FF2B" w14:textId="77777777" w:rsidR="00581532" w:rsidRDefault="00581532" w:rsidP="00F152C6">
      <w:pPr>
        <w:ind w:right="-329"/>
        <w:rPr>
          <w:rFonts w:ascii="Times New Roman" w:hAnsi="Times New Roman"/>
          <w:sz w:val="20"/>
          <w:szCs w:val="20"/>
        </w:rPr>
      </w:pPr>
    </w:p>
    <w:p w14:paraId="7867E996" w14:textId="77777777" w:rsidR="00581532" w:rsidRDefault="00581532" w:rsidP="00F152C6">
      <w:pPr>
        <w:ind w:right="-329"/>
        <w:rPr>
          <w:rFonts w:ascii="Times New Roman" w:hAnsi="Times New Roman"/>
          <w:sz w:val="20"/>
          <w:szCs w:val="20"/>
        </w:rPr>
      </w:pPr>
    </w:p>
    <w:p w14:paraId="6A4E457E" w14:textId="77777777" w:rsidR="00581532" w:rsidRDefault="00581532" w:rsidP="00F152C6">
      <w:pPr>
        <w:ind w:right="-329"/>
        <w:rPr>
          <w:rFonts w:ascii="Times New Roman" w:hAnsi="Times New Roman"/>
          <w:sz w:val="20"/>
          <w:szCs w:val="20"/>
        </w:rPr>
      </w:pPr>
    </w:p>
    <w:p w14:paraId="5D004AB1" w14:textId="77777777" w:rsidR="00581532" w:rsidRDefault="00581532" w:rsidP="00F152C6">
      <w:pPr>
        <w:ind w:right="-329"/>
        <w:rPr>
          <w:rFonts w:ascii="Times New Roman" w:hAnsi="Times New Roman"/>
          <w:sz w:val="20"/>
          <w:szCs w:val="20"/>
        </w:rPr>
      </w:pPr>
    </w:p>
    <w:p w14:paraId="1AB544C5" w14:textId="77777777" w:rsidR="00581532" w:rsidRDefault="00581532" w:rsidP="00F152C6">
      <w:pPr>
        <w:ind w:right="-329"/>
        <w:rPr>
          <w:rFonts w:ascii="Times New Roman" w:hAnsi="Times New Roman"/>
          <w:sz w:val="20"/>
          <w:szCs w:val="20"/>
        </w:rPr>
      </w:pPr>
    </w:p>
    <w:p w14:paraId="1F41A013" w14:textId="75961BCC" w:rsidR="00DF368D" w:rsidRDefault="00DF368D" w:rsidP="00F152C6">
      <w:pPr>
        <w:ind w:right="-329"/>
        <w:rPr>
          <w:rFonts w:ascii="Times New Roman" w:hAnsi="Times New Roman"/>
          <w:sz w:val="20"/>
          <w:szCs w:val="20"/>
        </w:rPr>
      </w:pPr>
      <w:r>
        <w:rPr>
          <w:rFonts w:ascii="Times New Roman" w:hAnsi="Times New Roman"/>
          <w:sz w:val="20"/>
          <w:szCs w:val="20"/>
        </w:rPr>
        <w:t>I</w:t>
      </w:r>
      <w:r w:rsidR="001A1983" w:rsidRPr="00E72462">
        <w:rPr>
          <w:rFonts w:ascii="Times New Roman" w:hAnsi="Times New Roman"/>
          <w:sz w:val="20"/>
          <w:szCs w:val="20"/>
        </w:rPr>
        <w:t>. Briede, 67219546</w:t>
      </w:r>
    </w:p>
    <w:p w14:paraId="7839A61D" w14:textId="77777777" w:rsidR="00003174" w:rsidRPr="002B4D22" w:rsidRDefault="00F37C2B" w:rsidP="00F152C6">
      <w:pPr>
        <w:ind w:right="-329"/>
        <w:rPr>
          <w:rFonts w:ascii="Times New Roman" w:hAnsi="Times New Roman"/>
          <w:color w:val="000000"/>
          <w:sz w:val="24"/>
          <w:szCs w:val="24"/>
        </w:rPr>
      </w:pPr>
      <w:hyperlink r:id="rId20" w:history="1">
        <w:r w:rsidR="001A1983" w:rsidRPr="00E72462">
          <w:rPr>
            <w:rFonts w:ascii="Times New Roman" w:hAnsi="Times New Roman"/>
            <w:sz w:val="20"/>
            <w:szCs w:val="20"/>
          </w:rPr>
          <w:t>ilze.briede@pmlp.gov.lv</w:t>
        </w:r>
      </w:hyperlink>
    </w:p>
    <w:sectPr w:rsidR="00003174" w:rsidRPr="002B4D22" w:rsidSect="006F3276">
      <w:headerReference w:type="even" r:id="rId21"/>
      <w:headerReference w:type="default" r:id="rId22"/>
      <w:footerReference w:type="default" r:id="rId23"/>
      <w:pgSz w:w="11906" w:h="16838"/>
      <w:pgMar w:top="1440" w:right="851" w:bottom="340" w:left="1797" w:header="709" w:footer="357"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405B5CD4" w16cid:durableId="27A6F171"/>
  <w16cid:commentId w16cid:paraId="1D2DA90D" w16cid:durableId="27A6F55E"/>
  <w16cid:commentId w16cid:paraId="4C477465" w16cid:durableId="27A756B5"/>
  <w16cid:commentId w16cid:paraId="36357FD1" w16cid:durableId="27A70603"/>
  <w16cid:commentId w16cid:paraId="6152E9AC" w16cid:durableId="27A715F9"/>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A683DED" w14:textId="77777777" w:rsidR="00F37C2B" w:rsidRDefault="00F37C2B" w:rsidP="006F61F5">
      <w:r>
        <w:separator/>
      </w:r>
    </w:p>
  </w:endnote>
  <w:endnote w:type="continuationSeparator" w:id="0">
    <w:p w14:paraId="56F8516A" w14:textId="77777777" w:rsidR="00F37C2B" w:rsidRDefault="00F37C2B" w:rsidP="006F61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PMingLiU-ExtB">
    <w:panose1 w:val="02020500000000000000"/>
    <w:charset w:val="88"/>
    <w:family w:val="roman"/>
    <w:pitch w:val="variable"/>
    <w:sig w:usb0="8000002F" w:usb1="0A080008" w:usb2="00000010" w:usb3="00000000" w:csb0="001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48C2DA" w14:textId="6E2624AF" w:rsidR="00F37C2B" w:rsidRPr="00D309C8" w:rsidRDefault="00F37C2B">
    <w:pPr>
      <w:pStyle w:val="Footer"/>
      <w:rPr>
        <w:rFonts w:ascii="Times New Roman" w:hAnsi="Times New Roman"/>
      </w:rPr>
    </w:pPr>
    <w:r>
      <w:rPr>
        <w:rFonts w:ascii="Times New Roman" w:hAnsi="Times New Roman"/>
      </w:rPr>
      <w:t>IEMZino_240223</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EE2F71" w14:textId="77777777" w:rsidR="00F37C2B" w:rsidRDefault="00F37C2B" w:rsidP="00801226">
    <w:pPr>
      <w:jc w:val="both"/>
      <w:rPr>
        <w:rFonts w:ascii="Times New Roman" w:hAnsi="Times New Roman"/>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3612304" w14:textId="77777777" w:rsidR="00F37C2B" w:rsidRDefault="00F37C2B" w:rsidP="006F61F5">
      <w:r>
        <w:separator/>
      </w:r>
    </w:p>
  </w:footnote>
  <w:footnote w:type="continuationSeparator" w:id="0">
    <w:p w14:paraId="29C949AD" w14:textId="77777777" w:rsidR="00F37C2B" w:rsidRDefault="00F37C2B" w:rsidP="006F61F5">
      <w:r>
        <w:continuationSeparator/>
      </w:r>
    </w:p>
  </w:footnote>
  <w:footnote w:id="1">
    <w:p w14:paraId="11A2ADE9" w14:textId="77777777" w:rsidR="00F37C2B" w:rsidRPr="00B7778A" w:rsidRDefault="00F37C2B" w:rsidP="00256917">
      <w:pPr>
        <w:pStyle w:val="FootnoteText"/>
        <w:jc w:val="both"/>
        <w:rPr>
          <w:rFonts w:ascii="Times New Roman" w:hAnsi="Times New Roman"/>
        </w:rPr>
      </w:pPr>
      <w:bookmarkStart w:id="4" w:name="_Hlk97022498"/>
      <w:r w:rsidRPr="00B7778A">
        <w:rPr>
          <w:rStyle w:val="FootnoteReference"/>
          <w:rFonts w:ascii="Times New Roman" w:hAnsi="Times New Roman"/>
        </w:rPr>
        <w:footnoteRef/>
      </w:r>
      <w:r w:rsidRPr="00B7778A">
        <w:rPr>
          <w:rFonts w:ascii="Times New Roman" w:hAnsi="Times New Roman"/>
        </w:rPr>
        <w:t xml:space="preserve"> 2017. gada Informatīvais ziņojums par Imigrācijas likuma 23.panta pirmās daļas 3., 28., 29., 30. un 31.punktā paredzēto noteikumu īstenošanas gaitu un rezultātiem.</w:t>
      </w:r>
      <w:bookmarkEnd w:id="4"/>
    </w:p>
  </w:footnote>
  <w:footnote w:id="2">
    <w:p w14:paraId="0B6D631E" w14:textId="6B1F9F3D" w:rsidR="00F37C2B" w:rsidRPr="00790FE6" w:rsidRDefault="00F37C2B" w:rsidP="00026308">
      <w:pPr>
        <w:pStyle w:val="FootnoteText"/>
        <w:jc w:val="both"/>
        <w:rPr>
          <w:rFonts w:ascii="Times New Roman" w:hAnsi="Times New Roman"/>
        </w:rPr>
      </w:pPr>
      <w:r w:rsidRPr="00790FE6">
        <w:rPr>
          <w:rStyle w:val="FootnoteReference"/>
          <w:rFonts w:ascii="Times New Roman" w:hAnsi="Times New Roman"/>
        </w:rPr>
        <w:footnoteRef/>
      </w:r>
      <w:r>
        <w:rPr>
          <w:rFonts w:ascii="Times New Roman" w:hAnsi="Times New Roman"/>
        </w:rPr>
        <w:t xml:space="preserve"> World Investment Report 2022. </w:t>
      </w:r>
      <w:r w:rsidRPr="00026308">
        <w:rPr>
          <w:rFonts w:ascii="Times New Roman" w:hAnsi="Times New Roman"/>
        </w:rPr>
        <w:t>International tax reforms and sustainable investment</w:t>
      </w:r>
      <w:r>
        <w:rPr>
          <w:rFonts w:ascii="Times New Roman" w:hAnsi="Times New Roman"/>
        </w:rPr>
        <w:t xml:space="preserve"> .</w:t>
      </w:r>
      <w:r w:rsidRPr="00790FE6">
        <w:rPr>
          <w:rFonts w:ascii="Times New Roman" w:hAnsi="Times New Roman"/>
        </w:rPr>
        <w:t xml:space="preserve"> United Nations</w:t>
      </w:r>
      <w:r>
        <w:rPr>
          <w:rFonts w:ascii="Times New Roman" w:hAnsi="Times New Roman"/>
        </w:rPr>
        <w:t xml:space="preserve">, New York 2022: </w:t>
      </w:r>
      <w:r w:rsidRPr="00026308">
        <w:rPr>
          <w:rFonts w:ascii="Times New Roman" w:hAnsi="Times New Roman"/>
        </w:rPr>
        <w:t>https://unctad.org/publication/world-investment-report-2022</w:t>
      </w:r>
    </w:p>
  </w:footnote>
  <w:footnote w:id="3">
    <w:p w14:paraId="7E803762" w14:textId="77777777" w:rsidR="00F37C2B" w:rsidRDefault="00F37C2B" w:rsidP="00926C7D">
      <w:pPr>
        <w:pStyle w:val="FootnoteText"/>
        <w:jc w:val="both"/>
      </w:pPr>
      <w:r>
        <w:rPr>
          <w:rStyle w:val="FootnoteReference"/>
        </w:rPr>
        <w:footnoteRef/>
      </w:r>
      <w:r>
        <w:t xml:space="preserve"> </w:t>
      </w:r>
      <w:r w:rsidRPr="00B7778A">
        <w:rPr>
          <w:rFonts w:ascii="Times New Roman" w:hAnsi="Times New Roman"/>
        </w:rPr>
        <w:t>20</w:t>
      </w:r>
      <w:r>
        <w:rPr>
          <w:rFonts w:ascii="Times New Roman" w:hAnsi="Times New Roman"/>
        </w:rPr>
        <w:t>21</w:t>
      </w:r>
      <w:r w:rsidRPr="00B7778A">
        <w:rPr>
          <w:rFonts w:ascii="Times New Roman" w:hAnsi="Times New Roman"/>
        </w:rPr>
        <w:t>. gada Informatīvais ziņojums par Imigrācijas likuma 23.panta pirmās daļas 3., 28., 29., 30. un 31.punktā paredzēto noteikumu īstenošanas gaitu un rezultātiem.</w:t>
      </w:r>
    </w:p>
  </w:footnote>
  <w:footnote w:id="4">
    <w:p w14:paraId="57446DAE" w14:textId="77777777" w:rsidR="00F37C2B" w:rsidRPr="00006880" w:rsidRDefault="00F37C2B" w:rsidP="00926C7D">
      <w:pPr>
        <w:pStyle w:val="FootnoteText"/>
        <w:rPr>
          <w:rFonts w:ascii="Times New Roman" w:hAnsi="Times New Roman"/>
        </w:rPr>
      </w:pPr>
      <w:r w:rsidRPr="00006880">
        <w:rPr>
          <w:rStyle w:val="FootnoteReference"/>
          <w:rFonts w:ascii="Times New Roman" w:hAnsi="Times New Roman"/>
        </w:rPr>
        <w:footnoteRef/>
      </w:r>
      <w:r w:rsidRPr="00006880">
        <w:rPr>
          <w:rFonts w:ascii="Times New Roman" w:hAnsi="Times New Roman"/>
        </w:rPr>
        <w:t xml:space="preserve"> </w:t>
      </w:r>
      <w:hyperlink r:id="rId1" w:history="1">
        <w:r w:rsidRPr="00006880">
          <w:rPr>
            <w:rStyle w:val="Hyperlink"/>
            <w:rFonts w:ascii="Times New Roman" w:hAnsi="Times New Roman"/>
          </w:rPr>
          <w:t>https://likumi.lv/ta/id/315278-covid-19-infekcijas-izplatibas-parvaldibas-likums</w:t>
        </w:r>
      </w:hyperlink>
      <w:r w:rsidRPr="00006880">
        <w:rPr>
          <w:rFonts w:ascii="Times New Roman" w:hAnsi="Times New Roman"/>
        </w:rPr>
        <w:t xml:space="preserve"> </w:t>
      </w:r>
    </w:p>
  </w:footnote>
  <w:footnote w:id="5">
    <w:p w14:paraId="77309316" w14:textId="77777777" w:rsidR="00F37C2B" w:rsidRPr="009B132A" w:rsidRDefault="00F37C2B" w:rsidP="00926C7D">
      <w:pPr>
        <w:pStyle w:val="FootnoteText"/>
        <w:rPr>
          <w:rFonts w:ascii="Times New Roman" w:hAnsi="Times New Roman"/>
        </w:rPr>
      </w:pPr>
      <w:r w:rsidRPr="009B132A">
        <w:rPr>
          <w:rStyle w:val="FootnoteReference"/>
          <w:rFonts w:ascii="Times New Roman" w:hAnsi="Times New Roman"/>
        </w:rPr>
        <w:footnoteRef/>
      </w:r>
      <w:r w:rsidRPr="009B132A">
        <w:rPr>
          <w:rFonts w:ascii="Times New Roman" w:hAnsi="Times New Roman"/>
        </w:rPr>
        <w:t xml:space="preserve"> </w:t>
      </w:r>
      <w:r>
        <w:rPr>
          <w:rFonts w:ascii="Times New Roman" w:hAnsi="Times New Roman"/>
        </w:rPr>
        <w:t>Skatīt likumprojekta “Grozījumi Imigrācijas likumā”</w:t>
      </w:r>
      <w:r w:rsidRPr="009B132A">
        <w:rPr>
          <w:rFonts w:ascii="Times New Roman" w:hAnsi="Times New Roman"/>
        </w:rPr>
        <w:t xml:space="preserve"> </w:t>
      </w:r>
      <w:r>
        <w:rPr>
          <w:rFonts w:ascii="Times New Roman" w:hAnsi="Times New Roman"/>
        </w:rPr>
        <w:t xml:space="preserve">anotāciju: </w:t>
      </w:r>
      <w:hyperlink r:id="rId2" w:history="1">
        <w:r w:rsidRPr="00A458D5">
          <w:rPr>
            <w:rStyle w:val="Hyperlink"/>
            <w:rFonts w:ascii="Times New Roman" w:hAnsi="Times New Roman"/>
          </w:rPr>
          <w:t>http://titania.saeima.lv/LIVS12/saeimalivs12.nsf/0/01A496FFF8571C03C22581B600277FCD?OpenDocument</w:t>
        </w:r>
      </w:hyperlink>
      <w:r>
        <w:rPr>
          <w:rFonts w:ascii="Times New Roman" w:hAnsi="Times New Roman"/>
        </w:rPr>
        <w:t xml:space="preserve"> </w:t>
      </w:r>
    </w:p>
  </w:footnote>
  <w:footnote w:id="6">
    <w:p w14:paraId="1D879BE5" w14:textId="77777777" w:rsidR="00F37C2B" w:rsidRPr="0040171B" w:rsidRDefault="00F37C2B" w:rsidP="00926C7D">
      <w:pPr>
        <w:pStyle w:val="FootnoteText"/>
        <w:rPr>
          <w:rFonts w:ascii="Times New Roman" w:hAnsi="Times New Roman"/>
        </w:rPr>
      </w:pPr>
      <w:r w:rsidRPr="0040171B">
        <w:rPr>
          <w:rStyle w:val="FootnoteReference"/>
          <w:rFonts w:ascii="Times New Roman" w:hAnsi="Times New Roman"/>
        </w:rPr>
        <w:footnoteRef/>
      </w:r>
      <w:r w:rsidRPr="0040171B">
        <w:rPr>
          <w:rFonts w:ascii="Times New Roman" w:hAnsi="Times New Roman"/>
        </w:rPr>
        <w:t xml:space="preserve"> </w:t>
      </w:r>
      <w:hyperlink r:id="rId3" w:history="1">
        <w:r w:rsidRPr="008B5D25">
          <w:rPr>
            <w:rStyle w:val="Hyperlink"/>
            <w:rFonts w:ascii="Times New Roman" w:hAnsi="Times New Roman"/>
          </w:rPr>
          <w:t>https://likumi.lv/ta/id/328114-par-valsts-budzetu-2022-gadam</w:t>
        </w:r>
      </w:hyperlink>
      <w:r>
        <w:rPr>
          <w:rFonts w:ascii="Times New Roman" w:hAnsi="Times New Roman"/>
        </w:rPr>
        <w:t xml:space="preserve"> </w:t>
      </w:r>
    </w:p>
  </w:footnote>
  <w:footnote w:id="7">
    <w:p w14:paraId="76745F0E" w14:textId="77777777" w:rsidR="00F37C2B" w:rsidRPr="00482DA5" w:rsidRDefault="00F37C2B" w:rsidP="00926C7D">
      <w:pPr>
        <w:pStyle w:val="FootnoteText"/>
        <w:rPr>
          <w:rFonts w:ascii="Times New Roman" w:hAnsi="Times New Roman"/>
        </w:rPr>
      </w:pPr>
      <w:r w:rsidRPr="00482DA5">
        <w:rPr>
          <w:rStyle w:val="FootnoteReference"/>
          <w:rFonts w:ascii="Times New Roman" w:hAnsi="Times New Roman"/>
        </w:rPr>
        <w:footnoteRef/>
      </w:r>
      <w:r w:rsidRPr="00482DA5">
        <w:rPr>
          <w:rFonts w:ascii="Times New Roman" w:hAnsi="Times New Roman"/>
        </w:rPr>
        <w:t xml:space="preserve"> </w:t>
      </w:r>
      <w:hyperlink r:id="rId4" w:history="1">
        <w:r w:rsidRPr="00482DA5">
          <w:rPr>
            <w:rStyle w:val="Hyperlink"/>
            <w:rFonts w:ascii="Times New Roman" w:hAnsi="Times New Roman"/>
          </w:rPr>
          <w:t>https://likumi.lv/ta/id/304868-par-pamatbudzeta-programmas-ekonomikas-attistibas-programma-finansu-lidzeklu-izmantosanu</w:t>
        </w:r>
      </w:hyperlink>
      <w:r w:rsidRPr="00482DA5">
        <w:rPr>
          <w:rFonts w:ascii="Times New Roman" w:hAnsi="Times New Roman"/>
        </w:rPr>
        <w:t xml:space="preserve"> </w:t>
      </w:r>
    </w:p>
  </w:footnote>
  <w:footnote w:id="8">
    <w:p w14:paraId="696F8522" w14:textId="77777777" w:rsidR="00F37C2B" w:rsidRPr="00037A47" w:rsidRDefault="00F37C2B" w:rsidP="00926C7D">
      <w:pPr>
        <w:pStyle w:val="FootnoteText"/>
        <w:rPr>
          <w:rFonts w:ascii="Times New Roman" w:hAnsi="Times New Roman"/>
        </w:rPr>
      </w:pPr>
      <w:r w:rsidRPr="00037A47">
        <w:rPr>
          <w:rStyle w:val="FootnoteReference"/>
          <w:rFonts w:ascii="Times New Roman" w:hAnsi="Times New Roman"/>
        </w:rPr>
        <w:footnoteRef/>
      </w:r>
      <w:r w:rsidRPr="00037A47">
        <w:rPr>
          <w:rFonts w:ascii="Times New Roman" w:hAnsi="Times New Roman"/>
        </w:rPr>
        <w:t xml:space="preserve"> </w:t>
      </w:r>
      <w:hyperlink r:id="rId5" w:history="1">
        <w:r w:rsidRPr="00037A47">
          <w:rPr>
            <w:rStyle w:val="Hyperlink"/>
            <w:rFonts w:ascii="Times New Roman" w:hAnsi="Times New Roman"/>
          </w:rPr>
          <w:t>https://likumi.lv/ta/id/308309-par-pamatbudzeta-programmas-ekonomikas-attistibas-programma-finansu-lidzeklu-izmantosanu</w:t>
        </w:r>
      </w:hyperlink>
      <w:r w:rsidRPr="00037A47">
        <w:rPr>
          <w:rFonts w:ascii="Times New Roman" w:hAnsi="Times New Roman"/>
        </w:rPr>
        <w:t xml:space="preserve"> </w:t>
      </w:r>
    </w:p>
  </w:footnote>
  <w:footnote w:id="9">
    <w:p w14:paraId="76535CAA" w14:textId="77777777" w:rsidR="00F37C2B" w:rsidRPr="00782422" w:rsidRDefault="00F37C2B" w:rsidP="00926C7D">
      <w:pPr>
        <w:pStyle w:val="FootnoteText"/>
        <w:rPr>
          <w:rFonts w:ascii="Times New Roman" w:hAnsi="Times New Roman"/>
          <w:u w:val="single"/>
        </w:rPr>
      </w:pPr>
      <w:r>
        <w:rPr>
          <w:rStyle w:val="FootnoteReference"/>
        </w:rPr>
        <w:footnoteRef/>
      </w:r>
      <w:r>
        <w:t xml:space="preserve"> </w:t>
      </w:r>
      <w:hyperlink r:id="rId6" w:history="1">
        <w:r w:rsidRPr="00490F9B">
          <w:rPr>
            <w:rStyle w:val="Hyperlink"/>
            <w:rFonts w:ascii="Times New Roman" w:hAnsi="Times New Roman"/>
          </w:rPr>
          <w:t>https://likumi.lv/ta/id/292983-ministru-kabineta-sedes-protokols</w:t>
        </w:r>
      </w:hyperlink>
      <w:r w:rsidRPr="00782422">
        <w:rPr>
          <w:rFonts w:ascii="Times New Roman" w:hAnsi="Times New Roman"/>
        </w:rPr>
        <w:t xml:space="preserve"> </w:t>
      </w:r>
    </w:p>
  </w:footnote>
  <w:footnote w:id="10">
    <w:p w14:paraId="7716D480" w14:textId="77777777" w:rsidR="00F37C2B" w:rsidRPr="002C65F6" w:rsidRDefault="00F37C2B" w:rsidP="00926C7D">
      <w:pPr>
        <w:pStyle w:val="FootnoteText"/>
        <w:rPr>
          <w:rFonts w:ascii="Times New Roman" w:hAnsi="Times New Roman"/>
        </w:rPr>
      </w:pPr>
      <w:r w:rsidRPr="002C65F6">
        <w:rPr>
          <w:rStyle w:val="FootnoteReference"/>
          <w:rFonts w:ascii="Times New Roman" w:hAnsi="Times New Roman"/>
        </w:rPr>
        <w:footnoteRef/>
      </w:r>
      <w:r w:rsidRPr="002C65F6">
        <w:rPr>
          <w:rFonts w:ascii="Times New Roman" w:hAnsi="Times New Roman"/>
        </w:rPr>
        <w:t xml:space="preserve"> </w:t>
      </w:r>
      <w:hyperlink r:id="rId7" w:history="1">
        <w:r w:rsidRPr="002C65F6">
          <w:rPr>
            <w:rStyle w:val="Hyperlink"/>
            <w:rFonts w:ascii="Times New Roman" w:hAnsi="Times New Roman"/>
          </w:rPr>
          <w:t>https://likumi.lv/ta/id/313220-ministru-kabineta-sedes-protokols</w:t>
        </w:r>
      </w:hyperlink>
      <w:r w:rsidRPr="002C65F6">
        <w:rPr>
          <w:rFonts w:ascii="Times New Roman" w:hAnsi="Times New Roman"/>
        </w:rPr>
        <w:t xml:space="preserve"> </w:t>
      </w:r>
    </w:p>
  </w:footnote>
  <w:footnote w:id="11">
    <w:p w14:paraId="41E31E52" w14:textId="77777777" w:rsidR="00F37C2B" w:rsidRPr="00C112BC" w:rsidRDefault="00F37C2B" w:rsidP="00926C7D">
      <w:pPr>
        <w:pStyle w:val="FootnoteText"/>
        <w:rPr>
          <w:rFonts w:ascii="Times New Roman" w:hAnsi="Times New Roman"/>
        </w:rPr>
      </w:pPr>
      <w:r w:rsidRPr="00C112BC">
        <w:rPr>
          <w:rStyle w:val="FootnoteReference"/>
          <w:rFonts w:ascii="Times New Roman" w:hAnsi="Times New Roman"/>
        </w:rPr>
        <w:footnoteRef/>
      </w:r>
      <w:r w:rsidRPr="00C112BC">
        <w:rPr>
          <w:rFonts w:ascii="Times New Roman" w:hAnsi="Times New Roman"/>
        </w:rPr>
        <w:t xml:space="preserve"> </w:t>
      </w:r>
      <w:hyperlink r:id="rId8" w:history="1">
        <w:r w:rsidRPr="00490F9B">
          <w:rPr>
            <w:rStyle w:val="Hyperlink"/>
            <w:rFonts w:ascii="Times New Roman" w:hAnsi="Times New Roman"/>
          </w:rPr>
          <w:t>https://likumi.lv/ta/id/308309-par-pamatbudzeta-programmas-ekonomikas-attistibas-programma-finansu-lidzeklu-izmantosanu</w:t>
        </w:r>
      </w:hyperlink>
      <w:r>
        <w:rPr>
          <w:rFonts w:ascii="Times New Roman" w:hAnsi="Times New Roman"/>
        </w:rPr>
        <w:t xml:space="preserve"> </w:t>
      </w:r>
    </w:p>
  </w:footnote>
  <w:footnote w:id="12">
    <w:p w14:paraId="410F1850" w14:textId="77777777" w:rsidR="00F37C2B" w:rsidRPr="001211D0" w:rsidRDefault="00F37C2B" w:rsidP="00926C7D">
      <w:pPr>
        <w:pStyle w:val="FootnoteText"/>
        <w:rPr>
          <w:rFonts w:ascii="Times New Roman" w:hAnsi="Times New Roman"/>
        </w:rPr>
      </w:pPr>
      <w:r w:rsidRPr="001211D0">
        <w:rPr>
          <w:rStyle w:val="FootnoteReference"/>
          <w:rFonts w:ascii="Times New Roman" w:hAnsi="Times New Roman"/>
        </w:rPr>
        <w:footnoteRef/>
      </w:r>
      <w:r w:rsidRPr="001211D0">
        <w:rPr>
          <w:rFonts w:ascii="Times New Roman" w:hAnsi="Times New Roman"/>
        </w:rPr>
        <w:t xml:space="preserve"> </w:t>
      </w:r>
      <w:hyperlink r:id="rId9" w:history="1">
        <w:r w:rsidRPr="001211D0">
          <w:rPr>
            <w:rStyle w:val="Hyperlink"/>
            <w:rFonts w:ascii="Times New Roman" w:hAnsi="Times New Roman"/>
          </w:rPr>
          <w:t>https://likumi.lv/ta/id/331565-grozijumi-imigracijas-likuma</w:t>
        </w:r>
      </w:hyperlink>
      <w:r w:rsidRPr="001211D0">
        <w:rPr>
          <w:rFonts w:ascii="Times New Roman" w:hAnsi="Times New Roman"/>
        </w:rPr>
        <w:t xml:space="preserve"> </w:t>
      </w:r>
    </w:p>
  </w:footnote>
  <w:footnote w:id="13">
    <w:p w14:paraId="7B249DCF" w14:textId="77777777" w:rsidR="00F37C2B" w:rsidRPr="001211D0" w:rsidRDefault="00F37C2B" w:rsidP="00926C7D">
      <w:pPr>
        <w:pStyle w:val="FootnoteText"/>
        <w:rPr>
          <w:rFonts w:ascii="Times New Roman" w:hAnsi="Times New Roman"/>
        </w:rPr>
      </w:pPr>
      <w:r w:rsidRPr="001211D0">
        <w:rPr>
          <w:rStyle w:val="FootnoteReference"/>
          <w:rFonts w:ascii="Times New Roman" w:hAnsi="Times New Roman"/>
        </w:rPr>
        <w:footnoteRef/>
      </w:r>
      <w:r w:rsidRPr="001211D0">
        <w:rPr>
          <w:rFonts w:ascii="Times New Roman" w:hAnsi="Times New Roman"/>
        </w:rPr>
        <w:t xml:space="preserve"> </w:t>
      </w:r>
      <w:hyperlink r:id="rId10" w:history="1">
        <w:r w:rsidRPr="001211D0">
          <w:rPr>
            <w:rStyle w:val="Hyperlink"/>
            <w:rFonts w:ascii="Times New Roman" w:hAnsi="Times New Roman"/>
          </w:rPr>
          <w:t>https://likumi.lv/ta/id/335817-grozijumi-imigracijas-likuma</w:t>
        </w:r>
      </w:hyperlink>
      <w:r w:rsidRPr="001211D0">
        <w:rPr>
          <w:rFonts w:ascii="Times New Roman" w:hAnsi="Times New Roman"/>
        </w:rPr>
        <w:t xml:space="preserve"> </w:t>
      </w:r>
    </w:p>
  </w:footnote>
  <w:footnote w:id="14">
    <w:p w14:paraId="46C70BDB" w14:textId="77777777" w:rsidR="00F37C2B" w:rsidRPr="0040171B" w:rsidRDefault="00F37C2B" w:rsidP="00926C7D">
      <w:pPr>
        <w:pStyle w:val="FootnoteText"/>
        <w:rPr>
          <w:rFonts w:ascii="Times New Roman" w:hAnsi="Times New Roman"/>
        </w:rPr>
      </w:pPr>
      <w:r w:rsidRPr="0040171B">
        <w:rPr>
          <w:rStyle w:val="FootnoteReference"/>
          <w:rFonts w:ascii="Times New Roman" w:hAnsi="Times New Roman"/>
        </w:rPr>
        <w:footnoteRef/>
      </w:r>
      <w:r w:rsidRPr="0040171B">
        <w:rPr>
          <w:rFonts w:ascii="Times New Roman" w:hAnsi="Times New Roman"/>
        </w:rPr>
        <w:t xml:space="preserve"> </w:t>
      </w:r>
      <w:hyperlink r:id="rId11" w:history="1">
        <w:r w:rsidRPr="00350C0B">
          <w:rPr>
            <w:rStyle w:val="Hyperlink"/>
            <w:rFonts w:ascii="Times New Roman" w:hAnsi="Times New Roman"/>
          </w:rPr>
          <w:t>https://tapportals.mk.gov.lv/structuralizer/data/nodes/959af1ea-da72-425a-ad31-1405559b6934/preview</w:t>
        </w:r>
      </w:hyperlink>
      <w:r>
        <w:rPr>
          <w:rFonts w:ascii="Times New Roman" w:hAnsi="Times New Roman"/>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31725243"/>
      <w:docPartObj>
        <w:docPartGallery w:val="Page Numbers (Top of Page)"/>
        <w:docPartUnique/>
      </w:docPartObj>
    </w:sdtPr>
    <w:sdtEndPr>
      <w:rPr>
        <w:rFonts w:ascii="Times New Roman" w:hAnsi="Times New Roman"/>
        <w:noProof/>
      </w:rPr>
    </w:sdtEndPr>
    <w:sdtContent>
      <w:p w14:paraId="5D1E9B8F" w14:textId="7462545C" w:rsidR="00F37C2B" w:rsidRPr="00D309C8" w:rsidRDefault="00F37C2B">
        <w:pPr>
          <w:pStyle w:val="Header"/>
          <w:jc w:val="center"/>
          <w:rPr>
            <w:rFonts w:ascii="Times New Roman" w:hAnsi="Times New Roman"/>
          </w:rPr>
        </w:pPr>
        <w:r w:rsidRPr="00D309C8">
          <w:rPr>
            <w:rFonts w:ascii="Times New Roman" w:hAnsi="Times New Roman"/>
          </w:rPr>
          <w:fldChar w:fldCharType="begin"/>
        </w:r>
        <w:r w:rsidRPr="00D309C8">
          <w:rPr>
            <w:rFonts w:ascii="Times New Roman" w:hAnsi="Times New Roman"/>
          </w:rPr>
          <w:instrText xml:space="preserve"> PAGE   \* MERGEFORMAT </w:instrText>
        </w:r>
        <w:r w:rsidRPr="00D309C8">
          <w:rPr>
            <w:rFonts w:ascii="Times New Roman" w:hAnsi="Times New Roman"/>
          </w:rPr>
          <w:fldChar w:fldCharType="separate"/>
        </w:r>
        <w:r w:rsidR="00222941">
          <w:rPr>
            <w:rFonts w:ascii="Times New Roman" w:hAnsi="Times New Roman"/>
            <w:noProof/>
          </w:rPr>
          <w:t>14</w:t>
        </w:r>
        <w:r w:rsidRPr="00D309C8">
          <w:rPr>
            <w:rFonts w:ascii="Times New Roman" w:hAnsi="Times New Roman"/>
            <w:noProof/>
          </w:rPr>
          <w:fldChar w:fldCharType="end"/>
        </w:r>
      </w:p>
    </w:sdtContent>
  </w:sdt>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F0DC7F" w14:textId="77777777" w:rsidR="00F37C2B" w:rsidRDefault="00F37C2B" w:rsidP="008757FB">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847BEC4" w14:textId="77777777" w:rsidR="00F37C2B" w:rsidRDefault="00F37C2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97996899"/>
      <w:docPartObj>
        <w:docPartGallery w:val="Page Numbers (Top of Page)"/>
        <w:docPartUnique/>
      </w:docPartObj>
    </w:sdtPr>
    <w:sdtEndPr>
      <w:rPr>
        <w:rFonts w:ascii="Times New Roman" w:eastAsia="PMingLiU-ExtB" w:hAnsi="Times New Roman"/>
        <w:noProof/>
        <w:sz w:val="24"/>
      </w:rPr>
    </w:sdtEndPr>
    <w:sdtContent>
      <w:p w14:paraId="26F6E05C" w14:textId="10242971" w:rsidR="00F37C2B" w:rsidRPr="002C5E69" w:rsidRDefault="00F37C2B">
        <w:pPr>
          <w:pStyle w:val="Header"/>
          <w:jc w:val="center"/>
          <w:rPr>
            <w:rFonts w:ascii="Times New Roman" w:eastAsia="PMingLiU-ExtB" w:hAnsi="Times New Roman"/>
            <w:sz w:val="24"/>
          </w:rPr>
        </w:pPr>
        <w:r w:rsidRPr="002C5E69">
          <w:rPr>
            <w:rFonts w:ascii="Times New Roman" w:eastAsia="PMingLiU-ExtB" w:hAnsi="Times New Roman"/>
            <w:sz w:val="24"/>
          </w:rPr>
          <w:fldChar w:fldCharType="begin"/>
        </w:r>
        <w:r w:rsidRPr="002C5E69">
          <w:rPr>
            <w:rFonts w:ascii="Times New Roman" w:eastAsia="PMingLiU-ExtB" w:hAnsi="Times New Roman"/>
            <w:sz w:val="24"/>
          </w:rPr>
          <w:instrText xml:space="preserve"> PAGE   \* MERGEFORMAT </w:instrText>
        </w:r>
        <w:r w:rsidRPr="002C5E69">
          <w:rPr>
            <w:rFonts w:ascii="Times New Roman" w:eastAsia="PMingLiU-ExtB" w:hAnsi="Times New Roman"/>
            <w:sz w:val="24"/>
          </w:rPr>
          <w:fldChar w:fldCharType="separate"/>
        </w:r>
        <w:r w:rsidR="00222941">
          <w:rPr>
            <w:rFonts w:ascii="Times New Roman" w:eastAsia="PMingLiU-ExtB" w:hAnsi="Times New Roman"/>
            <w:noProof/>
            <w:sz w:val="24"/>
          </w:rPr>
          <w:t>25</w:t>
        </w:r>
        <w:r w:rsidRPr="002C5E69">
          <w:rPr>
            <w:rFonts w:ascii="Times New Roman" w:eastAsia="PMingLiU-ExtB" w:hAnsi="Times New Roman"/>
            <w:noProof/>
            <w:sz w:val="24"/>
          </w:rPr>
          <w:fldChar w:fldCharType="end"/>
        </w:r>
      </w:p>
    </w:sdtContent>
  </w:sdt>
  <w:p w14:paraId="6809F852" w14:textId="77777777" w:rsidR="00F37C2B" w:rsidRDefault="00F37C2B" w:rsidP="002C5E6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2E7E6E"/>
    <w:multiLevelType w:val="hybridMultilevel"/>
    <w:tmpl w:val="2D6E23E2"/>
    <w:lvl w:ilvl="0" w:tplc="04260001">
      <w:start w:val="1"/>
      <w:numFmt w:val="bullet"/>
      <w:lvlText w:val=""/>
      <w:lvlJc w:val="left"/>
      <w:pPr>
        <w:ind w:left="1287" w:hanging="360"/>
      </w:pPr>
      <w:rPr>
        <w:rFonts w:ascii="Symbol" w:hAnsi="Symbol" w:hint="default"/>
      </w:rPr>
    </w:lvl>
    <w:lvl w:ilvl="1" w:tplc="04260003" w:tentative="1">
      <w:start w:val="1"/>
      <w:numFmt w:val="bullet"/>
      <w:lvlText w:val="o"/>
      <w:lvlJc w:val="left"/>
      <w:pPr>
        <w:ind w:left="2007" w:hanging="360"/>
      </w:pPr>
      <w:rPr>
        <w:rFonts w:ascii="Courier New" w:hAnsi="Courier New" w:cs="Courier New" w:hint="default"/>
      </w:rPr>
    </w:lvl>
    <w:lvl w:ilvl="2" w:tplc="04260005" w:tentative="1">
      <w:start w:val="1"/>
      <w:numFmt w:val="bullet"/>
      <w:lvlText w:val=""/>
      <w:lvlJc w:val="left"/>
      <w:pPr>
        <w:ind w:left="2727" w:hanging="360"/>
      </w:pPr>
      <w:rPr>
        <w:rFonts w:ascii="Wingdings" w:hAnsi="Wingdings" w:hint="default"/>
      </w:rPr>
    </w:lvl>
    <w:lvl w:ilvl="3" w:tplc="04260001" w:tentative="1">
      <w:start w:val="1"/>
      <w:numFmt w:val="bullet"/>
      <w:lvlText w:val=""/>
      <w:lvlJc w:val="left"/>
      <w:pPr>
        <w:ind w:left="3447" w:hanging="360"/>
      </w:pPr>
      <w:rPr>
        <w:rFonts w:ascii="Symbol" w:hAnsi="Symbol" w:hint="default"/>
      </w:rPr>
    </w:lvl>
    <w:lvl w:ilvl="4" w:tplc="04260003" w:tentative="1">
      <w:start w:val="1"/>
      <w:numFmt w:val="bullet"/>
      <w:lvlText w:val="o"/>
      <w:lvlJc w:val="left"/>
      <w:pPr>
        <w:ind w:left="4167" w:hanging="360"/>
      </w:pPr>
      <w:rPr>
        <w:rFonts w:ascii="Courier New" w:hAnsi="Courier New" w:cs="Courier New" w:hint="default"/>
      </w:rPr>
    </w:lvl>
    <w:lvl w:ilvl="5" w:tplc="04260005" w:tentative="1">
      <w:start w:val="1"/>
      <w:numFmt w:val="bullet"/>
      <w:lvlText w:val=""/>
      <w:lvlJc w:val="left"/>
      <w:pPr>
        <w:ind w:left="4887" w:hanging="360"/>
      </w:pPr>
      <w:rPr>
        <w:rFonts w:ascii="Wingdings" w:hAnsi="Wingdings" w:hint="default"/>
      </w:rPr>
    </w:lvl>
    <w:lvl w:ilvl="6" w:tplc="04260001" w:tentative="1">
      <w:start w:val="1"/>
      <w:numFmt w:val="bullet"/>
      <w:lvlText w:val=""/>
      <w:lvlJc w:val="left"/>
      <w:pPr>
        <w:ind w:left="5607" w:hanging="360"/>
      </w:pPr>
      <w:rPr>
        <w:rFonts w:ascii="Symbol" w:hAnsi="Symbol" w:hint="default"/>
      </w:rPr>
    </w:lvl>
    <w:lvl w:ilvl="7" w:tplc="04260003" w:tentative="1">
      <w:start w:val="1"/>
      <w:numFmt w:val="bullet"/>
      <w:lvlText w:val="o"/>
      <w:lvlJc w:val="left"/>
      <w:pPr>
        <w:ind w:left="6327" w:hanging="360"/>
      </w:pPr>
      <w:rPr>
        <w:rFonts w:ascii="Courier New" w:hAnsi="Courier New" w:cs="Courier New" w:hint="default"/>
      </w:rPr>
    </w:lvl>
    <w:lvl w:ilvl="8" w:tplc="04260005" w:tentative="1">
      <w:start w:val="1"/>
      <w:numFmt w:val="bullet"/>
      <w:lvlText w:val=""/>
      <w:lvlJc w:val="left"/>
      <w:pPr>
        <w:ind w:left="7047" w:hanging="360"/>
      </w:pPr>
      <w:rPr>
        <w:rFonts w:ascii="Wingdings" w:hAnsi="Wingdings" w:hint="default"/>
      </w:rPr>
    </w:lvl>
  </w:abstractNum>
  <w:abstractNum w:abstractNumId="1" w15:restartNumberingAfterBreak="0">
    <w:nsid w:val="04434033"/>
    <w:multiLevelType w:val="hybridMultilevel"/>
    <w:tmpl w:val="47EA5BF4"/>
    <w:lvl w:ilvl="0" w:tplc="43884C7C">
      <w:start w:val="1"/>
      <w:numFmt w:val="bullet"/>
      <w:lvlText w:val="–"/>
      <w:lvlJc w:val="left"/>
      <w:pPr>
        <w:ind w:left="720" w:hanging="360"/>
      </w:pPr>
      <w:rPr>
        <w:rFonts w:ascii="Times New Roman" w:hAnsi="Times New Roman" w:hint="default"/>
      </w:rPr>
    </w:lvl>
    <w:lvl w:ilvl="1" w:tplc="04260003" w:tentative="1">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09D9064A"/>
    <w:multiLevelType w:val="hybridMultilevel"/>
    <w:tmpl w:val="C57CAABE"/>
    <w:lvl w:ilvl="0" w:tplc="0426000F">
      <w:start w:val="1"/>
      <w:numFmt w:val="decimal"/>
      <w:lvlText w:val="%1."/>
      <w:lvlJc w:val="left"/>
      <w:pPr>
        <w:ind w:left="1515" w:hanging="360"/>
      </w:pPr>
    </w:lvl>
    <w:lvl w:ilvl="1" w:tplc="04260019" w:tentative="1">
      <w:start w:val="1"/>
      <w:numFmt w:val="lowerLetter"/>
      <w:lvlText w:val="%2."/>
      <w:lvlJc w:val="left"/>
      <w:pPr>
        <w:ind w:left="2235" w:hanging="360"/>
      </w:pPr>
    </w:lvl>
    <w:lvl w:ilvl="2" w:tplc="0426001B" w:tentative="1">
      <w:start w:val="1"/>
      <w:numFmt w:val="lowerRoman"/>
      <w:lvlText w:val="%3."/>
      <w:lvlJc w:val="right"/>
      <w:pPr>
        <w:ind w:left="2955" w:hanging="180"/>
      </w:pPr>
    </w:lvl>
    <w:lvl w:ilvl="3" w:tplc="0426000F" w:tentative="1">
      <w:start w:val="1"/>
      <w:numFmt w:val="decimal"/>
      <w:lvlText w:val="%4."/>
      <w:lvlJc w:val="left"/>
      <w:pPr>
        <w:ind w:left="3675" w:hanging="360"/>
      </w:pPr>
    </w:lvl>
    <w:lvl w:ilvl="4" w:tplc="04260019" w:tentative="1">
      <w:start w:val="1"/>
      <w:numFmt w:val="lowerLetter"/>
      <w:lvlText w:val="%5."/>
      <w:lvlJc w:val="left"/>
      <w:pPr>
        <w:ind w:left="4395" w:hanging="360"/>
      </w:pPr>
    </w:lvl>
    <w:lvl w:ilvl="5" w:tplc="0426001B" w:tentative="1">
      <w:start w:val="1"/>
      <w:numFmt w:val="lowerRoman"/>
      <w:lvlText w:val="%6."/>
      <w:lvlJc w:val="right"/>
      <w:pPr>
        <w:ind w:left="5115" w:hanging="180"/>
      </w:pPr>
    </w:lvl>
    <w:lvl w:ilvl="6" w:tplc="0426000F" w:tentative="1">
      <w:start w:val="1"/>
      <w:numFmt w:val="decimal"/>
      <w:lvlText w:val="%7."/>
      <w:lvlJc w:val="left"/>
      <w:pPr>
        <w:ind w:left="5835" w:hanging="360"/>
      </w:pPr>
    </w:lvl>
    <w:lvl w:ilvl="7" w:tplc="04260019" w:tentative="1">
      <w:start w:val="1"/>
      <w:numFmt w:val="lowerLetter"/>
      <w:lvlText w:val="%8."/>
      <w:lvlJc w:val="left"/>
      <w:pPr>
        <w:ind w:left="6555" w:hanging="360"/>
      </w:pPr>
    </w:lvl>
    <w:lvl w:ilvl="8" w:tplc="0426001B" w:tentative="1">
      <w:start w:val="1"/>
      <w:numFmt w:val="lowerRoman"/>
      <w:lvlText w:val="%9."/>
      <w:lvlJc w:val="right"/>
      <w:pPr>
        <w:ind w:left="7275" w:hanging="180"/>
      </w:pPr>
    </w:lvl>
  </w:abstractNum>
  <w:abstractNum w:abstractNumId="3" w15:restartNumberingAfterBreak="0">
    <w:nsid w:val="12852481"/>
    <w:multiLevelType w:val="hybridMultilevel"/>
    <w:tmpl w:val="9A44A932"/>
    <w:lvl w:ilvl="0" w:tplc="5D32AAC0">
      <w:start w:val="1"/>
      <w:numFmt w:val="decimal"/>
      <w:lvlText w:val="%1."/>
      <w:lvlJc w:val="left"/>
      <w:pPr>
        <w:ind w:left="9008"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6DB7D64"/>
    <w:multiLevelType w:val="hybridMultilevel"/>
    <w:tmpl w:val="4FD4DDF4"/>
    <w:lvl w:ilvl="0" w:tplc="572A6046">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19F760BF"/>
    <w:multiLevelType w:val="hybridMultilevel"/>
    <w:tmpl w:val="7C60D0E0"/>
    <w:lvl w:ilvl="0" w:tplc="04260001">
      <w:start w:val="1"/>
      <w:numFmt w:val="bullet"/>
      <w:lvlText w:val=""/>
      <w:lvlJc w:val="left"/>
      <w:pPr>
        <w:ind w:left="1287" w:hanging="360"/>
      </w:pPr>
      <w:rPr>
        <w:rFonts w:ascii="Symbol" w:hAnsi="Symbol" w:hint="default"/>
      </w:rPr>
    </w:lvl>
    <w:lvl w:ilvl="1" w:tplc="04260003" w:tentative="1">
      <w:start w:val="1"/>
      <w:numFmt w:val="bullet"/>
      <w:lvlText w:val="o"/>
      <w:lvlJc w:val="left"/>
      <w:pPr>
        <w:ind w:left="2007" w:hanging="360"/>
      </w:pPr>
      <w:rPr>
        <w:rFonts w:ascii="Courier New" w:hAnsi="Courier New" w:cs="Courier New" w:hint="default"/>
      </w:rPr>
    </w:lvl>
    <w:lvl w:ilvl="2" w:tplc="04260005" w:tentative="1">
      <w:start w:val="1"/>
      <w:numFmt w:val="bullet"/>
      <w:lvlText w:val=""/>
      <w:lvlJc w:val="left"/>
      <w:pPr>
        <w:ind w:left="2727" w:hanging="360"/>
      </w:pPr>
      <w:rPr>
        <w:rFonts w:ascii="Wingdings" w:hAnsi="Wingdings" w:hint="default"/>
      </w:rPr>
    </w:lvl>
    <w:lvl w:ilvl="3" w:tplc="04260001" w:tentative="1">
      <w:start w:val="1"/>
      <w:numFmt w:val="bullet"/>
      <w:lvlText w:val=""/>
      <w:lvlJc w:val="left"/>
      <w:pPr>
        <w:ind w:left="3447" w:hanging="360"/>
      </w:pPr>
      <w:rPr>
        <w:rFonts w:ascii="Symbol" w:hAnsi="Symbol" w:hint="default"/>
      </w:rPr>
    </w:lvl>
    <w:lvl w:ilvl="4" w:tplc="04260003" w:tentative="1">
      <w:start w:val="1"/>
      <w:numFmt w:val="bullet"/>
      <w:lvlText w:val="o"/>
      <w:lvlJc w:val="left"/>
      <w:pPr>
        <w:ind w:left="4167" w:hanging="360"/>
      </w:pPr>
      <w:rPr>
        <w:rFonts w:ascii="Courier New" w:hAnsi="Courier New" w:cs="Courier New" w:hint="default"/>
      </w:rPr>
    </w:lvl>
    <w:lvl w:ilvl="5" w:tplc="04260005" w:tentative="1">
      <w:start w:val="1"/>
      <w:numFmt w:val="bullet"/>
      <w:lvlText w:val=""/>
      <w:lvlJc w:val="left"/>
      <w:pPr>
        <w:ind w:left="4887" w:hanging="360"/>
      </w:pPr>
      <w:rPr>
        <w:rFonts w:ascii="Wingdings" w:hAnsi="Wingdings" w:hint="default"/>
      </w:rPr>
    </w:lvl>
    <w:lvl w:ilvl="6" w:tplc="04260001" w:tentative="1">
      <w:start w:val="1"/>
      <w:numFmt w:val="bullet"/>
      <w:lvlText w:val=""/>
      <w:lvlJc w:val="left"/>
      <w:pPr>
        <w:ind w:left="5607" w:hanging="360"/>
      </w:pPr>
      <w:rPr>
        <w:rFonts w:ascii="Symbol" w:hAnsi="Symbol" w:hint="default"/>
      </w:rPr>
    </w:lvl>
    <w:lvl w:ilvl="7" w:tplc="04260003" w:tentative="1">
      <w:start w:val="1"/>
      <w:numFmt w:val="bullet"/>
      <w:lvlText w:val="o"/>
      <w:lvlJc w:val="left"/>
      <w:pPr>
        <w:ind w:left="6327" w:hanging="360"/>
      </w:pPr>
      <w:rPr>
        <w:rFonts w:ascii="Courier New" w:hAnsi="Courier New" w:cs="Courier New" w:hint="default"/>
      </w:rPr>
    </w:lvl>
    <w:lvl w:ilvl="8" w:tplc="04260005" w:tentative="1">
      <w:start w:val="1"/>
      <w:numFmt w:val="bullet"/>
      <w:lvlText w:val=""/>
      <w:lvlJc w:val="left"/>
      <w:pPr>
        <w:ind w:left="7047" w:hanging="360"/>
      </w:pPr>
      <w:rPr>
        <w:rFonts w:ascii="Wingdings" w:hAnsi="Wingdings" w:hint="default"/>
      </w:rPr>
    </w:lvl>
  </w:abstractNum>
  <w:abstractNum w:abstractNumId="6" w15:restartNumberingAfterBreak="0">
    <w:nsid w:val="1B6C42C4"/>
    <w:multiLevelType w:val="hybridMultilevel"/>
    <w:tmpl w:val="B40E1F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19C1642"/>
    <w:multiLevelType w:val="hybridMultilevel"/>
    <w:tmpl w:val="A3ECFDA6"/>
    <w:lvl w:ilvl="0" w:tplc="B3F411D0">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8" w15:restartNumberingAfterBreak="0">
    <w:nsid w:val="24C31275"/>
    <w:multiLevelType w:val="hybridMultilevel"/>
    <w:tmpl w:val="6BC26FDE"/>
    <w:lvl w:ilvl="0" w:tplc="04260009">
      <w:start w:val="1"/>
      <w:numFmt w:val="bullet"/>
      <w:lvlText w:val=""/>
      <w:lvlJc w:val="left"/>
      <w:pPr>
        <w:ind w:left="720" w:hanging="360"/>
      </w:pPr>
      <w:rPr>
        <w:rFonts w:ascii="Wingdings" w:hAnsi="Wingdings"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9" w15:restartNumberingAfterBreak="0">
    <w:nsid w:val="275D633B"/>
    <w:multiLevelType w:val="hybridMultilevel"/>
    <w:tmpl w:val="D2ACABF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FF468BF"/>
    <w:multiLevelType w:val="hybridMultilevel"/>
    <w:tmpl w:val="50509C5E"/>
    <w:lvl w:ilvl="0" w:tplc="8FAA116E">
      <w:start w:val="1"/>
      <w:numFmt w:val="decimal"/>
      <w:lvlText w:val="%1."/>
      <w:lvlJc w:val="left"/>
      <w:pPr>
        <w:ind w:left="9575" w:hanging="360"/>
      </w:pPr>
      <w:rPr>
        <w:rFonts w:ascii="Times New Roman" w:eastAsia="Times New Roman" w:hAnsi="Times New Roman" w:cs="Times New Roman"/>
      </w:rPr>
    </w:lvl>
    <w:lvl w:ilvl="1" w:tplc="04090003">
      <w:start w:val="1"/>
      <w:numFmt w:val="bullet"/>
      <w:lvlText w:val="o"/>
      <w:lvlJc w:val="left"/>
      <w:pPr>
        <w:ind w:left="1582" w:hanging="360"/>
      </w:pPr>
      <w:rPr>
        <w:rFonts w:ascii="Courier New" w:hAnsi="Courier New" w:hint="default"/>
      </w:rPr>
    </w:lvl>
    <w:lvl w:ilvl="2" w:tplc="04090005">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1" w15:restartNumberingAfterBreak="0">
    <w:nsid w:val="3CBC3FE3"/>
    <w:multiLevelType w:val="hybridMultilevel"/>
    <w:tmpl w:val="D10C58B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3F7108DF"/>
    <w:multiLevelType w:val="hybridMultilevel"/>
    <w:tmpl w:val="1A0ED3E6"/>
    <w:lvl w:ilvl="0" w:tplc="04090005">
      <w:start w:val="1"/>
      <w:numFmt w:val="bullet"/>
      <w:lvlText w:val=""/>
      <w:lvlJc w:val="left"/>
      <w:pPr>
        <w:ind w:left="1429" w:hanging="360"/>
      </w:pPr>
      <w:rPr>
        <w:rFonts w:ascii="Wingdings" w:hAnsi="Wingding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3" w15:restartNumberingAfterBreak="0">
    <w:nsid w:val="408A1E28"/>
    <w:multiLevelType w:val="hybridMultilevel"/>
    <w:tmpl w:val="3310757E"/>
    <w:lvl w:ilvl="0" w:tplc="572A6046">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4" w15:restartNumberingAfterBreak="0">
    <w:nsid w:val="41A52281"/>
    <w:multiLevelType w:val="hybridMultilevel"/>
    <w:tmpl w:val="BB068F40"/>
    <w:lvl w:ilvl="0" w:tplc="04260001">
      <w:start w:val="1"/>
      <w:numFmt w:val="bullet"/>
      <w:lvlText w:val=""/>
      <w:lvlJc w:val="left"/>
      <w:pPr>
        <w:ind w:left="1287" w:hanging="360"/>
      </w:pPr>
      <w:rPr>
        <w:rFonts w:ascii="Symbol" w:hAnsi="Symbol" w:hint="default"/>
      </w:rPr>
    </w:lvl>
    <w:lvl w:ilvl="1" w:tplc="04260003" w:tentative="1">
      <w:start w:val="1"/>
      <w:numFmt w:val="bullet"/>
      <w:lvlText w:val="o"/>
      <w:lvlJc w:val="left"/>
      <w:pPr>
        <w:ind w:left="2007" w:hanging="360"/>
      </w:pPr>
      <w:rPr>
        <w:rFonts w:ascii="Courier New" w:hAnsi="Courier New" w:cs="Courier New" w:hint="default"/>
      </w:rPr>
    </w:lvl>
    <w:lvl w:ilvl="2" w:tplc="04260005" w:tentative="1">
      <w:start w:val="1"/>
      <w:numFmt w:val="bullet"/>
      <w:lvlText w:val=""/>
      <w:lvlJc w:val="left"/>
      <w:pPr>
        <w:ind w:left="2727" w:hanging="360"/>
      </w:pPr>
      <w:rPr>
        <w:rFonts w:ascii="Wingdings" w:hAnsi="Wingdings" w:hint="default"/>
      </w:rPr>
    </w:lvl>
    <w:lvl w:ilvl="3" w:tplc="04260001" w:tentative="1">
      <w:start w:val="1"/>
      <w:numFmt w:val="bullet"/>
      <w:lvlText w:val=""/>
      <w:lvlJc w:val="left"/>
      <w:pPr>
        <w:ind w:left="3447" w:hanging="360"/>
      </w:pPr>
      <w:rPr>
        <w:rFonts w:ascii="Symbol" w:hAnsi="Symbol" w:hint="default"/>
      </w:rPr>
    </w:lvl>
    <w:lvl w:ilvl="4" w:tplc="04260003" w:tentative="1">
      <w:start w:val="1"/>
      <w:numFmt w:val="bullet"/>
      <w:lvlText w:val="o"/>
      <w:lvlJc w:val="left"/>
      <w:pPr>
        <w:ind w:left="4167" w:hanging="360"/>
      </w:pPr>
      <w:rPr>
        <w:rFonts w:ascii="Courier New" w:hAnsi="Courier New" w:cs="Courier New" w:hint="default"/>
      </w:rPr>
    </w:lvl>
    <w:lvl w:ilvl="5" w:tplc="04260005" w:tentative="1">
      <w:start w:val="1"/>
      <w:numFmt w:val="bullet"/>
      <w:lvlText w:val=""/>
      <w:lvlJc w:val="left"/>
      <w:pPr>
        <w:ind w:left="4887" w:hanging="360"/>
      </w:pPr>
      <w:rPr>
        <w:rFonts w:ascii="Wingdings" w:hAnsi="Wingdings" w:hint="default"/>
      </w:rPr>
    </w:lvl>
    <w:lvl w:ilvl="6" w:tplc="04260001" w:tentative="1">
      <w:start w:val="1"/>
      <w:numFmt w:val="bullet"/>
      <w:lvlText w:val=""/>
      <w:lvlJc w:val="left"/>
      <w:pPr>
        <w:ind w:left="5607" w:hanging="360"/>
      </w:pPr>
      <w:rPr>
        <w:rFonts w:ascii="Symbol" w:hAnsi="Symbol" w:hint="default"/>
      </w:rPr>
    </w:lvl>
    <w:lvl w:ilvl="7" w:tplc="04260003" w:tentative="1">
      <w:start w:val="1"/>
      <w:numFmt w:val="bullet"/>
      <w:lvlText w:val="o"/>
      <w:lvlJc w:val="left"/>
      <w:pPr>
        <w:ind w:left="6327" w:hanging="360"/>
      </w:pPr>
      <w:rPr>
        <w:rFonts w:ascii="Courier New" w:hAnsi="Courier New" w:cs="Courier New" w:hint="default"/>
      </w:rPr>
    </w:lvl>
    <w:lvl w:ilvl="8" w:tplc="04260005" w:tentative="1">
      <w:start w:val="1"/>
      <w:numFmt w:val="bullet"/>
      <w:lvlText w:val=""/>
      <w:lvlJc w:val="left"/>
      <w:pPr>
        <w:ind w:left="7047" w:hanging="360"/>
      </w:pPr>
      <w:rPr>
        <w:rFonts w:ascii="Wingdings" w:hAnsi="Wingdings" w:hint="default"/>
      </w:rPr>
    </w:lvl>
  </w:abstractNum>
  <w:abstractNum w:abstractNumId="15" w15:restartNumberingAfterBreak="0">
    <w:nsid w:val="43402CB4"/>
    <w:multiLevelType w:val="hybridMultilevel"/>
    <w:tmpl w:val="17CEA3C2"/>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6" w15:restartNumberingAfterBreak="0">
    <w:nsid w:val="498776C2"/>
    <w:multiLevelType w:val="hybridMultilevel"/>
    <w:tmpl w:val="54B62D9E"/>
    <w:lvl w:ilvl="0" w:tplc="A2F2C4FA">
      <w:start w:val="1"/>
      <w:numFmt w:val="decimal"/>
      <w:lvlText w:val="%1)"/>
      <w:lvlJc w:val="left"/>
      <w:pPr>
        <w:ind w:left="352" w:hanging="1050"/>
      </w:pPr>
      <w:rPr>
        <w:rFonts w:hint="default"/>
      </w:rPr>
    </w:lvl>
    <w:lvl w:ilvl="1" w:tplc="04260019" w:tentative="1">
      <w:start w:val="1"/>
      <w:numFmt w:val="lowerLetter"/>
      <w:lvlText w:val="%2."/>
      <w:lvlJc w:val="left"/>
      <w:pPr>
        <w:ind w:left="382" w:hanging="360"/>
      </w:pPr>
    </w:lvl>
    <w:lvl w:ilvl="2" w:tplc="0426001B" w:tentative="1">
      <w:start w:val="1"/>
      <w:numFmt w:val="lowerRoman"/>
      <w:lvlText w:val="%3."/>
      <w:lvlJc w:val="right"/>
      <w:pPr>
        <w:ind w:left="1102" w:hanging="180"/>
      </w:pPr>
    </w:lvl>
    <w:lvl w:ilvl="3" w:tplc="0426000F" w:tentative="1">
      <w:start w:val="1"/>
      <w:numFmt w:val="decimal"/>
      <w:lvlText w:val="%4."/>
      <w:lvlJc w:val="left"/>
      <w:pPr>
        <w:ind w:left="1822" w:hanging="360"/>
      </w:pPr>
    </w:lvl>
    <w:lvl w:ilvl="4" w:tplc="04260019" w:tentative="1">
      <w:start w:val="1"/>
      <w:numFmt w:val="lowerLetter"/>
      <w:lvlText w:val="%5."/>
      <w:lvlJc w:val="left"/>
      <w:pPr>
        <w:ind w:left="2542" w:hanging="360"/>
      </w:pPr>
    </w:lvl>
    <w:lvl w:ilvl="5" w:tplc="0426001B" w:tentative="1">
      <w:start w:val="1"/>
      <w:numFmt w:val="lowerRoman"/>
      <w:lvlText w:val="%6."/>
      <w:lvlJc w:val="right"/>
      <w:pPr>
        <w:ind w:left="3262" w:hanging="180"/>
      </w:pPr>
    </w:lvl>
    <w:lvl w:ilvl="6" w:tplc="0426000F" w:tentative="1">
      <w:start w:val="1"/>
      <w:numFmt w:val="decimal"/>
      <w:lvlText w:val="%7."/>
      <w:lvlJc w:val="left"/>
      <w:pPr>
        <w:ind w:left="3982" w:hanging="360"/>
      </w:pPr>
    </w:lvl>
    <w:lvl w:ilvl="7" w:tplc="04260019" w:tentative="1">
      <w:start w:val="1"/>
      <w:numFmt w:val="lowerLetter"/>
      <w:lvlText w:val="%8."/>
      <w:lvlJc w:val="left"/>
      <w:pPr>
        <w:ind w:left="4702" w:hanging="360"/>
      </w:pPr>
    </w:lvl>
    <w:lvl w:ilvl="8" w:tplc="0426001B" w:tentative="1">
      <w:start w:val="1"/>
      <w:numFmt w:val="lowerRoman"/>
      <w:lvlText w:val="%9."/>
      <w:lvlJc w:val="right"/>
      <w:pPr>
        <w:ind w:left="5422" w:hanging="180"/>
      </w:pPr>
    </w:lvl>
  </w:abstractNum>
  <w:abstractNum w:abstractNumId="17" w15:restartNumberingAfterBreak="0">
    <w:nsid w:val="4F314C80"/>
    <w:multiLevelType w:val="hybridMultilevel"/>
    <w:tmpl w:val="1DD48E06"/>
    <w:lvl w:ilvl="0" w:tplc="572A6046">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15:restartNumberingAfterBreak="0">
    <w:nsid w:val="4F9C5002"/>
    <w:multiLevelType w:val="hybridMultilevel"/>
    <w:tmpl w:val="4A087AAE"/>
    <w:lvl w:ilvl="0" w:tplc="572A6046">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9" w15:restartNumberingAfterBreak="0">
    <w:nsid w:val="572737F6"/>
    <w:multiLevelType w:val="hybridMultilevel"/>
    <w:tmpl w:val="A3ECFDA6"/>
    <w:lvl w:ilvl="0" w:tplc="B3F411D0">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0" w15:restartNumberingAfterBreak="0">
    <w:nsid w:val="5A1053B0"/>
    <w:multiLevelType w:val="hybridMultilevel"/>
    <w:tmpl w:val="A6C68D1A"/>
    <w:lvl w:ilvl="0" w:tplc="50FAD68E">
      <w:start w:val="4"/>
      <w:numFmt w:val="decimal"/>
      <w:lvlText w:val="%1."/>
      <w:lvlJc w:val="left"/>
      <w:pPr>
        <w:ind w:left="927" w:hanging="360"/>
      </w:pPr>
      <w:rPr>
        <w:rFonts w:hint="default"/>
        <w:i w:val="0"/>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1" w15:restartNumberingAfterBreak="0">
    <w:nsid w:val="5BB85D6E"/>
    <w:multiLevelType w:val="hybridMultilevel"/>
    <w:tmpl w:val="38EAC1E2"/>
    <w:lvl w:ilvl="0" w:tplc="43884C7C">
      <w:start w:val="1"/>
      <w:numFmt w:val="bullet"/>
      <w:lvlText w:val="–"/>
      <w:lvlJc w:val="left"/>
      <w:pPr>
        <w:ind w:left="720" w:hanging="360"/>
      </w:pPr>
      <w:rPr>
        <w:rFonts w:ascii="Times New Roman" w:hAnsi="Times New Roman" w:hint="default"/>
      </w:rPr>
    </w:lvl>
    <w:lvl w:ilvl="1" w:tplc="04260003" w:tentative="1">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2" w15:restartNumberingAfterBreak="0">
    <w:nsid w:val="61024213"/>
    <w:multiLevelType w:val="hybridMultilevel"/>
    <w:tmpl w:val="B64C2100"/>
    <w:lvl w:ilvl="0" w:tplc="E4A65296">
      <w:start w:val="1"/>
      <w:numFmt w:val="decimal"/>
      <w:lvlText w:val="%1)"/>
      <w:lvlJc w:val="left"/>
      <w:pPr>
        <w:ind w:left="927" w:hanging="360"/>
      </w:pPr>
      <w:rPr>
        <w:rFonts w:hint="default"/>
      </w:rPr>
    </w:lvl>
    <w:lvl w:ilvl="1" w:tplc="04260019" w:tentative="1">
      <w:start w:val="1"/>
      <w:numFmt w:val="lowerLetter"/>
      <w:lvlText w:val="%2."/>
      <w:lvlJc w:val="left"/>
      <w:pPr>
        <w:ind w:left="1647" w:hanging="360"/>
      </w:pPr>
    </w:lvl>
    <w:lvl w:ilvl="2" w:tplc="0426001B" w:tentative="1">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abstractNum w:abstractNumId="23" w15:restartNumberingAfterBreak="0">
    <w:nsid w:val="720F7A79"/>
    <w:multiLevelType w:val="hybridMultilevel"/>
    <w:tmpl w:val="9A44A932"/>
    <w:lvl w:ilvl="0" w:tplc="5D32AAC0">
      <w:start w:val="1"/>
      <w:numFmt w:val="decimal"/>
      <w:lvlText w:val="%1."/>
      <w:lvlJc w:val="left"/>
      <w:pPr>
        <w:ind w:left="928" w:hanging="360"/>
      </w:pPr>
      <w:rPr>
        <w:rFonts w:ascii="Times New Roman" w:eastAsia="Times New Roman" w:hAnsi="Times New Roman" w:cs="Times New Roman"/>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24" w15:restartNumberingAfterBreak="0">
    <w:nsid w:val="7368331A"/>
    <w:multiLevelType w:val="hybridMultilevel"/>
    <w:tmpl w:val="30B028D4"/>
    <w:lvl w:ilvl="0" w:tplc="572A6046">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5" w15:restartNumberingAfterBreak="0">
    <w:nsid w:val="766B375C"/>
    <w:multiLevelType w:val="hybridMultilevel"/>
    <w:tmpl w:val="0C264828"/>
    <w:lvl w:ilvl="0" w:tplc="0426000F">
      <w:start w:val="6"/>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7904518A"/>
    <w:multiLevelType w:val="hybridMultilevel"/>
    <w:tmpl w:val="265C22F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79825077"/>
    <w:multiLevelType w:val="hybridMultilevel"/>
    <w:tmpl w:val="4A38DC84"/>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abstractNumId w:val="1"/>
  </w:num>
  <w:num w:numId="2">
    <w:abstractNumId w:val="21"/>
  </w:num>
  <w:num w:numId="3">
    <w:abstractNumId w:val="10"/>
  </w:num>
  <w:num w:numId="4">
    <w:abstractNumId w:val="18"/>
  </w:num>
  <w:num w:numId="5">
    <w:abstractNumId w:val="13"/>
  </w:num>
  <w:num w:numId="6">
    <w:abstractNumId w:val="4"/>
  </w:num>
  <w:num w:numId="7">
    <w:abstractNumId w:val="17"/>
  </w:num>
  <w:num w:numId="8">
    <w:abstractNumId w:val="24"/>
  </w:num>
  <w:num w:numId="9">
    <w:abstractNumId w:val="8"/>
  </w:num>
  <w:num w:numId="10">
    <w:abstractNumId w:val="26"/>
  </w:num>
  <w:num w:numId="11">
    <w:abstractNumId w:val="2"/>
  </w:num>
  <w:num w:numId="12">
    <w:abstractNumId w:val="0"/>
  </w:num>
  <w:num w:numId="13">
    <w:abstractNumId w:val="5"/>
  </w:num>
  <w:num w:numId="14">
    <w:abstractNumId w:val="22"/>
  </w:num>
  <w:num w:numId="15">
    <w:abstractNumId w:val="14"/>
  </w:num>
  <w:num w:numId="16">
    <w:abstractNumId w:val="11"/>
  </w:num>
  <w:num w:numId="17">
    <w:abstractNumId w:val="16"/>
  </w:num>
  <w:num w:numId="18">
    <w:abstractNumId w:val="7"/>
  </w:num>
  <w:num w:numId="19">
    <w:abstractNumId w:val="20"/>
  </w:num>
  <w:num w:numId="2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6"/>
  </w:num>
  <w:num w:numId="22">
    <w:abstractNumId w:val="23"/>
  </w:num>
  <w:num w:numId="23">
    <w:abstractNumId w:val="19"/>
  </w:num>
  <w:num w:numId="24">
    <w:abstractNumId w:val="3"/>
  </w:num>
  <w:num w:numId="25">
    <w:abstractNumId w:val="9"/>
  </w:num>
  <w:num w:numId="26">
    <w:abstractNumId w:val="27"/>
  </w:num>
  <w:num w:numId="27">
    <w:abstractNumId w:val="12"/>
  </w:num>
  <w:num w:numId="28">
    <w:abstractNumId w:val="2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30F2"/>
    <w:rsid w:val="0000079B"/>
    <w:rsid w:val="00000E33"/>
    <w:rsid w:val="00002387"/>
    <w:rsid w:val="00002B8D"/>
    <w:rsid w:val="00003174"/>
    <w:rsid w:val="000043AC"/>
    <w:rsid w:val="00005622"/>
    <w:rsid w:val="000057C9"/>
    <w:rsid w:val="00005CF6"/>
    <w:rsid w:val="00006145"/>
    <w:rsid w:val="00006761"/>
    <w:rsid w:val="00007BF1"/>
    <w:rsid w:val="00010486"/>
    <w:rsid w:val="00010B65"/>
    <w:rsid w:val="0001130B"/>
    <w:rsid w:val="000126F5"/>
    <w:rsid w:val="0001494A"/>
    <w:rsid w:val="00015D45"/>
    <w:rsid w:val="000160BC"/>
    <w:rsid w:val="0001682D"/>
    <w:rsid w:val="00016BCD"/>
    <w:rsid w:val="000176AE"/>
    <w:rsid w:val="0002039E"/>
    <w:rsid w:val="0002055B"/>
    <w:rsid w:val="000206B6"/>
    <w:rsid w:val="000215AD"/>
    <w:rsid w:val="00021AC3"/>
    <w:rsid w:val="00022C4C"/>
    <w:rsid w:val="00022D8F"/>
    <w:rsid w:val="00023229"/>
    <w:rsid w:val="0002365E"/>
    <w:rsid w:val="00025418"/>
    <w:rsid w:val="00026279"/>
    <w:rsid w:val="00026308"/>
    <w:rsid w:val="000277D1"/>
    <w:rsid w:val="000322BB"/>
    <w:rsid w:val="00032F75"/>
    <w:rsid w:val="00034C68"/>
    <w:rsid w:val="00034EBC"/>
    <w:rsid w:val="00036331"/>
    <w:rsid w:val="00037578"/>
    <w:rsid w:val="00037B97"/>
    <w:rsid w:val="00040ADE"/>
    <w:rsid w:val="00040F6D"/>
    <w:rsid w:val="00042EAD"/>
    <w:rsid w:val="000438CA"/>
    <w:rsid w:val="00043CFD"/>
    <w:rsid w:val="0004402A"/>
    <w:rsid w:val="000457DF"/>
    <w:rsid w:val="00045F6D"/>
    <w:rsid w:val="000468B6"/>
    <w:rsid w:val="00046A9F"/>
    <w:rsid w:val="00046EA3"/>
    <w:rsid w:val="00046FFB"/>
    <w:rsid w:val="0004717D"/>
    <w:rsid w:val="00047D0D"/>
    <w:rsid w:val="000507AA"/>
    <w:rsid w:val="0005303B"/>
    <w:rsid w:val="000536BF"/>
    <w:rsid w:val="00053869"/>
    <w:rsid w:val="000540DE"/>
    <w:rsid w:val="000555CD"/>
    <w:rsid w:val="000557D8"/>
    <w:rsid w:val="00055839"/>
    <w:rsid w:val="00055B73"/>
    <w:rsid w:val="00057AFF"/>
    <w:rsid w:val="00061B22"/>
    <w:rsid w:val="00061C01"/>
    <w:rsid w:val="00061EC9"/>
    <w:rsid w:val="0006249E"/>
    <w:rsid w:val="0006275D"/>
    <w:rsid w:val="0006339E"/>
    <w:rsid w:val="000639BC"/>
    <w:rsid w:val="00063AD6"/>
    <w:rsid w:val="00063D42"/>
    <w:rsid w:val="00064451"/>
    <w:rsid w:val="0006503C"/>
    <w:rsid w:val="000656B6"/>
    <w:rsid w:val="000658D5"/>
    <w:rsid w:val="00065C22"/>
    <w:rsid w:val="0006683A"/>
    <w:rsid w:val="00066E99"/>
    <w:rsid w:val="00066EE5"/>
    <w:rsid w:val="00067AB7"/>
    <w:rsid w:val="00067EB8"/>
    <w:rsid w:val="00067FCA"/>
    <w:rsid w:val="00070243"/>
    <w:rsid w:val="00070494"/>
    <w:rsid w:val="00071654"/>
    <w:rsid w:val="0007206A"/>
    <w:rsid w:val="0007220D"/>
    <w:rsid w:val="00072DC8"/>
    <w:rsid w:val="00074494"/>
    <w:rsid w:val="00074EFD"/>
    <w:rsid w:val="000751FD"/>
    <w:rsid w:val="00075B75"/>
    <w:rsid w:val="000779DD"/>
    <w:rsid w:val="0008072C"/>
    <w:rsid w:val="00081271"/>
    <w:rsid w:val="00081C89"/>
    <w:rsid w:val="00083569"/>
    <w:rsid w:val="00084DA1"/>
    <w:rsid w:val="000855F8"/>
    <w:rsid w:val="00086DC5"/>
    <w:rsid w:val="00087B1A"/>
    <w:rsid w:val="000907E4"/>
    <w:rsid w:val="0009111B"/>
    <w:rsid w:val="00092F34"/>
    <w:rsid w:val="00092FB9"/>
    <w:rsid w:val="00093BBA"/>
    <w:rsid w:val="00093DDE"/>
    <w:rsid w:val="00094378"/>
    <w:rsid w:val="000945E8"/>
    <w:rsid w:val="00094A40"/>
    <w:rsid w:val="0009525D"/>
    <w:rsid w:val="00097C34"/>
    <w:rsid w:val="000A2105"/>
    <w:rsid w:val="000A21BC"/>
    <w:rsid w:val="000A2295"/>
    <w:rsid w:val="000A22EE"/>
    <w:rsid w:val="000A23E0"/>
    <w:rsid w:val="000A2C12"/>
    <w:rsid w:val="000A2C52"/>
    <w:rsid w:val="000A3241"/>
    <w:rsid w:val="000A56AE"/>
    <w:rsid w:val="000A64FF"/>
    <w:rsid w:val="000B0B25"/>
    <w:rsid w:val="000B2D6C"/>
    <w:rsid w:val="000B34C1"/>
    <w:rsid w:val="000B39A7"/>
    <w:rsid w:val="000B3C87"/>
    <w:rsid w:val="000B44C9"/>
    <w:rsid w:val="000B45AA"/>
    <w:rsid w:val="000B4756"/>
    <w:rsid w:val="000B5187"/>
    <w:rsid w:val="000B5F1D"/>
    <w:rsid w:val="000B6094"/>
    <w:rsid w:val="000B6533"/>
    <w:rsid w:val="000B6863"/>
    <w:rsid w:val="000B6A25"/>
    <w:rsid w:val="000B78CF"/>
    <w:rsid w:val="000B7A63"/>
    <w:rsid w:val="000B7DF2"/>
    <w:rsid w:val="000C1447"/>
    <w:rsid w:val="000C2A4F"/>
    <w:rsid w:val="000C3627"/>
    <w:rsid w:val="000C37CB"/>
    <w:rsid w:val="000C4C55"/>
    <w:rsid w:val="000C6175"/>
    <w:rsid w:val="000C65C5"/>
    <w:rsid w:val="000C67A3"/>
    <w:rsid w:val="000C6821"/>
    <w:rsid w:val="000C6CE5"/>
    <w:rsid w:val="000C6DF8"/>
    <w:rsid w:val="000C7631"/>
    <w:rsid w:val="000C7FE2"/>
    <w:rsid w:val="000D07AE"/>
    <w:rsid w:val="000D0903"/>
    <w:rsid w:val="000D10AA"/>
    <w:rsid w:val="000D3B4B"/>
    <w:rsid w:val="000D3FAE"/>
    <w:rsid w:val="000D47B0"/>
    <w:rsid w:val="000D5204"/>
    <w:rsid w:val="000D52B8"/>
    <w:rsid w:val="000D53C8"/>
    <w:rsid w:val="000D6924"/>
    <w:rsid w:val="000D6C26"/>
    <w:rsid w:val="000D7B75"/>
    <w:rsid w:val="000E050B"/>
    <w:rsid w:val="000E0613"/>
    <w:rsid w:val="000E063C"/>
    <w:rsid w:val="000E156A"/>
    <w:rsid w:val="000E25DB"/>
    <w:rsid w:val="000E27D0"/>
    <w:rsid w:val="000E2E64"/>
    <w:rsid w:val="000E3867"/>
    <w:rsid w:val="000E3A08"/>
    <w:rsid w:val="000E3AB7"/>
    <w:rsid w:val="000E4D26"/>
    <w:rsid w:val="000E5618"/>
    <w:rsid w:val="000E567E"/>
    <w:rsid w:val="000F0C1E"/>
    <w:rsid w:val="000F149C"/>
    <w:rsid w:val="000F1AC4"/>
    <w:rsid w:val="000F30A2"/>
    <w:rsid w:val="000F38A9"/>
    <w:rsid w:val="000F6040"/>
    <w:rsid w:val="000F61C2"/>
    <w:rsid w:val="000F63A2"/>
    <w:rsid w:val="000F68ED"/>
    <w:rsid w:val="000F7A6B"/>
    <w:rsid w:val="0010084B"/>
    <w:rsid w:val="00102C71"/>
    <w:rsid w:val="00103122"/>
    <w:rsid w:val="001037A1"/>
    <w:rsid w:val="00103F08"/>
    <w:rsid w:val="0010475F"/>
    <w:rsid w:val="00104DC0"/>
    <w:rsid w:val="0010537E"/>
    <w:rsid w:val="00105D88"/>
    <w:rsid w:val="0010657D"/>
    <w:rsid w:val="00106A1F"/>
    <w:rsid w:val="00106E98"/>
    <w:rsid w:val="0010742B"/>
    <w:rsid w:val="001075BE"/>
    <w:rsid w:val="00111341"/>
    <w:rsid w:val="00111B8B"/>
    <w:rsid w:val="00112684"/>
    <w:rsid w:val="00112A22"/>
    <w:rsid w:val="00114A96"/>
    <w:rsid w:val="00114C0D"/>
    <w:rsid w:val="001152FA"/>
    <w:rsid w:val="001156CD"/>
    <w:rsid w:val="00115BDA"/>
    <w:rsid w:val="0011630A"/>
    <w:rsid w:val="00117B5B"/>
    <w:rsid w:val="00120E5F"/>
    <w:rsid w:val="00122476"/>
    <w:rsid w:val="00122998"/>
    <w:rsid w:val="001229A9"/>
    <w:rsid w:val="001232E6"/>
    <w:rsid w:val="00123D5E"/>
    <w:rsid w:val="00125522"/>
    <w:rsid w:val="00126CCC"/>
    <w:rsid w:val="001277D6"/>
    <w:rsid w:val="001279BF"/>
    <w:rsid w:val="00127F35"/>
    <w:rsid w:val="00130520"/>
    <w:rsid w:val="00131D05"/>
    <w:rsid w:val="00131DE9"/>
    <w:rsid w:val="00132614"/>
    <w:rsid w:val="00132739"/>
    <w:rsid w:val="00132A86"/>
    <w:rsid w:val="00135282"/>
    <w:rsid w:val="0013534C"/>
    <w:rsid w:val="001363BA"/>
    <w:rsid w:val="001368D1"/>
    <w:rsid w:val="0013703D"/>
    <w:rsid w:val="00140144"/>
    <w:rsid w:val="00141432"/>
    <w:rsid w:val="0014255E"/>
    <w:rsid w:val="0014314D"/>
    <w:rsid w:val="00143D38"/>
    <w:rsid w:val="00143F35"/>
    <w:rsid w:val="00144D18"/>
    <w:rsid w:val="00144E26"/>
    <w:rsid w:val="00145A62"/>
    <w:rsid w:val="00145C57"/>
    <w:rsid w:val="001469B9"/>
    <w:rsid w:val="00146AAA"/>
    <w:rsid w:val="00150435"/>
    <w:rsid w:val="001509DD"/>
    <w:rsid w:val="00150F7D"/>
    <w:rsid w:val="0015127C"/>
    <w:rsid w:val="001515DE"/>
    <w:rsid w:val="0015191B"/>
    <w:rsid w:val="001523EF"/>
    <w:rsid w:val="00152AC4"/>
    <w:rsid w:val="00152DA6"/>
    <w:rsid w:val="001530E7"/>
    <w:rsid w:val="001537CF"/>
    <w:rsid w:val="00153A2E"/>
    <w:rsid w:val="00154F1A"/>
    <w:rsid w:val="00156194"/>
    <w:rsid w:val="00156836"/>
    <w:rsid w:val="00156BC2"/>
    <w:rsid w:val="001573E8"/>
    <w:rsid w:val="00160BA2"/>
    <w:rsid w:val="00160DDB"/>
    <w:rsid w:val="00162605"/>
    <w:rsid w:val="0016277F"/>
    <w:rsid w:val="00162886"/>
    <w:rsid w:val="00164178"/>
    <w:rsid w:val="001646E1"/>
    <w:rsid w:val="00164DB5"/>
    <w:rsid w:val="00164F28"/>
    <w:rsid w:val="001651E3"/>
    <w:rsid w:val="001657B6"/>
    <w:rsid w:val="00165D5F"/>
    <w:rsid w:val="0016601E"/>
    <w:rsid w:val="0016622D"/>
    <w:rsid w:val="001663BE"/>
    <w:rsid w:val="00166E78"/>
    <w:rsid w:val="0016704B"/>
    <w:rsid w:val="001670DD"/>
    <w:rsid w:val="00167262"/>
    <w:rsid w:val="0016775F"/>
    <w:rsid w:val="001677E7"/>
    <w:rsid w:val="001701A5"/>
    <w:rsid w:val="00170C4C"/>
    <w:rsid w:val="00170DD6"/>
    <w:rsid w:val="00170E8E"/>
    <w:rsid w:val="00173DFF"/>
    <w:rsid w:val="00174F1D"/>
    <w:rsid w:val="001755DB"/>
    <w:rsid w:val="00175C7A"/>
    <w:rsid w:val="001769D5"/>
    <w:rsid w:val="00177B4E"/>
    <w:rsid w:val="00180321"/>
    <w:rsid w:val="0018220A"/>
    <w:rsid w:val="001825DC"/>
    <w:rsid w:val="0018291D"/>
    <w:rsid w:val="00182965"/>
    <w:rsid w:val="00183420"/>
    <w:rsid w:val="00184726"/>
    <w:rsid w:val="0018567E"/>
    <w:rsid w:val="00185D50"/>
    <w:rsid w:val="001865A6"/>
    <w:rsid w:val="001872F9"/>
    <w:rsid w:val="00190374"/>
    <w:rsid w:val="00190820"/>
    <w:rsid w:val="00190A3C"/>
    <w:rsid w:val="00191005"/>
    <w:rsid w:val="0019210D"/>
    <w:rsid w:val="00193D3D"/>
    <w:rsid w:val="00194322"/>
    <w:rsid w:val="001943B5"/>
    <w:rsid w:val="001948C3"/>
    <w:rsid w:val="00197A62"/>
    <w:rsid w:val="001A194B"/>
    <w:rsid w:val="001A1983"/>
    <w:rsid w:val="001A2EEF"/>
    <w:rsid w:val="001A30DC"/>
    <w:rsid w:val="001A34FB"/>
    <w:rsid w:val="001A36A6"/>
    <w:rsid w:val="001A4079"/>
    <w:rsid w:val="001A4442"/>
    <w:rsid w:val="001A487F"/>
    <w:rsid w:val="001A4DFA"/>
    <w:rsid w:val="001A51AE"/>
    <w:rsid w:val="001A5AE4"/>
    <w:rsid w:val="001A5E7E"/>
    <w:rsid w:val="001A6593"/>
    <w:rsid w:val="001A6832"/>
    <w:rsid w:val="001A730E"/>
    <w:rsid w:val="001A7A4A"/>
    <w:rsid w:val="001B02A8"/>
    <w:rsid w:val="001B04D3"/>
    <w:rsid w:val="001B0886"/>
    <w:rsid w:val="001B20C2"/>
    <w:rsid w:val="001B2188"/>
    <w:rsid w:val="001B272C"/>
    <w:rsid w:val="001B2C24"/>
    <w:rsid w:val="001B5096"/>
    <w:rsid w:val="001B699C"/>
    <w:rsid w:val="001B7600"/>
    <w:rsid w:val="001C074B"/>
    <w:rsid w:val="001C1C38"/>
    <w:rsid w:val="001C3956"/>
    <w:rsid w:val="001C5128"/>
    <w:rsid w:val="001C5389"/>
    <w:rsid w:val="001C55AA"/>
    <w:rsid w:val="001C57F3"/>
    <w:rsid w:val="001C75C3"/>
    <w:rsid w:val="001C7688"/>
    <w:rsid w:val="001D1060"/>
    <w:rsid w:val="001D13FC"/>
    <w:rsid w:val="001D2045"/>
    <w:rsid w:val="001D2380"/>
    <w:rsid w:val="001D26F1"/>
    <w:rsid w:val="001D3C44"/>
    <w:rsid w:val="001D52F0"/>
    <w:rsid w:val="001D5BF5"/>
    <w:rsid w:val="001D5F65"/>
    <w:rsid w:val="001D6BA7"/>
    <w:rsid w:val="001D6FCA"/>
    <w:rsid w:val="001D73CE"/>
    <w:rsid w:val="001E091D"/>
    <w:rsid w:val="001E1179"/>
    <w:rsid w:val="001E24AB"/>
    <w:rsid w:val="001E26CB"/>
    <w:rsid w:val="001E35C7"/>
    <w:rsid w:val="001E3970"/>
    <w:rsid w:val="001E4859"/>
    <w:rsid w:val="001E4B85"/>
    <w:rsid w:val="001E5D39"/>
    <w:rsid w:val="001E6A54"/>
    <w:rsid w:val="001E711D"/>
    <w:rsid w:val="001E7338"/>
    <w:rsid w:val="001E76DB"/>
    <w:rsid w:val="001E7FEC"/>
    <w:rsid w:val="001F0336"/>
    <w:rsid w:val="001F04BC"/>
    <w:rsid w:val="001F05BE"/>
    <w:rsid w:val="001F0C6D"/>
    <w:rsid w:val="001F24A8"/>
    <w:rsid w:val="001F40CF"/>
    <w:rsid w:val="001F46A9"/>
    <w:rsid w:val="001F5D1A"/>
    <w:rsid w:val="001F63BE"/>
    <w:rsid w:val="001F64EC"/>
    <w:rsid w:val="002000A3"/>
    <w:rsid w:val="00201367"/>
    <w:rsid w:val="002027EF"/>
    <w:rsid w:val="00202E75"/>
    <w:rsid w:val="00204F06"/>
    <w:rsid w:val="00205DC5"/>
    <w:rsid w:val="002069CB"/>
    <w:rsid w:val="00207A55"/>
    <w:rsid w:val="00207F24"/>
    <w:rsid w:val="002109DC"/>
    <w:rsid w:val="00210F5A"/>
    <w:rsid w:val="0021121A"/>
    <w:rsid w:val="002117E7"/>
    <w:rsid w:val="002121E5"/>
    <w:rsid w:val="002129FB"/>
    <w:rsid w:val="00212C08"/>
    <w:rsid w:val="00212E18"/>
    <w:rsid w:val="00213E1F"/>
    <w:rsid w:val="00214350"/>
    <w:rsid w:val="002144AF"/>
    <w:rsid w:val="00215185"/>
    <w:rsid w:val="002156AD"/>
    <w:rsid w:val="002158E9"/>
    <w:rsid w:val="002161AE"/>
    <w:rsid w:val="002167E8"/>
    <w:rsid w:val="00221009"/>
    <w:rsid w:val="002214D4"/>
    <w:rsid w:val="0022212B"/>
    <w:rsid w:val="00222941"/>
    <w:rsid w:val="002234F9"/>
    <w:rsid w:val="0022398A"/>
    <w:rsid w:val="0022438D"/>
    <w:rsid w:val="00224868"/>
    <w:rsid w:val="00224ECB"/>
    <w:rsid w:val="002251D7"/>
    <w:rsid w:val="00225B92"/>
    <w:rsid w:val="00225EFA"/>
    <w:rsid w:val="00226104"/>
    <w:rsid w:val="002261B5"/>
    <w:rsid w:val="00226D9D"/>
    <w:rsid w:val="00227F6D"/>
    <w:rsid w:val="00230FAB"/>
    <w:rsid w:val="00231210"/>
    <w:rsid w:val="00231A6F"/>
    <w:rsid w:val="00232E64"/>
    <w:rsid w:val="0023311C"/>
    <w:rsid w:val="0023373A"/>
    <w:rsid w:val="002337F7"/>
    <w:rsid w:val="002338DE"/>
    <w:rsid w:val="00235BA8"/>
    <w:rsid w:val="00235FE4"/>
    <w:rsid w:val="0023602C"/>
    <w:rsid w:val="00236A00"/>
    <w:rsid w:val="00236A61"/>
    <w:rsid w:val="00236D73"/>
    <w:rsid w:val="002370BD"/>
    <w:rsid w:val="00240718"/>
    <w:rsid w:val="0024097D"/>
    <w:rsid w:val="0024254B"/>
    <w:rsid w:val="002426E6"/>
    <w:rsid w:val="00242B7C"/>
    <w:rsid w:val="002433AF"/>
    <w:rsid w:val="002433EB"/>
    <w:rsid w:val="00243A51"/>
    <w:rsid w:val="00244376"/>
    <w:rsid w:val="00244D18"/>
    <w:rsid w:val="0024540F"/>
    <w:rsid w:val="00245E1C"/>
    <w:rsid w:val="00245F10"/>
    <w:rsid w:val="002461A0"/>
    <w:rsid w:val="00250544"/>
    <w:rsid w:val="00251885"/>
    <w:rsid w:val="00251F64"/>
    <w:rsid w:val="00253029"/>
    <w:rsid w:val="00253943"/>
    <w:rsid w:val="00254452"/>
    <w:rsid w:val="002547D0"/>
    <w:rsid w:val="00254A0E"/>
    <w:rsid w:val="00254B4B"/>
    <w:rsid w:val="002551D2"/>
    <w:rsid w:val="0025598A"/>
    <w:rsid w:val="00256917"/>
    <w:rsid w:val="00260244"/>
    <w:rsid w:val="002609C3"/>
    <w:rsid w:val="00260D14"/>
    <w:rsid w:val="00260E52"/>
    <w:rsid w:val="0026267A"/>
    <w:rsid w:val="002626AB"/>
    <w:rsid w:val="002631EB"/>
    <w:rsid w:val="002636E9"/>
    <w:rsid w:val="002643BF"/>
    <w:rsid w:val="002649A3"/>
    <w:rsid w:val="00265C99"/>
    <w:rsid w:val="002664EE"/>
    <w:rsid w:val="00267B03"/>
    <w:rsid w:val="00267B4E"/>
    <w:rsid w:val="0027095F"/>
    <w:rsid w:val="0027159C"/>
    <w:rsid w:val="002728DF"/>
    <w:rsid w:val="002733DD"/>
    <w:rsid w:val="0027393E"/>
    <w:rsid w:val="00273B40"/>
    <w:rsid w:val="00274CEC"/>
    <w:rsid w:val="00276F60"/>
    <w:rsid w:val="00277C77"/>
    <w:rsid w:val="002808E5"/>
    <w:rsid w:val="00280E53"/>
    <w:rsid w:val="00282BC6"/>
    <w:rsid w:val="002855B2"/>
    <w:rsid w:val="002859E4"/>
    <w:rsid w:val="00285B28"/>
    <w:rsid w:val="002868F7"/>
    <w:rsid w:val="002874E0"/>
    <w:rsid w:val="002876B5"/>
    <w:rsid w:val="00287A2A"/>
    <w:rsid w:val="00287D48"/>
    <w:rsid w:val="00290209"/>
    <w:rsid w:val="00290873"/>
    <w:rsid w:val="00290CBC"/>
    <w:rsid w:val="002912DF"/>
    <w:rsid w:val="0029156E"/>
    <w:rsid w:val="00291DE6"/>
    <w:rsid w:val="00292598"/>
    <w:rsid w:val="002925AF"/>
    <w:rsid w:val="00294394"/>
    <w:rsid w:val="00295033"/>
    <w:rsid w:val="002976CC"/>
    <w:rsid w:val="00297CC0"/>
    <w:rsid w:val="002A0B6B"/>
    <w:rsid w:val="002A1A50"/>
    <w:rsid w:val="002A374B"/>
    <w:rsid w:val="002A69E3"/>
    <w:rsid w:val="002A6BFA"/>
    <w:rsid w:val="002A7570"/>
    <w:rsid w:val="002B02E9"/>
    <w:rsid w:val="002B224D"/>
    <w:rsid w:val="002B4D22"/>
    <w:rsid w:val="002B5630"/>
    <w:rsid w:val="002B5A9B"/>
    <w:rsid w:val="002B5AA7"/>
    <w:rsid w:val="002B6074"/>
    <w:rsid w:val="002B7570"/>
    <w:rsid w:val="002C0ACE"/>
    <w:rsid w:val="002C1C1E"/>
    <w:rsid w:val="002C26C7"/>
    <w:rsid w:val="002C3176"/>
    <w:rsid w:val="002C4A2E"/>
    <w:rsid w:val="002C57A6"/>
    <w:rsid w:val="002C5929"/>
    <w:rsid w:val="002C5E69"/>
    <w:rsid w:val="002C617B"/>
    <w:rsid w:val="002C65AA"/>
    <w:rsid w:val="002C6D92"/>
    <w:rsid w:val="002D08D3"/>
    <w:rsid w:val="002D30FA"/>
    <w:rsid w:val="002D34F4"/>
    <w:rsid w:val="002D40ED"/>
    <w:rsid w:val="002D4241"/>
    <w:rsid w:val="002D4DF8"/>
    <w:rsid w:val="002D5EE0"/>
    <w:rsid w:val="002D7C13"/>
    <w:rsid w:val="002D7CC4"/>
    <w:rsid w:val="002D7CE6"/>
    <w:rsid w:val="002E088A"/>
    <w:rsid w:val="002E0B50"/>
    <w:rsid w:val="002E0F20"/>
    <w:rsid w:val="002E14A1"/>
    <w:rsid w:val="002E1DB8"/>
    <w:rsid w:val="002E255E"/>
    <w:rsid w:val="002E2EF1"/>
    <w:rsid w:val="002E398E"/>
    <w:rsid w:val="002E3B53"/>
    <w:rsid w:val="002E4200"/>
    <w:rsid w:val="002E55D0"/>
    <w:rsid w:val="002E5654"/>
    <w:rsid w:val="002E5A13"/>
    <w:rsid w:val="002E62CE"/>
    <w:rsid w:val="002E6BC5"/>
    <w:rsid w:val="002F0AE3"/>
    <w:rsid w:val="002F0CAA"/>
    <w:rsid w:val="002F0DC4"/>
    <w:rsid w:val="002F10BD"/>
    <w:rsid w:val="002F1749"/>
    <w:rsid w:val="002F210E"/>
    <w:rsid w:val="002F32AD"/>
    <w:rsid w:val="002F4452"/>
    <w:rsid w:val="002F4636"/>
    <w:rsid w:val="002F6237"/>
    <w:rsid w:val="002F7A6F"/>
    <w:rsid w:val="0030042F"/>
    <w:rsid w:val="0030055A"/>
    <w:rsid w:val="00300FDD"/>
    <w:rsid w:val="003014A1"/>
    <w:rsid w:val="00301AD4"/>
    <w:rsid w:val="00301BE7"/>
    <w:rsid w:val="00302B0F"/>
    <w:rsid w:val="00302DBF"/>
    <w:rsid w:val="003045D4"/>
    <w:rsid w:val="00304B34"/>
    <w:rsid w:val="00304CF1"/>
    <w:rsid w:val="00304E31"/>
    <w:rsid w:val="003058FB"/>
    <w:rsid w:val="003064F6"/>
    <w:rsid w:val="003073CA"/>
    <w:rsid w:val="00307697"/>
    <w:rsid w:val="00311400"/>
    <w:rsid w:val="0031215F"/>
    <w:rsid w:val="00313DA1"/>
    <w:rsid w:val="00313DFC"/>
    <w:rsid w:val="00314098"/>
    <w:rsid w:val="003146F9"/>
    <w:rsid w:val="003154A8"/>
    <w:rsid w:val="00315D3B"/>
    <w:rsid w:val="003163A4"/>
    <w:rsid w:val="00317F1D"/>
    <w:rsid w:val="00321A34"/>
    <w:rsid w:val="003241AD"/>
    <w:rsid w:val="00325263"/>
    <w:rsid w:val="003257E0"/>
    <w:rsid w:val="00325F07"/>
    <w:rsid w:val="003264E8"/>
    <w:rsid w:val="003276D9"/>
    <w:rsid w:val="003277E0"/>
    <w:rsid w:val="003279F5"/>
    <w:rsid w:val="00327CF1"/>
    <w:rsid w:val="00327E3D"/>
    <w:rsid w:val="00330DAD"/>
    <w:rsid w:val="003319C2"/>
    <w:rsid w:val="00333018"/>
    <w:rsid w:val="00334359"/>
    <w:rsid w:val="00334499"/>
    <w:rsid w:val="0033469E"/>
    <w:rsid w:val="00334A0A"/>
    <w:rsid w:val="00335F88"/>
    <w:rsid w:val="00336222"/>
    <w:rsid w:val="0033679B"/>
    <w:rsid w:val="00336B6D"/>
    <w:rsid w:val="0033719A"/>
    <w:rsid w:val="00337275"/>
    <w:rsid w:val="003403FD"/>
    <w:rsid w:val="003406DE"/>
    <w:rsid w:val="00340CC3"/>
    <w:rsid w:val="00340F3C"/>
    <w:rsid w:val="00341965"/>
    <w:rsid w:val="00341B03"/>
    <w:rsid w:val="00342716"/>
    <w:rsid w:val="00342E92"/>
    <w:rsid w:val="00342EAA"/>
    <w:rsid w:val="00343D78"/>
    <w:rsid w:val="00343F7B"/>
    <w:rsid w:val="0034404C"/>
    <w:rsid w:val="003452FB"/>
    <w:rsid w:val="003465EF"/>
    <w:rsid w:val="003472BA"/>
    <w:rsid w:val="00347B59"/>
    <w:rsid w:val="00350152"/>
    <w:rsid w:val="0035087D"/>
    <w:rsid w:val="00350F35"/>
    <w:rsid w:val="003515AD"/>
    <w:rsid w:val="0035183B"/>
    <w:rsid w:val="00352B37"/>
    <w:rsid w:val="00352B6F"/>
    <w:rsid w:val="00353B30"/>
    <w:rsid w:val="00353DBB"/>
    <w:rsid w:val="00355093"/>
    <w:rsid w:val="00355685"/>
    <w:rsid w:val="0035609A"/>
    <w:rsid w:val="0035699B"/>
    <w:rsid w:val="00356F76"/>
    <w:rsid w:val="003570FE"/>
    <w:rsid w:val="00360344"/>
    <w:rsid w:val="00360700"/>
    <w:rsid w:val="003608A7"/>
    <w:rsid w:val="00360CEF"/>
    <w:rsid w:val="003632AF"/>
    <w:rsid w:val="003637F5"/>
    <w:rsid w:val="00363AB6"/>
    <w:rsid w:val="0036493D"/>
    <w:rsid w:val="00367189"/>
    <w:rsid w:val="00370620"/>
    <w:rsid w:val="00371988"/>
    <w:rsid w:val="00371DFA"/>
    <w:rsid w:val="00371FC0"/>
    <w:rsid w:val="003726F1"/>
    <w:rsid w:val="00373074"/>
    <w:rsid w:val="00374963"/>
    <w:rsid w:val="00374E9D"/>
    <w:rsid w:val="00375539"/>
    <w:rsid w:val="0037556B"/>
    <w:rsid w:val="00375832"/>
    <w:rsid w:val="003766E4"/>
    <w:rsid w:val="003769C2"/>
    <w:rsid w:val="00376BDE"/>
    <w:rsid w:val="00377128"/>
    <w:rsid w:val="003773CB"/>
    <w:rsid w:val="003777A4"/>
    <w:rsid w:val="00380F71"/>
    <w:rsid w:val="003814C8"/>
    <w:rsid w:val="00383758"/>
    <w:rsid w:val="00383770"/>
    <w:rsid w:val="00384662"/>
    <w:rsid w:val="00384C5A"/>
    <w:rsid w:val="00386C98"/>
    <w:rsid w:val="003871A9"/>
    <w:rsid w:val="003903A2"/>
    <w:rsid w:val="003904CA"/>
    <w:rsid w:val="00390EE5"/>
    <w:rsid w:val="003922EA"/>
    <w:rsid w:val="00392448"/>
    <w:rsid w:val="00392F04"/>
    <w:rsid w:val="00393FDE"/>
    <w:rsid w:val="00394CBA"/>
    <w:rsid w:val="00395305"/>
    <w:rsid w:val="003955F4"/>
    <w:rsid w:val="00396370"/>
    <w:rsid w:val="0039735D"/>
    <w:rsid w:val="00397852"/>
    <w:rsid w:val="003A17E3"/>
    <w:rsid w:val="003A2054"/>
    <w:rsid w:val="003A38E9"/>
    <w:rsid w:val="003A41DF"/>
    <w:rsid w:val="003A492F"/>
    <w:rsid w:val="003A497C"/>
    <w:rsid w:val="003A4F67"/>
    <w:rsid w:val="003A564D"/>
    <w:rsid w:val="003A628F"/>
    <w:rsid w:val="003A6B4B"/>
    <w:rsid w:val="003B0B29"/>
    <w:rsid w:val="003B33A4"/>
    <w:rsid w:val="003B548D"/>
    <w:rsid w:val="003B5CE6"/>
    <w:rsid w:val="003B5E94"/>
    <w:rsid w:val="003B6B6D"/>
    <w:rsid w:val="003B7081"/>
    <w:rsid w:val="003B799C"/>
    <w:rsid w:val="003C065A"/>
    <w:rsid w:val="003C0D8D"/>
    <w:rsid w:val="003C1626"/>
    <w:rsid w:val="003C1CD8"/>
    <w:rsid w:val="003C2150"/>
    <w:rsid w:val="003C218E"/>
    <w:rsid w:val="003C488F"/>
    <w:rsid w:val="003C63B4"/>
    <w:rsid w:val="003C6821"/>
    <w:rsid w:val="003C6A73"/>
    <w:rsid w:val="003C6B72"/>
    <w:rsid w:val="003C6FA7"/>
    <w:rsid w:val="003C72E6"/>
    <w:rsid w:val="003C79ED"/>
    <w:rsid w:val="003C7D40"/>
    <w:rsid w:val="003D08DB"/>
    <w:rsid w:val="003D0902"/>
    <w:rsid w:val="003D0F75"/>
    <w:rsid w:val="003D125C"/>
    <w:rsid w:val="003D2CB3"/>
    <w:rsid w:val="003D2D36"/>
    <w:rsid w:val="003D306E"/>
    <w:rsid w:val="003D3988"/>
    <w:rsid w:val="003D3DA1"/>
    <w:rsid w:val="003D3F2D"/>
    <w:rsid w:val="003D4405"/>
    <w:rsid w:val="003D4D16"/>
    <w:rsid w:val="003D552B"/>
    <w:rsid w:val="003D5D24"/>
    <w:rsid w:val="003D66DB"/>
    <w:rsid w:val="003D6945"/>
    <w:rsid w:val="003D72EE"/>
    <w:rsid w:val="003D75D5"/>
    <w:rsid w:val="003D76C5"/>
    <w:rsid w:val="003E06A7"/>
    <w:rsid w:val="003E2003"/>
    <w:rsid w:val="003E2466"/>
    <w:rsid w:val="003E34F5"/>
    <w:rsid w:val="003E435B"/>
    <w:rsid w:val="003E7BF3"/>
    <w:rsid w:val="003E7CDB"/>
    <w:rsid w:val="003F1514"/>
    <w:rsid w:val="003F1F18"/>
    <w:rsid w:val="003F25F9"/>
    <w:rsid w:val="003F2DC4"/>
    <w:rsid w:val="003F31E6"/>
    <w:rsid w:val="003F338F"/>
    <w:rsid w:val="003F34EE"/>
    <w:rsid w:val="003F3F53"/>
    <w:rsid w:val="003F4265"/>
    <w:rsid w:val="003F5AEC"/>
    <w:rsid w:val="00401F10"/>
    <w:rsid w:val="0040449E"/>
    <w:rsid w:val="00404D36"/>
    <w:rsid w:val="00404FBE"/>
    <w:rsid w:val="00405298"/>
    <w:rsid w:val="0040614D"/>
    <w:rsid w:val="0040661B"/>
    <w:rsid w:val="00407A16"/>
    <w:rsid w:val="00407B4A"/>
    <w:rsid w:val="00407C19"/>
    <w:rsid w:val="004100FD"/>
    <w:rsid w:val="00410265"/>
    <w:rsid w:val="004104DB"/>
    <w:rsid w:val="00410EFB"/>
    <w:rsid w:val="00411519"/>
    <w:rsid w:val="004123C6"/>
    <w:rsid w:val="004128CD"/>
    <w:rsid w:val="00414D88"/>
    <w:rsid w:val="00415693"/>
    <w:rsid w:val="00415C11"/>
    <w:rsid w:val="0041682F"/>
    <w:rsid w:val="00417C09"/>
    <w:rsid w:val="00417D0B"/>
    <w:rsid w:val="00417EF2"/>
    <w:rsid w:val="00423F17"/>
    <w:rsid w:val="00424678"/>
    <w:rsid w:val="00424872"/>
    <w:rsid w:val="0042660A"/>
    <w:rsid w:val="00426B3A"/>
    <w:rsid w:val="00426E0A"/>
    <w:rsid w:val="00426E9D"/>
    <w:rsid w:val="00426FF6"/>
    <w:rsid w:val="004273C3"/>
    <w:rsid w:val="00430442"/>
    <w:rsid w:val="00430453"/>
    <w:rsid w:val="004309B1"/>
    <w:rsid w:val="004313D4"/>
    <w:rsid w:val="004313EA"/>
    <w:rsid w:val="00431B7C"/>
    <w:rsid w:val="004321A4"/>
    <w:rsid w:val="004322BE"/>
    <w:rsid w:val="0043250F"/>
    <w:rsid w:val="004356DB"/>
    <w:rsid w:val="004358C6"/>
    <w:rsid w:val="00435C40"/>
    <w:rsid w:val="0043710C"/>
    <w:rsid w:val="0043739D"/>
    <w:rsid w:val="00437A59"/>
    <w:rsid w:val="004405FA"/>
    <w:rsid w:val="004433A8"/>
    <w:rsid w:val="0044399A"/>
    <w:rsid w:val="004449B2"/>
    <w:rsid w:val="00444EEC"/>
    <w:rsid w:val="00445BA6"/>
    <w:rsid w:val="004467C1"/>
    <w:rsid w:val="00446E3A"/>
    <w:rsid w:val="004470FD"/>
    <w:rsid w:val="00447204"/>
    <w:rsid w:val="00447662"/>
    <w:rsid w:val="0044776D"/>
    <w:rsid w:val="00450522"/>
    <w:rsid w:val="00450767"/>
    <w:rsid w:val="00452BE2"/>
    <w:rsid w:val="004548C1"/>
    <w:rsid w:val="004550E4"/>
    <w:rsid w:val="004559A3"/>
    <w:rsid w:val="00455A51"/>
    <w:rsid w:val="0045763C"/>
    <w:rsid w:val="00457DBB"/>
    <w:rsid w:val="00457F17"/>
    <w:rsid w:val="004600D8"/>
    <w:rsid w:val="004627DC"/>
    <w:rsid w:val="0046313C"/>
    <w:rsid w:val="0046344D"/>
    <w:rsid w:val="004635DA"/>
    <w:rsid w:val="00464386"/>
    <w:rsid w:val="004648C7"/>
    <w:rsid w:val="00464920"/>
    <w:rsid w:val="00464DF0"/>
    <w:rsid w:val="00465C02"/>
    <w:rsid w:val="004678B3"/>
    <w:rsid w:val="00467B8D"/>
    <w:rsid w:val="00471187"/>
    <w:rsid w:val="00471199"/>
    <w:rsid w:val="0047124B"/>
    <w:rsid w:val="00471536"/>
    <w:rsid w:val="0047185A"/>
    <w:rsid w:val="0047227B"/>
    <w:rsid w:val="00472515"/>
    <w:rsid w:val="00472F2E"/>
    <w:rsid w:val="0047363D"/>
    <w:rsid w:val="00473837"/>
    <w:rsid w:val="0047401D"/>
    <w:rsid w:val="0047427A"/>
    <w:rsid w:val="00474660"/>
    <w:rsid w:val="0047512C"/>
    <w:rsid w:val="00476F2D"/>
    <w:rsid w:val="004801A0"/>
    <w:rsid w:val="0048028A"/>
    <w:rsid w:val="00480696"/>
    <w:rsid w:val="00481DA6"/>
    <w:rsid w:val="00481DEF"/>
    <w:rsid w:val="00481E37"/>
    <w:rsid w:val="00482688"/>
    <w:rsid w:val="00482B21"/>
    <w:rsid w:val="0048354C"/>
    <w:rsid w:val="00486810"/>
    <w:rsid w:val="004872A5"/>
    <w:rsid w:val="0049015F"/>
    <w:rsid w:val="00490376"/>
    <w:rsid w:val="00490FA8"/>
    <w:rsid w:val="00491B71"/>
    <w:rsid w:val="004924F5"/>
    <w:rsid w:val="0049336E"/>
    <w:rsid w:val="00493788"/>
    <w:rsid w:val="004943BC"/>
    <w:rsid w:val="0049467B"/>
    <w:rsid w:val="00494D83"/>
    <w:rsid w:val="004955ED"/>
    <w:rsid w:val="00495A7E"/>
    <w:rsid w:val="00495B3B"/>
    <w:rsid w:val="004964A1"/>
    <w:rsid w:val="0049715D"/>
    <w:rsid w:val="0049719E"/>
    <w:rsid w:val="00497482"/>
    <w:rsid w:val="004979E8"/>
    <w:rsid w:val="00497AE2"/>
    <w:rsid w:val="00497B78"/>
    <w:rsid w:val="00497FF0"/>
    <w:rsid w:val="004A0A8D"/>
    <w:rsid w:val="004A1577"/>
    <w:rsid w:val="004A353A"/>
    <w:rsid w:val="004A35F1"/>
    <w:rsid w:val="004A3E92"/>
    <w:rsid w:val="004A4736"/>
    <w:rsid w:val="004A4EFD"/>
    <w:rsid w:val="004A523D"/>
    <w:rsid w:val="004A5C5D"/>
    <w:rsid w:val="004A67A9"/>
    <w:rsid w:val="004A74D2"/>
    <w:rsid w:val="004B117D"/>
    <w:rsid w:val="004B2C24"/>
    <w:rsid w:val="004B3774"/>
    <w:rsid w:val="004B414D"/>
    <w:rsid w:val="004B459A"/>
    <w:rsid w:val="004B4BB0"/>
    <w:rsid w:val="004B4F62"/>
    <w:rsid w:val="004B5A9B"/>
    <w:rsid w:val="004B6014"/>
    <w:rsid w:val="004B7376"/>
    <w:rsid w:val="004C11C6"/>
    <w:rsid w:val="004C1663"/>
    <w:rsid w:val="004C170B"/>
    <w:rsid w:val="004C1A45"/>
    <w:rsid w:val="004C1FF1"/>
    <w:rsid w:val="004C2563"/>
    <w:rsid w:val="004C2D65"/>
    <w:rsid w:val="004C4C5D"/>
    <w:rsid w:val="004C61E1"/>
    <w:rsid w:val="004C650E"/>
    <w:rsid w:val="004D0062"/>
    <w:rsid w:val="004D0520"/>
    <w:rsid w:val="004D116F"/>
    <w:rsid w:val="004D1196"/>
    <w:rsid w:val="004D1303"/>
    <w:rsid w:val="004D187E"/>
    <w:rsid w:val="004D1F17"/>
    <w:rsid w:val="004D30FB"/>
    <w:rsid w:val="004D4660"/>
    <w:rsid w:val="004D499B"/>
    <w:rsid w:val="004D4D6F"/>
    <w:rsid w:val="004D56A9"/>
    <w:rsid w:val="004D6416"/>
    <w:rsid w:val="004D72E4"/>
    <w:rsid w:val="004E0433"/>
    <w:rsid w:val="004E1B14"/>
    <w:rsid w:val="004E2A07"/>
    <w:rsid w:val="004E35C7"/>
    <w:rsid w:val="004E45FA"/>
    <w:rsid w:val="004E4D88"/>
    <w:rsid w:val="004E559B"/>
    <w:rsid w:val="004E59DC"/>
    <w:rsid w:val="004E6C9A"/>
    <w:rsid w:val="004E7D59"/>
    <w:rsid w:val="004F00F1"/>
    <w:rsid w:val="004F0441"/>
    <w:rsid w:val="004F0A59"/>
    <w:rsid w:val="004F1256"/>
    <w:rsid w:val="004F27E1"/>
    <w:rsid w:val="004F4BDE"/>
    <w:rsid w:val="004F6202"/>
    <w:rsid w:val="004F6723"/>
    <w:rsid w:val="004F710F"/>
    <w:rsid w:val="004F7128"/>
    <w:rsid w:val="004F7EAE"/>
    <w:rsid w:val="004F7EFC"/>
    <w:rsid w:val="00501479"/>
    <w:rsid w:val="00501A6F"/>
    <w:rsid w:val="00502EE9"/>
    <w:rsid w:val="005039E7"/>
    <w:rsid w:val="00503CBA"/>
    <w:rsid w:val="00504903"/>
    <w:rsid w:val="00504FD7"/>
    <w:rsid w:val="00505830"/>
    <w:rsid w:val="00505E9C"/>
    <w:rsid w:val="00506C49"/>
    <w:rsid w:val="00506E7B"/>
    <w:rsid w:val="00507F6B"/>
    <w:rsid w:val="00510145"/>
    <w:rsid w:val="00510275"/>
    <w:rsid w:val="00514534"/>
    <w:rsid w:val="005145E3"/>
    <w:rsid w:val="00515448"/>
    <w:rsid w:val="00515B75"/>
    <w:rsid w:val="0051645C"/>
    <w:rsid w:val="005167F3"/>
    <w:rsid w:val="00516C0B"/>
    <w:rsid w:val="00517BB2"/>
    <w:rsid w:val="00520645"/>
    <w:rsid w:val="00520880"/>
    <w:rsid w:val="0052100E"/>
    <w:rsid w:val="00521406"/>
    <w:rsid w:val="0052162E"/>
    <w:rsid w:val="00521D0D"/>
    <w:rsid w:val="005221A1"/>
    <w:rsid w:val="005223B7"/>
    <w:rsid w:val="0052293B"/>
    <w:rsid w:val="0052492A"/>
    <w:rsid w:val="00524BC0"/>
    <w:rsid w:val="0052634C"/>
    <w:rsid w:val="005263FF"/>
    <w:rsid w:val="0052678B"/>
    <w:rsid w:val="00527891"/>
    <w:rsid w:val="0052794E"/>
    <w:rsid w:val="00527B78"/>
    <w:rsid w:val="005314C1"/>
    <w:rsid w:val="0053192B"/>
    <w:rsid w:val="00531B66"/>
    <w:rsid w:val="00531D15"/>
    <w:rsid w:val="00531EB7"/>
    <w:rsid w:val="00531F01"/>
    <w:rsid w:val="005324F5"/>
    <w:rsid w:val="00532544"/>
    <w:rsid w:val="00532782"/>
    <w:rsid w:val="0053325B"/>
    <w:rsid w:val="005339A3"/>
    <w:rsid w:val="005343D2"/>
    <w:rsid w:val="00534DFC"/>
    <w:rsid w:val="0053544D"/>
    <w:rsid w:val="005355FA"/>
    <w:rsid w:val="005356D8"/>
    <w:rsid w:val="005359E8"/>
    <w:rsid w:val="00536DDD"/>
    <w:rsid w:val="00537145"/>
    <w:rsid w:val="0054015A"/>
    <w:rsid w:val="00541B7E"/>
    <w:rsid w:val="005428A5"/>
    <w:rsid w:val="0054293E"/>
    <w:rsid w:val="0054310E"/>
    <w:rsid w:val="005432DE"/>
    <w:rsid w:val="005436B6"/>
    <w:rsid w:val="00544584"/>
    <w:rsid w:val="005445FD"/>
    <w:rsid w:val="00544E84"/>
    <w:rsid w:val="00546060"/>
    <w:rsid w:val="00546117"/>
    <w:rsid w:val="005467DF"/>
    <w:rsid w:val="005477F7"/>
    <w:rsid w:val="00547B7A"/>
    <w:rsid w:val="0055003F"/>
    <w:rsid w:val="00551473"/>
    <w:rsid w:val="005518D4"/>
    <w:rsid w:val="00552DD1"/>
    <w:rsid w:val="00553572"/>
    <w:rsid w:val="00554929"/>
    <w:rsid w:val="00555ABD"/>
    <w:rsid w:val="00555CEB"/>
    <w:rsid w:val="00555FA3"/>
    <w:rsid w:val="00556C1A"/>
    <w:rsid w:val="00556C21"/>
    <w:rsid w:val="005602D5"/>
    <w:rsid w:val="00560818"/>
    <w:rsid w:val="00560D45"/>
    <w:rsid w:val="005617D1"/>
    <w:rsid w:val="00561943"/>
    <w:rsid w:val="00561FE9"/>
    <w:rsid w:val="00562A11"/>
    <w:rsid w:val="00563671"/>
    <w:rsid w:val="0056396C"/>
    <w:rsid w:val="0056406D"/>
    <w:rsid w:val="00564748"/>
    <w:rsid w:val="00564857"/>
    <w:rsid w:val="00566F2E"/>
    <w:rsid w:val="0056705D"/>
    <w:rsid w:val="005702CA"/>
    <w:rsid w:val="00570770"/>
    <w:rsid w:val="00570DCE"/>
    <w:rsid w:val="0057162D"/>
    <w:rsid w:val="00571C8B"/>
    <w:rsid w:val="00571E96"/>
    <w:rsid w:val="00572B43"/>
    <w:rsid w:val="00572B4F"/>
    <w:rsid w:val="0057383F"/>
    <w:rsid w:val="00573D96"/>
    <w:rsid w:val="0057460E"/>
    <w:rsid w:val="005746F2"/>
    <w:rsid w:val="00574EA4"/>
    <w:rsid w:val="005750A8"/>
    <w:rsid w:val="00575753"/>
    <w:rsid w:val="00575DEB"/>
    <w:rsid w:val="005762B4"/>
    <w:rsid w:val="00577AF1"/>
    <w:rsid w:val="0058000D"/>
    <w:rsid w:val="005802BA"/>
    <w:rsid w:val="005808FB"/>
    <w:rsid w:val="00581532"/>
    <w:rsid w:val="00582DA1"/>
    <w:rsid w:val="00584AB7"/>
    <w:rsid w:val="0058509A"/>
    <w:rsid w:val="00585702"/>
    <w:rsid w:val="00586D66"/>
    <w:rsid w:val="005875E1"/>
    <w:rsid w:val="00590680"/>
    <w:rsid w:val="00590DB8"/>
    <w:rsid w:val="005913E2"/>
    <w:rsid w:val="005926E6"/>
    <w:rsid w:val="00592C2D"/>
    <w:rsid w:val="00592E86"/>
    <w:rsid w:val="00593E47"/>
    <w:rsid w:val="00593F91"/>
    <w:rsid w:val="0059422D"/>
    <w:rsid w:val="00594BAA"/>
    <w:rsid w:val="005958E0"/>
    <w:rsid w:val="00595C5C"/>
    <w:rsid w:val="00596CF4"/>
    <w:rsid w:val="00596DA2"/>
    <w:rsid w:val="005971B6"/>
    <w:rsid w:val="00597F55"/>
    <w:rsid w:val="005A1F62"/>
    <w:rsid w:val="005A23BE"/>
    <w:rsid w:val="005A24E0"/>
    <w:rsid w:val="005A359D"/>
    <w:rsid w:val="005A3D5D"/>
    <w:rsid w:val="005A4033"/>
    <w:rsid w:val="005A4828"/>
    <w:rsid w:val="005A5C02"/>
    <w:rsid w:val="005A6EA9"/>
    <w:rsid w:val="005A7117"/>
    <w:rsid w:val="005A7B5A"/>
    <w:rsid w:val="005B0EA7"/>
    <w:rsid w:val="005B0F47"/>
    <w:rsid w:val="005B14E0"/>
    <w:rsid w:val="005B1594"/>
    <w:rsid w:val="005B1B41"/>
    <w:rsid w:val="005B26F2"/>
    <w:rsid w:val="005B3CC6"/>
    <w:rsid w:val="005B443E"/>
    <w:rsid w:val="005B4E20"/>
    <w:rsid w:val="005B67E1"/>
    <w:rsid w:val="005B6991"/>
    <w:rsid w:val="005B79DC"/>
    <w:rsid w:val="005C044F"/>
    <w:rsid w:val="005C1DA7"/>
    <w:rsid w:val="005C22CB"/>
    <w:rsid w:val="005C2FC5"/>
    <w:rsid w:val="005C4289"/>
    <w:rsid w:val="005C6985"/>
    <w:rsid w:val="005C7155"/>
    <w:rsid w:val="005C7947"/>
    <w:rsid w:val="005D0229"/>
    <w:rsid w:val="005D0487"/>
    <w:rsid w:val="005D2301"/>
    <w:rsid w:val="005D2E9C"/>
    <w:rsid w:val="005D3379"/>
    <w:rsid w:val="005D3888"/>
    <w:rsid w:val="005D39EA"/>
    <w:rsid w:val="005D4A94"/>
    <w:rsid w:val="005D4E28"/>
    <w:rsid w:val="005D4FB7"/>
    <w:rsid w:val="005D57AB"/>
    <w:rsid w:val="005D584E"/>
    <w:rsid w:val="005D5CF2"/>
    <w:rsid w:val="005D6637"/>
    <w:rsid w:val="005D7266"/>
    <w:rsid w:val="005D77F1"/>
    <w:rsid w:val="005D79C4"/>
    <w:rsid w:val="005D7B39"/>
    <w:rsid w:val="005D7DB8"/>
    <w:rsid w:val="005E009F"/>
    <w:rsid w:val="005E0398"/>
    <w:rsid w:val="005E0663"/>
    <w:rsid w:val="005E0682"/>
    <w:rsid w:val="005E0E9F"/>
    <w:rsid w:val="005E11DE"/>
    <w:rsid w:val="005E157A"/>
    <w:rsid w:val="005E21C9"/>
    <w:rsid w:val="005E2529"/>
    <w:rsid w:val="005E2C88"/>
    <w:rsid w:val="005E2FA3"/>
    <w:rsid w:val="005E35BE"/>
    <w:rsid w:val="005E5103"/>
    <w:rsid w:val="005E5C63"/>
    <w:rsid w:val="005E5D5A"/>
    <w:rsid w:val="005E60B0"/>
    <w:rsid w:val="005E6269"/>
    <w:rsid w:val="005E66B6"/>
    <w:rsid w:val="005E72C1"/>
    <w:rsid w:val="005E7345"/>
    <w:rsid w:val="005E7487"/>
    <w:rsid w:val="005E7562"/>
    <w:rsid w:val="005E7853"/>
    <w:rsid w:val="005E7BC4"/>
    <w:rsid w:val="005F0417"/>
    <w:rsid w:val="005F0433"/>
    <w:rsid w:val="005F0B26"/>
    <w:rsid w:val="005F0DF1"/>
    <w:rsid w:val="005F177C"/>
    <w:rsid w:val="005F24F0"/>
    <w:rsid w:val="005F265A"/>
    <w:rsid w:val="005F47D7"/>
    <w:rsid w:val="005F4F1E"/>
    <w:rsid w:val="005F6DB0"/>
    <w:rsid w:val="006003EB"/>
    <w:rsid w:val="00600619"/>
    <w:rsid w:val="006006B5"/>
    <w:rsid w:val="0060168E"/>
    <w:rsid w:val="006023C0"/>
    <w:rsid w:val="00602F19"/>
    <w:rsid w:val="00603190"/>
    <w:rsid w:val="0060393B"/>
    <w:rsid w:val="00604477"/>
    <w:rsid w:val="0060508A"/>
    <w:rsid w:val="0060546D"/>
    <w:rsid w:val="00605BCA"/>
    <w:rsid w:val="0060627A"/>
    <w:rsid w:val="00607B4E"/>
    <w:rsid w:val="006108D8"/>
    <w:rsid w:val="00610A1B"/>
    <w:rsid w:val="00611371"/>
    <w:rsid w:val="0061183C"/>
    <w:rsid w:val="00612092"/>
    <w:rsid w:val="00612134"/>
    <w:rsid w:val="006122EF"/>
    <w:rsid w:val="00612335"/>
    <w:rsid w:val="006124AD"/>
    <w:rsid w:val="00616D53"/>
    <w:rsid w:val="006175EB"/>
    <w:rsid w:val="00617A3F"/>
    <w:rsid w:val="006200AC"/>
    <w:rsid w:val="006206ED"/>
    <w:rsid w:val="006233B2"/>
    <w:rsid w:val="006235B4"/>
    <w:rsid w:val="00625BC7"/>
    <w:rsid w:val="00626011"/>
    <w:rsid w:val="00626285"/>
    <w:rsid w:val="00626448"/>
    <w:rsid w:val="00626509"/>
    <w:rsid w:val="0062692D"/>
    <w:rsid w:val="00626B99"/>
    <w:rsid w:val="0063045B"/>
    <w:rsid w:val="006306E0"/>
    <w:rsid w:val="00630CDA"/>
    <w:rsid w:val="0063183F"/>
    <w:rsid w:val="00632183"/>
    <w:rsid w:val="00632489"/>
    <w:rsid w:val="0063254D"/>
    <w:rsid w:val="00632B77"/>
    <w:rsid w:val="00632C01"/>
    <w:rsid w:val="00632C9D"/>
    <w:rsid w:val="00633178"/>
    <w:rsid w:val="006336A6"/>
    <w:rsid w:val="00633B2C"/>
    <w:rsid w:val="00633BAF"/>
    <w:rsid w:val="0063437C"/>
    <w:rsid w:val="00635E63"/>
    <w:rsid w:val="00636824"/>
    <w:rsid w:val="00636F64"/>
    <w:rsid w:val="00637318"/>
    <w:rsid w:val="00637891"/>
    <w:rsid w:val="00637BA8"/>
    <w:rsid w:val="00637D3C"/>
    <w:rsid w:val="00637F4C"/>
    <w:rsid w:val="006400EF"/>
    <w:rsid w:val="00640149"/>
    <w:rsid w:val="00641A38"/>
    <w:rsid w:val="00641C43"/>
    <w:rsid w:val="00644C96"/>
    <w:rsid w:val="00645311"/>
    <w:rsid w:val="00647F0E"/>
    <w:rsid w:val="0065037C"/>
    <w:rsid w:val="006503EC"/>
    <w:rsid w:val="0065161F"/>
    <w:rsid w:val="00651AD7"/>
    <w:rsid w:val="00651CDE"/>
    <w:rsid w:val="00652020"/>
    <w:rsid w:val="006520DF"/>
    <w:rsid w:val="006523DC"/>
    <w:rsid w:val="00652890"/>
    <w:rsid w:val="00653252"/>
    <w:rsid w:val="006535D4"/>
    <w:rsid w:val="0065414D"/>
    <w:rsid w:val="00654CFB"/>
    <w:rsid w:val="00656D8B"/>
    <w:rsid w:val="006574A6"/>
    <w:rsid w:val="00657829"/>
    <w:rsid w:val="00660830"/>
    <w:rsid w:val="00661329"/>
    <w:rsid w:val="0066381F"/>
    <w:rsid w:val="00663950"/>
    <w:rsid w:val="00663B2E"/>
    <w:rsid w:val="00663E3C"/>
    <w:rsid w:val="0066452F"/>
    <w:rsid w:val="0066490C"/>
    <w:rsid w:val="0066603B"/>
    <w:rsid w:val="00671010"/>
    <w:rsid w:val="00671283"/>
    <w:rsid w:val="00671E03"/>
    <w:rsid w:val="00671EBC"/>
    <w:rsid w:val="006720EE"/>
    <w:rsid w:val="006723DC"/>
    <w:rsid w:val="006725E9"/>
    <w:rsid w:val="00672795"/>
    <w:rsid w:val="00672DC2"/>
    <w:rsid w:val="00673806"/>
    <w:rsid w:val="00674CC6"/>
    <w:rsid w:val="00674EA8"/>
    <w:rsid w:val="006755D1"/>
    <w:rsid w:val="00675976"/>
    <w:rsid w:val="00675BEA"/>
    <w:rsid w:val="0067703E"/>
    <w:rsid w:val="0067720D"/>
    <w:rsid w:val="00677C7E"/>
    <w:rsid w:val="00677D6C"/>
    <w:rsid w:val="00680B6F"/>
    <w:rsid w:val="006823DD"/>
    <w:rsid w:val="0068299A"/>
    <w:rsid w:val="006833C3"/>
    <w:rsid w:val="00683E40"/>
    <w:rsid w:val="0068555D"/>
    <w:rsid w:val="00686290"/>
    <w:rsid w:val="006863C8"/>
    <w:rsid w:val="006868D3"/>
    <w:rsid w:val="00686BDB"/>
    <w:rsid w:val="00687EBD"/>
    <w:rsid w:val="00690284"/>
    <w:rsid w:val="0069064B"/>
    <w:rsid w:val="0069122B"/>
    <w:rsid w:val="0069278F"/>
    <w:rsid w:val="00692856"/>
    <w:rsid w:val="00692B85"/>
    <w:rsid w:val="00693118"/>
    <w:rsid w:val="006938DD"/>
    <w:rsid w:val="006938FC"/>
    <w:rsid w:val="0069397C"/>
    <w:rsid w:val="00693DFC"/>
    <w:rsid w:val="0069543A"/>
    <w:rsid w:val="00695FB3"/>
    <w:rsid w:val="006A16C9"/>
    <w:rsid w:val="006A1A7D"/>
    <w:rsid w:val="006A1B76"/>
    <w:rsid w:val="006A1D3B"/>
    <w:rsid w:val="006A237E"/>
    <w:rsid w:val="006A2CAA"/>
    <w:rsid w:val="006A2E73"/>
    <w:rsid w:val="006A3699"/>
    <w:rsid w:val="006A3784"/>
    <w:rsid w:val="006A3802"/>
    <w:rsid w:val="006A404C"/>
    <w:rsid w:val="006A4556"/>
    <w:rsid w:val="006A4994"/>
    <w:rsid w:val="006A5175"/>
    <w:rsid w:val="006A5846"/>
    <w:rsid w:val="006A5FD3"/>
    <w:rsid w:val="006A67A3"/>
    <w:rsid w:val="006A7CF7"/>
    <w:rsid w:val="006B1D84"/>
    <w:rsid w:val="006B26C1"/>
    <w:rsid w:val="006B3E24"/>
    <w:rsid w:val="006B4588"/>
    <w:rsid w:val="006B5AC4"/>
    <w:rsid w:val="006B5DFF"/>
    <w:rsid w:val="006B6031"/>
    <w:rsid w:val="006B62D6"/>
    <w:rsid w:val="006B6A8E"/>
    <w:rsid w:val="006C1135"/>
    <w:rsid w:val="006C19BD"/>
    <w:rsid w:val="006C2112"/>
    <w:rsid w:val="006C24D4"/>
    <w:rsid w:val="006C3362"/>
    <w:rsid w:val="006C36AA"/>
    <w:rsid w:val="006C3752"/>
    <w:rsid w:val="006C39DA"/>
    <w:rsid w:val="006C3DE4"/>
    <w:rsid w:val="006C46CA"/>
    <w:rsid w:val="006C4ED0"/>
    <w:rsid w:val="006C5289"/>
    <w:rsid w:val="006C542E"/>
    <w:rsid w:val="006C570C"/>
    <w:rsid w:val="006C5B10"/>
    <w:rsid w:val="006C67C2"/>
    <w:rsid w:val="006C7021"/>
    <w:rsid w:val="006D0371"/>
    <w:rsid w:val="006D05CD"/>
    <w:rsid w:val="006D06BF"/>
    <w:rsid w:val="006D1337"/>
    <w:rsid w:val="006D1997"/>
    <w:rsid w:val="006D264A"/>
    <w:rsid w:val="006D2CC7"/>
    <w:rsid w:val="006D3319"/>
    <w:rsid w:val="006D38AB"/>
    <w:rsid w:val="006D3F2D"/>
    <w:rsid w:val="006D4980"/>
    <w:rsid w:val="006D4BDE"/>
    <w:rsid w:val="006D5173"/>
    <w:rsid w:val="006D51E5"/>
    <w:rsid w:val="006D57C1"/>
    <w:rsid w:val="006D5ABC"/>
    <w:rsid w:val="006D5BD0"/>
    <w:rsid w:val="006D6066"/>
    <w:rsid w:val="006D77D7"/>
    <w:rsid w:val="006D79A4"/>
    <w:rsid w:val="006D7E1C"/>
    <w:rsid w:val="006E059E"/>
    <w:rsid w:val="006E0A3C"/>
    <w:rsid w:val="006E0C06"/>
    <w:rsid w:val="006E0F42"/>
    <w:rsid w:val="006E4446"/>
    <w:rsid w:val="006E46C5"/>
    <w:rsid w:val="006E4B30"/>
    <w:rsid w:val="006E52A7"/>
    <w:rsid w:val="006E57F3"/>
    <w:rsid w:val="006E6846"/>
    <w:rsid w:val="006E7306"/>
    <w:rsid w:val="006F0A1C"/>
    <w:rsid w:val="006F0EF4"/>
    <w:rsid w:val="006F1787"/>
    <w:rsid w:val="006F1BF9"/>
    <w:rsid w:val="006F21AA"/>
    <w:rsid w:val="006F22E6"/>
    <w:rsid w:val="006F234D"/>
    <w:rsid w:val="006F274B"/>
    <w:rsid w:val="006F3276"/>
    <w:rsid w:val="006F5034"/>
    <w:rsid w:val="006F5926"/>
    <w:rsid w:val="006F5F2C"/>
    <w:rsid w:val="006F61F5"/>
    <w:rsid w:val="006F6671"/>
    <w:rsid w:val="006F702D"/>
    <w:rsid w:val="00700E64"/>
    <w:rsid w:val="00701009"/>
    <w:rsid w:val="007034B4"/>
    <w:rsid w:val="00703782"/>
    <w:rsid w:val="00704B2A"/>
    <w:rsid w:val="0070523A"/>
    <w:rsid w:val="007065F9"/>
    <w:rsid w:val="00706E9D"/>
    <w:rsid w:val="00707563"/>
    <w:rsid w:val="007106C6"/>
    <w:rsid w:val="00710AC7"/>
    <w:rsid w:val="007114EF"/>
    <w:rsid w:val="00711BDE"/>
    <w:rsid w:val="00712294"/>
    <w:rsid w:val="00712452"/>
    <w:rsid w:val="00712A2D"/>
    <w:rsid w:val="00713DAF"/>
    <w:rsid w:val="00714070"/>
    <w:rsid w:val="00716240"/>
    <w:rsid w:val="00716317"/>
    <w:rsid w:val="007168AA"/>
    <w:rsid w:val="00717B89"/>
    <w:rsid w:val="00720A55"/>
    <w:rsid w:val="00720AE9"/>
    <w:rsid w:val="00721BD1"/>
    <w:rsid w:val="00722B8C"/>
    <w:rsid w:val="00723005"/>
    <w:rsid w:val="0072332C"/>
    <w:rsid w:val="00725254"/>
    <w:rsid w:val="00725331"/>
    <w:rsid w:val="00726C45"/>
    <w:rsid w:val="00727306"/>
    <w:rsid w:val="00727980"/>
    <w:rsid w:val="00730350"/>
    <w:rsid w:val="00731D62"/>
    <w:rsid w:val="007320CD"/>
    <w:rsid w:val="0073227B"/>
    <w:rsid w:val="0073230E"/>
    <w:rsid w:val="00735C40"/>
    <w:rsid w:val="00736ECB"/>
    <w:rsid w:val="007400D8"/>
    <w:rsid w:val="007407B4"/>
    <w:rsid w:val="00740A51"/>
    <w:rsid w:val="00740ACF"/>
    <w:rsid w:val="00741768"/>
    <w:rsid w:val="007428B3"/>
    <w:rsid w:val="00742F78"/>
    <w:rsid w:val="007446A3"/>
    <w:rsid w:val="007460D7"/>
    <w:rsid w:val="00746EEA"/>
    <w:rsid w:val="00747AEC"/>
    <w:rsid w:val="00747B51"/>
    <w:rsid w:val="007503F7"/>
    <w:rsid w:val="00753BC3"/>
    <w:rsid w:val="00754275"/>
    <w:rsid w:val="00754554"/>
    <w:rsid w:val="00754B9F"/>
    <w:rsid w:val="007557E8"/>
    <w:rsid w:val="00756186"/>
    <w:rsid w:val="00756AFA"/>
    <w:rsid w:val="00757025"/>
    <w:rsid w:val="007607B1"/>
    <w:rsid w:val="00760B30"/>
    <w:rsid w:val="007619B5"/>
    <w:rsid w:val="00761AC0"/>
    <w:rsid w:val="00761BE2"/>
    <w:rsid w:val="00761D99"/>
    <w:rsid w:val="007623FF"/>
    <w:rsid w:val="0076243A"/>
    <w:rsid w:val="007627FF"/>
    <w:rsid w:val="00762BD8"/>
    <w:rsid w:val="007630A4"/>
    <w:rsid w:val="00763557"/>
    <w:rsid w:val="00763636"/>
    <w:rsid w:val="007644D1"/>
    <w:rsid w:val="00764875"/>
    <w:rsid w:val="00765CEE"/>
    <w:rsid w:val="00766F66"/>
    <w:rsid w:val="00767494"/>
    <w:rsid w:val="0077232F"/>
    <w:rsid w:val="00773002"/>
    <w:rsid w:val="00773CFE"/>
    <w:rsid w:val="007740AB"/>
    <w:rsid w:val="007764AC"/>
    <w:rsid w:val="00776802"/>
    <w:rsid w:val="0077681A"/>
    <w:rsid w:val="00776FB6"/>
    <w:rsid w:val="007808DD"/>
    <w:rsid w:val="00781782"/>
    <w:rsid w:val="00781D76"/>
    <w:rsid w:val="007833C9"/>
    <w:rsid w:val="00784C8C"/>
    <w:rsid w:val="007856F7"/>
    <w:rsid w:val="00785B37"/>
    <w:rsid w:val="00786CC8"/>
    <w:rsid w:val="00786D76"/>
    <w:rsid w:val="00787D95"/>
    <w:rsid w:val="00790FE6"/>
    <w:rsid w:val="007917D8"/>
    <w:rsid w:val="0079208C"/>
    <w:rsid w:val="00792123"/>
    <w:rsid w:val="00792887"/>
    <w:rsid w:val="0079434E"/>
    <w:rsid w:val="00794A72"/>
    <w:rsid w:val="00794BCF"/>
    <w:rsid w:val="0079559C"/>
    <w:rsid w:val="0079664F"/>
    <w:rsid w:val="00796F7B"/>
    <w:rsid w:val="00797095"/>
    <w:rsid w:val="00797372"/>
    <w:rsid w:val="00797435"/>
    <w:rsid w:val="00797442"/>
    <w:rsid w:val="007974C0"/>
    <w:rsid w:val="007A05D3"/>
    <w:rsid w:val="007A13E7"/>
    <w:rsid w:val="007A1478"/>
    <w:rsid w:val="007A1E2F"/>
    <w:rsid w:val="007A20C9"/>
    <w:rsid w:val="007A2844"/>
    <w:rsid w:val="007A2C5E"/>
    <w:rsid w:val="007A3DAC"/>
    <w:rsid w:val="007A401D"/>
    <w:rsid w:val="007A4C41"/>
    <w:rsid w:val="007A4DA0"/>
    <w:rsid w:val="007A4F75"/>
    <w:rsid w:val="007A5932"/>
    <w:rsid w:val="007A6E15"/>
    <w:rsid w:val="007A6EC0"/>
    <w:rsid w:val="007B1847"/>
    <w:rsid w:val="007B1B41"/>
    <w:rsid w:val="007B27E5"/>
    <w:rsid w:val="007B3651"/>
    <w:rsid w:val="007B394B"/>
    <w:rsid w:val="007B3A46"/>
    <w:rsid w:val="007B3B04"/>
    <w:rsid w:val="007B40E0"/>
    <w:rsid w:val="007B4F15"/>
    <w:rsid w:val="007B51C5"/>
    <w:rsid w:val="007B545F"/>
    <w:rsid w:val="007B5CC6"/>
    <w:rsid w:val="007B61EF"/>
    <w:rsid w:val="007B641C"/>
    <w:rsid w:val="007B6529"/>
    <w:rsid w:val="007B6A9F"/>
    <w:rsid w:val="007C1771"/>
    <w:rsid w:val="007C20CA"/>
    <w:rsid w:val="007C2606"/>
    <w:rsid w:val="007C2DA7"/>
    <w:rsid w:val="007C3734"/>
    <w:rsid w:val="007C5242"/>
    <w:rsid w:val="007C5CAF"/>
    <w:rsid w:val="007C6446"/>
    <w:rsid w:val="007C6D50"/>
    <w:rsid w:val="007C7278"/>
    <w:rsid w:val="007C7649"/>
    <w:rsid w:val="007C794C"/>
    <w:rsid w:val="007D129F"/>
    <w:rsid w:val="007D173D"/>
    <w:rsid w:val="007D2771"/>
    <w:rsid w:val="007D3321"/>
    <w:rsid w:val="007D3635"/>
    <w:rsid w:val="007D423B"/>
    <w:rsid w:val="007D4E39"/>
    <w:rsid w:val="007D4E47"/>
    <w:rsid w:val="007D58E3"/>
    <w:rsid w:val="007D5AFA"/>
    <w:rsid w:val="007D6A0D"/>
    <w:rsid w:val="007D6DDF"/>
    <w:rsid w:val="007E0CC9"/>
    <w:rsid w:val="007E4756"/>
    <w:rsid w:val="007E51FA"/>
    <w:rsid w:val="007E526E"/>
    <w:rsid w:val="007E5D1A"/>
    <w:rsid w:val="007E6F03"/>
    <w:rsid w:val="007F0448"/>
    <w:rsid w:val="007F0649"/>
    <w:rsid w:val="007F0AFC"/>
    <w:rsid w:val="007F100C"/>
    <w:rsid w:val="007F1E15"/>
    <w:rsid w:val="007F287A"/>
    <w:rsid w:val="007F4165"/>
    <w:rsid w:val="007F4D29"/>
    <w:rsid w:val="007F4F62"/>
    <w:rsid w:val="007F5337"/>
    <w:rsid w:val="007F55E0"/>
    <w:rsid w:val="007F61A7"/>
    <w:rsid w:val="007F63C0"/>
    <w:rsid w:val="007F6468"/>
    <w:rsid w:val="007F6611"/>
    <w:rsid w:val="00800988"/>
    <w:rsid w:val="00801226"/>
    <w:rsid w:val="00803383"/>
    <w:rsid w:val="00803DAE"/>
    <w:rsid w:val="00805BF4"/>
    <w:rsid w:val="008060C6"/>
    <w:rsid w:val="008065DA"/>
    <w:rsid w:val="00806758"/>
    <w:rsid w:val="00806ECC"/>
    <w:rsid w:val="008074C9"/>
    <w:rsid w:val="0080763B"/>
    <w:rsid w:val="00807C1C"/>
    <w:rsid w:val="00810124"/>
    <w:rsid w:val="00810A85"/>
    <w:rsid w:val="00810E7B"/>
    <w:rsid w:val="00811D0F"/>
    <w:rsid w:val="00811E11"/>
    <w:rsid w:val="008122A2"/>
    <w:rsid w:val="00812314"/>
    <w:rsid w:val="00814B1E"/>
    <w:rsid w:val="0081758B"/>
    <w:rsid w:val="00817EE7"/>
    <w:rsid w:val="008210D2"/>
    <w:rsid w:val="00822168"/>
    <w:rsid w:val="00822D87"/>
    <w:rsid w:val="0082306F"/>
    <w:rsid w:val="0082354F"/>
    <w:rsid w:val="0082447D"/>
    <w:rsid w:val="00824696"/>
    <w:rsid w:val="00824749"/>
    <w:rsid w:val="00826174"/>
    <w:rsid w:val="00830847"/>
    <w:rsid w:val="0083107C"/>
    <w:rsid w:val="00831601"/>
    <w:rsid w:val="00832C38"/>
    <w:rsid w:val="00832DB0"/>
    <w:rsid w:val="00833283"/>
    <w:rsid w:val="00833986"/>
    <w:rsid w:val="0083545E"/>
    <w:rsid w:val="00835F19"/>
    <w:rsid w:val="008369F4"/>
    <w:rsid w:val="00836F59"/>
    <w:rsid w:val="008370A1"/>
    <w:rsid w:val="00840A99"/>
    <w:rsid w:val="00841169"/>
    <w:rsid w:val="00841596"/>
    <w:rsid w:val="0084269C"/>
    <w:rsid w:val="00842FD6"/>
    <w:rsid w:val="0084366C"/>
    <w:rsid w:val="008438C2"/>
    <w:rsid w:val="0084486F"/>
    <w:rsid w:val="00845483"/>
    <w:rsid w:val="00845CA0"/>
    <w:rsid w:val="008468F4"/>
    <w:rsid w:val="00846D5E"/>
    <w:rsid w:val="00846FB5"/>
    <w:rsid w:val="0085150C"/>
    <w:rsid w:val="00851B7F"/>
    <w:rsid w:val="00852E19"/>
    <w:rsid w:val="00853880"/>
    <w:rsid w:val="00855C71"/>
    <w:rsid w:val="00855D26"/>
    <w:rsid w:val="008560DC"/>
    <w:rsid w:val="0085717C"/>
    <w:rsid w:val="008573FF"/>
    <w:rsid w:val="00857D63"/>
    <w:rsid w:val="00857D67"/>
    <w:rsid w:val="0086121F"/>
    <w:rsid w:val="00861ABE"/>
    <w:rsid w:val="008624D3"/>
    <w:rsid w:val="00862894"/>
    <w:rsid w:val="0086329B"/>
    <w:rsid w:val="00865005"/>
    <w:rsid w:val="00865BB6"/>
    <w:rsid w:val="008662F1"/>
    <w:rsid w:val="0086681F"/>
    <w:rsid w:val="00866BA2"/>
    <w:rsid w:val="0086727D"/>
    <w:rsid w:val="00867FAF"/>
    <w:rsid w:val="00872150"/>
    <w:rsid w:val="008726D2"/>
    <w:rsid w:val="00873031"/>
    <w:rsid w:val="00873437"/>
    <w:rsid w:val="00874066"/>
    <w:rsid w:val="00874DED"/>
    <w:rsid w:val="008757FB"/>
    <w:rsid w:val="00875A2C"/>
    <w:rsid w:val="00875B13"/>
    <w:rsid w:val="008765B5"/>
    <w:rsid w:val="008767BD"/>
    <w:rsid w:val="00876D81"/>
    <w:rsid w:val="0087769C"/>
    <w:rsid w:val="00881D14"/>
    <w:rsid w:val="008826E3"/>
    <w:rsid w:val="0088300F"/>
    <w:rsid w:val="00884B34"/>
    <w:rsid w:val="00884DF3"/>
    <w:rsid w:val="008853D7"/>
    <w:rsid w:val="008857C3"/>
    <w:rsid w:val="00885959"/>
    <w:rsid w:val="00885A80"/>
    <w:rsid w:val="00886C27"/>
    <w:rsid w:val="00887219"/>
    <w:rsid w:val="008877A2"/>
    <w:rsid w:val="00887915"/>
    <w:rsid w:val="00887C8B"/>
    <w:rsid w:val="00890262"/>
    <w:rsid w:val="00890FB5"/>
    <w:rsid w:val="00892AC2"/>
    <w:rsid w:val="00892BAF"/>
    <w:rsid w:val="00892FC2"/>
    <w:rsid w:val="00893736"/>
    <w:rsid w:val="00894233"/>
    <w:rsid w:val="008944C3"/>
    <w:rsid w:val="00895C4E"/>
    <w:rsid w:val="00896331"/>
    <w:rsid w:val="00896E81"/>
    <w:rsid w:val="0089775D"/>
    <w:rsid w:val="008977E1"/>
    <w:rsid w:val="00897E68"/>
    <w:rsid w:val="00897FD8"/>
    <w:rsid w:val="008A05E3"/>
    <w:rsid w:val="008A1B91"/>
    <w:rsid w:val="008A1D7F"/>
    <w:rsid w:val="008A211B"/>
    <w:rsid w:val="008A2CBD"/>
    <w:rsid w:val="008A38D7"/>
    <w:rsid w:val="008A3A97"/>
    <w:rsid w:val="008A43D7"/>
    <w:rsid w:val="008A4B96"/>
    <w:rsid w:val="008A4F3E"/>
    <w:rsid w:val="008A563B"/>
    <w:rsid w:val="008A6FA5"/>
    <w:rsid w:val="008A7075"/>
    <w:rsid w:val="008B07A2"/>
    <w:rsid w:val="008B1059"/>
    <w:rsid w:val="008B1302"/>
    <w:rsid w:val="008B3633"/>
    <w:rsid w:val="008B40C9"/>
    <w:rsid w:val="008B41D7"/>
    <w:rsid w:val="008B47C3"/>
    <w:rsid w:val="008B5629"/>
    <w:rsid w:val="008B5698"/>
    <w:rsid w:val="008B6216"/>
    <w:rsid w:val="008B69BB"/>
    <w:rsid w:val="008B750D"/>
    <w:rsid w:val="008B7705"/>
    <w:rsid w:val="008B78AB"/>
    <w:rsid w:val="008B7CB8"/>
    <w:rsid w:val="008C0ACA"/>
    <w:rsid w:val="008C3856"/>
    <w:rsid w:val="008C3BF2"/>
    <w:rsid w:val="008C4A16"/>
    <w:rsid w:val="008C4F1A"/>
    <w:rsid w:val="008C5545"/>
    <w:rsid w:val="008C5790"/>
    <w:rsid w:val="008C5AFC"/>
    <w:rsid w:val="008C66B3"/>
    <w:rsid w:val="008C7B88"/>
    <w:rsid w:val="008C7B8A"/>
    <w:rsid w:val="008C7CCE"/>
    <w:rsid w:val="008C7FA6"/>
    <w:rsid w:val="008D040A"/>
    <w:rsid w:val="008D0948"/>
    <w:rsid w:val="008D0A06"/>
    <w:rsid w:val="008D14A6"/>
    <w:rsid w:val="008D19B5"/>
    <w:rsid w:val="008D262C"/>
    <w:rsid w:val="008D26B7"/>
    <w:rsid w:val="008D2A14"/>
    <w:rsid w:val="008D2C07"/>
    <w:rsid w:val="008D2F21"/>
    <w:rsid w:val="008D3080"/>
    <w:rsid w:val="008D324F"/>
    <w:rsid w:val="008D4DC9"/>
    <w:rsid w:val="008D5167"/>
    <w:rsid w:val="008D5F0E"/>
    <w:rsid w:val="008D6909"/>
    <w:rsid w:val="008D7297"/>
    <w:rsid w:val="008D7C34"/>
    <w:rsid w:val="008E0DC2"/>
    <w:rsid w:val="008E10B8"/>
    <w:rsid w:val="008E155E"/>
    <w:rsid w:val="008E2032"/>
    <w:rsid w:val="008E2E32"/>
    <w:rsid w:val="008E5339"/>
    <w:rsid w:val="008E6545"/>
    <w:rsid w:val="008E6967"/>
    <w:rsid w:val="008E77F1"/>
    <w:rsid w:val="008E7A45"/>
    <w:rsid w:val="008F0AF8"/>
    <w:rsid w:val="008F13C1"/>
    <w:rsid w:val="008F15A3"/>
    <w:rsid w:val="008F16B0"/>
    <w:rsid w:val="008F194B"/>
    <w:rsid w:val="008F1A4F"/>
    <w:rsid w:val="008F1B1E"/>
    <w:rsid w:val="008F2F54"/>
    <w:rsid w:val="008F3B96"/>
    <w:rsid w:val="008F3C30"/>
    <w:rsid w:val="008F4FE4"/>
    <w:rsid w:val="008F53F2"/>
    <w:rsid w:val="008F6423"/>
    <w:rsid w:val="008F79C9"/>
    <w:rsid w:val="008F7CA1"/>
    <w:rsid w:val="009000AE"/>
    <w:rsid w:val="00900627"/>
    <w:rsid w:val="00901F02"/>
    <w:rsid w:val="00903D52"/>
    <w:rsid w:val="00903F7D"/>
    <w:rsid w:val="00904D33"/>
    <w:rsid w:val="00905023"/>
    <w:rsid w:val="00905215"/>
    <w:rsid w:val="009063DE"/>
    <w:rsid w:val="00906871"/>
    <w:rsid w:val="009116B6"/>
    <w:rsid w:val="00913A00"/>
    <w:rsid w:val="00914388"/>
    <w:rsid w:val="009157D0"/>
    <w:rsid w:val="00915BA1"/>
    <w:rsid w:val="00916D6A"/>
    <w:rsid w:val="009201BC"/>
    <w:rsid w:val="0092022F"/>
    <w:rsid w:val="0092150B"/>
    <w:rsid w:val="00922843"/>
    <w:rsid w:val="00923D72"/>
    <w:rsid w:val="00924937"/>
    <w:rsid w:val="00924AA5"/>
    <w:rsid w:val="00925AEF"/>
    <w:rsid w:val="00925FC4"/>
    <w:rsid w:val="00926C7D"/>
    <w:rsid w:val="00927719"/>
    <w:rsid w:val="009307B4"/>
    <w:rsid w:val="009307B6"/>
    <w:rsid w:val="0093149F"/>
    <w:rsid w:val="00931EB4"/>
    <w:rsid w:val="00932428"/>
    <w:rsid w:val="00932854"/>
    <w:rsid w:val="00933007"/>
    <w:rsid w:val="00933B29"/>
    <w:rsid w:val="00934161"/>
    <w:rsid w:val="00935DF3"/>
    <w:rsid w:val="009365FD"/>
    <w:rsid w:val="009378E2"/>
    <w:rsid w:val="00940293"/>
    <w:rsid w:val="00940A0B"/>
    <w:rsid w:val="009412CC"/>
    <w:rsid w:val="00941E60"/>
    <w:rsid w:val="00941EAC"/>
    <w:rsid w:val="00942504"/>
    <w:rsid w:val="0094269F"/>
    <w:rsid w:val="0094292B"/>
    <w:rsid w:val="00942B81"/>
    <w:rsid w:val="00942EB2"/>
    <w:rsid w:val="00944282"/>
    <w:rsid w:val="00944886"/>
    <w:rsid w:val="00944F2C"/>
    <w:rsid w:val="0095025F"/>
    <w:rsid w:val="00951161"/>
    <w:rsid w:val="00951473"/>
    <w:rsid w:val="00951721"/>
    <w:rsid w:val="00952EBD"/>
    <w:rsid w:val="00952EFD"/>
    <w:rsid w:val="0095334E"/>
    <w:rsid w:val="009533E2"/>
    <w:rsid w:val="00953572"/>
    <w:rsid w:val="00954049"/>
    <w:rsid w:val="00954449"/>
    <w:rsid w:val="00954C11"/>
    <w:rsid w:val="00955563"/>
    <w:rsid w:val="00955DA8"/>
    <w:rsid w:val="00955E2C"/>
    <w:rsid w:val="00955EF5"/>
    <w:rsid w:val="00956EC7"/>
    <w:rsid w:val="00957399"/>
    <w:rsid w:val="00957951"/>
    <w:rsid w:val="00957C7E"/>
    <w:rsid w:val="0096019D"/>
    <w:rsid w:val="00960C5D"/>
    <w:rsid w:val="0096147F"/>
    <w:rsid w:val="0096237D"/>
    <w:rsid w:val="00962663"/>
    <w:rsid w:val="00963AE1"/>
    <w:rsid w:val="009643D6"/>
    <w:rsid w:val="0096550D"/>
    <w:rsid w:val="00966055"/>
    <w:rsid w:val="00966406"/>
    <w:rsid w:val="00966703"/>
    <w:rsid w:val="0096704F"/>
    <w:rsid w:val="00970896"/>
    <w:rsid w:val="009711F2"/>
    <w:rsid w:val="00973862"/>
    <w:rsid w:val="00974418"/>
    <w:rsid w:val="009751A7"/>
    <w:rsid w:val="00976247"/>
    <w:rsid w:val="00980051"/>
    <w:rsid w:val="009807D3"/>
    <w:rsid w:val="00981AA8"/>
    <w:rsid w:val="00981BEB"/>
    <w:rsid w:val="00981D31"/>
    <w:rsid w:val="0098210B"/>
    <w:rsid w:val="00982E5A"/>
    <w:rsid w:val="009836D7"/>
    <w:rsid w:val="0098465F"/>
    <w:rsid w:val="009847BA"/>
    <w:rsid w:val="009861F4"/>
    <w:rsid w:val="00990183"/>
    <w:rsid w:val="0099042C"/>
    <w:rsid w:val="00990693"/>
    <w:rsid w:val="00990750"/>
    <w:rsid w:val="00990B1B"/>
    <w:rsid w:val="009921F8"/>
    <w:rsid w:val="009929AE"/>
    <w:rsid w:val="00992CCE"/>
    <w:rsid w:val="00992DD7"/>
    <w:rsid w:val="0099328F"/>
    <w:rsid w:val="009936BF"/>
    <w:rsid w:val="00993758"/>
    <w:rsid w:val="00993ABE"/>
    <w:rsid w:val="00995C22"/>
    <w:rsid w:val="009961D3"/>
    <w:rsid w:val="0099638C"/>
    <w:rsid w:val="009970BE"/>
    <w:rsid w:val="009974B7"/>
    <w:rsid w:val="00997F23"/>
    <w:rsid w:val="009A09A2"/>
    <w:rsid w:val="009A0ADA"/>
    <w:rsid w:val="009A1A6F"/>
    <w:rsid w:val="009A3A8A"/>
    <w:rsid w:val="009A41DB"/>
    <w:rsid w:val="009A4531"/>
    <w:rsid w:val="009A4F54"/>
    <w:rsid w:val="009A5401"/>
    <w:rsid w:val="009A71D9"/>
    <w:rsid w:val="009A727C"/>
    <w:rsid w:val="009A73D8"/>
    <w:rsid w:val="009A7D5E"/>
    <w:rsid w:val="009B0428"/>
    <w:rsid w:val="009B0949"/>
    <w:rsid w:val="009B1072"/>
    <w:rsid w:val="009B10A4"/>
    <w:rsid w:val="009B3ED9"/>
    <w:rsid w:val="009B5278"/>
    <w:rsid w:val="009B5D84"/>
    <w:rsid w:val="009B68B7"/>
    <w:rsid w:val="009B722A"/>
    <w:rsid w:val="009C030B"/>
    <w:rsid w:val="009C06CA"/>
    <w:rsid w:val="009C13D3"/>
    <w:rsid w:val="009C2853"/>
    <w:rsid w:val="009C2888"/>
    <w:rsid w:val="009C29A4"/>
    <w:rsid w:val="009C2A27"/>
    <w:rsid w:val="009C2D0C"/>
    <w:rsid w:val="009C3257"/>
    <w:rsid w:val="009C59F2"/>
    <w:rsid w:val="009C6019"/>
    <w:rsid w:val="009C64BF"/>
    <w:rsid w:val="009C695E"/>
    <w:rsid w:val="009C698A"/>
    <w:rsid w:val="009C7226"/>
    <w:rsid w:val="009C7476"/>
    <w:rsid w:val="009D0104"/>
    <w:rsid w:val="009D11D1"/>
    <w:rsid w:val="009D1769"/>
    <w:rsid w:val="009D1D88"/>
    <w:rsid w:val="009D29E6"/>
    <w:rsid w:val="009D2AA2"/>
    <w:rsid w:val="009D3451"/>
    <w:rsid w:val="009D37DC"/>
    <w:rsid w:val="009D3870"/>
    <w:rsid w:val="009D434E"/>
    <w:rsid w:val="009D5910"/>
    <w:rsid w:val="009D61C4"/>
    <w:rsid w:val="009D66D0"/>
    <w:rsid w:val="009D6EB6"/>
    <w:rsid w:val="009D6EB8"/>
    <w:rsid w:val="009D7922"/>
    <w:rsid w:val="009D7A57"/>
    <w:rsid w:val="009D7C41"/>
    <w:rsid w:val="009E1064"/>
    <w:rsid w:val="009E16EB"/>
    <w:rsid w:val="009E2B27"/>
    <w:rsid w:val="009E35F2"/>
    <w:rsid w:val="009E3632"/>
    <w:rsid w:val="009E3652"/>
    <w:rsid w:val="009E4415"/>
    <w:rsid w:val="009E4566"/>
    <w:rsid w:val="009E5320"/>
    <w:rsid w:val="009E73E0"/>
    <w:rsid w:val="009E7611"/>
    <w:rsid w:val="009E7EBF"/>
    <w:rsid w:val="009E7EF9"/>
    <w:rsid w:val="009F07A5"/>
    <w:rsid w:val="009F07CA"/>
    <w:rsid w:val="009F1966"/>
    <w:rsid w:val="009F2697"/>
    <w:rsid w:val="009F2AD5"/>
    <w:rsid w:val="009F2DE1"/>
    <w:rsid w:val="009F30A3"/>
    <w:rsid w:val="009F32BA"/>
    <w:rsid w:val="009F356A"/>
    <w:rsid w:val="009F3652"/>
    <w:rsid w:val="009F4AF7"/>
    <w:rsid w:val="009F4C01"/>
    <w:rsid w:val="009F69C8"/>
    <w:rsid w:val="009F6E47"/>
    <w:rsid w:val="009F6E85"/>
    <w:rsid w:val="009F711D"/>
    <w:rsid w:val="009F778A"/>
    <w:rsid w:val="009F7D3B"/>
    <w:rsid w:val="00A003DB"/>
    <w:rsid w:val="00A00413"/>
    <w:rsid w:val="00A02883"/>
    <w:rsid w:val="00A048FF"/>
    <w:rsid w:val="00A04D3E"/>
    <w:rsid w:val="00A05141"/>
    <w:rsid w:val="00A076D0"/>
    <w:rsid w:val="00A07911"/>
    <w:rsid w:val="00A1081F"/>
    <w:rsid w:val="00A11451"/>
    <w:rsid w:val="00A119B2"/>
    <w:rsid w:val="00A1282E"/>
    <w:rsid w:val="00A132D6"/>
    <w:rsid w:val="00A13FCE"/>
    <w:rsid w:val="00A14738"/>
    <w:rsid w:val="00A14DF8"/>
    <w:rsid w:val="00A14FE7"/>
    <w:rsid w:val="00A15623"/>
    <w:rsid w:val="00A15702"/>
    <w:rsid w:val="00A16774"/>
    <w:rsid w:val="00A1706D"/>
    <w:rsid w:val="00A172B9"/>
    <w:rsid w:val="00A174E2"/>
    <w:rsid w:val="00A179B0"/>
    <w:rsid w:val="00A17DD1"/>
    <w:rsid w:val="00A201BB"/>
    <w:rsid w:val="00A2080E"/>
    <w:rsid w:val="00A20870"/>
    <w:rsid w:val="00A20C54"/>
    <w:rsid w:val="00A21DCD"/>
    <w:rsid w:val="00A22190"/>
    <w:rsid w:val="00A225E1"/>
    <w:rsid w:val="00A23337"/>
    <w:rsid w:val="00A23FDB"/>
    <w:rsid w:val="00A259AE"/>
    <w:rsid w:val="00A26929"/>
    <w:rsid w:val="00A27245"/>
    <w:rsid w:val="00A27F81"/>
    <w:rsid w:val="00A31797"/>
    <w:rsid w:val="00A31D42"/>
    <w:rsid w:val="00A33526"/>
    <w:rsid w:val="00A33A5F"/>
    <w:rsid w:val="00A33DBD"/>
    <w:rsid w:val="00A34044"/>
    <w:rsid w:val="00A340BC"/>
    <w:rsid w:val="00A34265"/>
    <w:rsid w:val="00A346C8"/>
    <w:rsid w:val="00A34C0A"/>
    <w:rsid w:val="00A3526A"/>
    <w:rsid w:val="00A35456"/>
    <w:rsid w:val="00A35FFA"/>
    <w:rsid w:val="00A36577"/>
    <w:rsid w:val="00A37216"/>
    <w:rsid w:val="00A37870"/>
    <w:rsid w:val="00A37DFD"/>
    <w:rsid w:val="00A40375"/>
    <w:rsid w:val="00A4072D"/>
    <w:rsid w:val="00A411C7"/>
    <w:rsid w:val="00A414CC"/>
    <w:rsid w:val="00A41935"/>
    <w:rsid w:val="00A419D2"/>
    <w:rsid w:val="00A41BAA"/>
    <w:rsid w:val="00A41D8E"/>
    <w:rsid w:val="00A41DEC"/>
    <w:rsid w:val="00A41FA5"/>
    <w:rsid w:val="00A425F7"/>
    <w:rsid w:val="00A42AEB"/>
    <w:rsid w:val="00A43091"/>
    <w:rsid w:val="00A4425A"/>
    <w:rsid w:val="00A44CD6"/>
    <w:rsid w:val="00A47846"/>
    <w:rsid w:val="00A5045A"/>
    <w:rsid w:val="00A5099F"/>
    <w:rsid w:val="00A511ED"/>
    <w:rsid w:val="00A5187E"/>
    <w:rsid w:val="00A51E8B"/>
    <w:rsid w:val="00A52ABB"/>
    <w:rsid w:val="00A52D18"/>
    <w:rsid w:val="00A535AF"/>
    <w:rsid w:val="00A54144"/>
    <w:rsid w:val="00A573AC"/>
    <w:rsid w:val="00A57400"/>
    <w:rsid w:val="00A57C46"/>
    <w:rsid w:val="00A60168"/>
    <w:rsid w:val="00A6151D"/>
    <w:rsid w:val="00A618DD"/>
    <w:rsid w:val="00A61AC1"/>
    <w:rsid w:val="00A63448"/>
    <w:rsid w:val="00A63ABC"/>
    <w:rsid w:val="00A648E1"/>
    <w:rsid w:val="00A64CA0"/>
    <w:rsid w:val="00A64E91"/>
    <w:rsid w:val="00A6515A"/>
    <w:rsid w:val="00A657A3"/>
    <w:rsid w:val="00A663F4"/>
    <w:rsid w:val="00A66730"/>
    <w:rsid w:val="00A66D8F"/>
    <w:rsid w:val="00A67154"/>
    <w:rsid w:val="00A672D3"/>
    <w:rsid w:val="00A67CA7"/>
    <w:rsid w:val="00A71448"/>
    <w:rsid w:val="00A72ADD"/>
    <w:rsid w:val="00A72F29"/>
    <w:rsid w:val="00A72FD9"/>
    <w:rsid w:val="00A7390B"/>
    <w:rsid w:val="00A74145"/>
    <w:rsid w:val="00A750EC"/>
    <w:rsid w:val="00A76AB0"/>
    <w:rsid w:val="00A76E0C"/>
    <w:rsid w:val="00A77572"/>
    <w:rsid w:val="00A81880"/>
    <w:rsid w:val="00A81CF4"/>
    <w:rsid w:val="00A81D07"/>
    <w:rsid w:val="00A82772"/>
    <w:rsid w:val="00A835C0"/>
    <w:rsid w:val="00A840F5"/>
    <w:rsid w:val="00A841EC"/>
    <w:rsid w:val="00A8433E"/>
    <w:rsid w:val="00A8486E"/>
    <w:rsid w:val="00A84F44"/>
    <w:rsid w:val="00A86AC5"/>
    <w:rsid w:val="00A86D71"/>
    <w:rsid w:val="00A87939"/>
    <w:rsid w:val="00A90929"/>
    <w:rsid w:val="00A913B2"/>
    <w:rsid w:val="00A91A72"/>
    <w:rsid w:val="00A91B44"/>
    <w:rsid w:val="00A91D43"/>
    <w:rsid w:val="00A942C1"/>
    <w:rsid w:val="00A94D8B"/>
    <w:rsid w:val="00A9529A"/>
    <w:rsid w:val="00A95763"/>
    <w:rsid w:val="00A95EB9"/>
    <w:rsid w:val="00A971E2"/>
    <w:rsid w:val="00A97EC7"/>
    <w:rsid w:val="00AA13FA"/>
    <w:rsid w:val="00AA1A3E"/>
    <w:rsid w:val="00AA1AD7"/>
    <w:rsid w:val="00AA1C9F"/>
    <w:rsid w:val="00AA2075"/>
    <w:rsid w:val="00AA2134"/>
    <w:rsid w:val="00AA2F7D"/>
    <w:rsid w:val="00AA34E5"/>
    <w:rsid w:val="00AA368F"/>
    <w:rsid w:val="00AA3BA2"/>
    <w:rsid w:val="00AA4813"/>
    <w:rsid w:val="00AA4947"/>
    <w:rsid w:val="00AA508F"/>
    <w:rsid w:val="00AA524D"/>
    <w:rsid w:val="00AA5A01"/>
    <w:rsid w:val="00AA5B6B"/>
    <w:rsid w:val="00AA64DE"/>
    <w:rsid w:val="00AA6555"/>
    <w:rsid w:val="00AA6D9A"/>
    <w:rsid w:val="00AA72B9"/>
    <w:rsid w:val="00AA7FA4"/>
    <w:rsid w:val="00AB1177"/>
    <w:rsid w:val="00AB15B2"/>
    <w:rsid w:val="00AB15FB"/>
    <w:rsid w:val="00AB1658"/>
    <w:rsid w:val="00AB19C8"/>
    <w:rsid w:val="00AB1CC3"/>
    <w:rsid w:val="00AB3345"/>
    <w:rsid w:val="00AB3AEF"/>
    <w:rsid w:val="00AB3B49"/>
    <w:rsid w:val="00AB4382"/>
    <w:rsid w:val="00AB5457"/>
    <w:rsid w:val="00AB5F33"/>
    <w:rsid w:val="00AB610F"/>
    <w:rsid w:val="00AB61F9"/>
    <w:rsid w:val="00AB66A9"/>
    <w:rsid w:val="00AB7356"/>
    <w:rsid w:val="00AB768D"/>
    <w:rsid w:val="00AB7FE4"/>
    <w:rsid w:val="00AC1389"/>
    <w:rsid w:val="00AC1CD9"/>
    <w:rsid w:val="00AC240B"/>
    <w:rsid w:val="00AC2E00"/>
    <w:rsid w:val="00AC38FD"/>
    <w:rsid w:val="00AC4307"/>
    <w:rsid w:val="00AC494B"/>
    <w:rsid w:val="00AC4CC1"/>
    <w:rsid w:val="00AC58BD"/>
    <w:rsid w:val="00AC5F7C"/>
    <w:rsid w:val="00AC669B"/>
    <w:rsid w:val="00AC6CC5"/>
    <w:rsid w:val="00AC75EC"/>
    <w:rsid w:val="00AC796D"/>
    <w:rsid w:val="00AC7B6F"/>
    <w:rsid w:val="00AC7C1D"/>
    <w:rsid w:val="00AD06F9"/>
    <w:rsid w:val="00AD0DD0"/>
    <w:rsid w:val="00AD111B"/>
    <w:rsid w:val="00AD18AA"/>
    <w:rsid w:val="00AD1EC4"/>
    <w:rsid w:val="00AD246B"/>
    <w:rsid w:val="00AD27D1"/>
    <w:rsid w:val="00AD2B50"/>
    <w:rsid w:val="00AD383B"/>
    <w:rsid w:val="00AD39EE"/>
    <w:rsid w:val="00AD3A5B"/>
    <w:rsid w:val="00AD3D9A"/>
    <w:rsid w:val="00AD500A"/>
    <w:rsid w:val="00AD5495"/>
    <w:rsid w:val="00AD56CC"/>
    <w:rsid w:val="00AD630F"/>
    <w:rsid w:val="00AD6FBD"/>
    <w:rsid w:val="00AD6FC6"/>
    <w:rsid w:val="00AD7010"/>
    <w:rsid w:val="00AD705E"/>
    <w:rsid w:val="00AD7870"/>
    <w:rsid w:val="00AD7C0F"/>
    <w:rsid w:val="00AE0559"/>
    <w:rsid w:val="00AE1358"/>
    <w:rsid w:val="00AE1ADE"/>
    <w:rsid w:val="00AE1EC1"/>
    <w:rsid w:val="00AE2ECC"/>
    <w:rsid w:val="00AE37CD"/>
    <w:rsid w:val="00AE3B5E"/>
    <w:rsid w:val="00AE54BD"/>
    <w:rsid w:val="00AE57A8"/>
    <w:rsid w:val="00AE6190"/>
    <w:rsid w:val="00AE694B"/>
    <w:rsid w:val="00AE6A17"/>
    <w:rsid w:val="00AE727D"/>
    <w:rsid w:val="00AE7F31"/>
    <w:rsid w:val="00AF007D"/>
    <w:rsid w:val="00AF1BAE"/>
    <w:rsid w:val="00AF2187"/>
    <w:rsid w:val="00AF2C2F"/>
    <w:rsid w:val="00AF2EBE"/>
    <w:rsid w:val="00AF3297"/>
    <w:rsid w:val="00AF44FA"/>
    <w:rsid w:val="00AF4610"/>
    <w:rsid w:val="00AF5729"/>
    <w:rsid w:val="00AF619C"/>
    <w:rsid w:val="00AF633A"/>
    <w:rsid w:val="00AF658B"/>
    <w:rsid w:val="00AF65F0"/>
    <w:rsid w:val="00AF6A9F"/>
    <w:rsid w:val="00B00D18"/>
    <w:rsid w:val="00B01584"/>
    <w:rsid w:val="00B01BB8"/>
    <w:rsid w:val="00B026AA"/>
    <w:rsid w:val="00B03A2F"/>
    <w:rsid w:val="00B056A8"/>
    <w:rsid w:val="00B0662F"/>
    <w:rsid w:val="00B07381"/>
    <w:rsid w:val="00B10DFB"/>
    <w:rsid w:val="00B11385"/>
    <w:rsid w:val="00B118B7"/>
    <w:rsid w:val="00B12148"/>
    <w:rsid w:val="00B13CEE"/>
    <w:rsid w:val="00B13F53"/>
    <w:rsid w:val="00B14F39"/>
    <w:rsid w:val="00B1556C"/>
    <w:rsid w:val="00B158F7"/>
    <w:rsid w:val="00B15C05"/>
    <w:rsid w:val="00B172B1"/>
    <w:rsid w:val="00B178E7"/>
    <w:rsid w:val="00B17DD8"/>
    <w:rsid w:val="00B2026D"/>
    <w:rsid w:val="00B20694"/>
    <w:rsid w:val="00B20957"/>
    <w:rsid w:val="00B22EC3"/>
    <w:rsid w:val="00B23240"/>
    <w:rsid w:val="00B239EA"/>
    <w:rsid w:val="00B24667"/>
    <w:rsid w:val="00B2503F"/>
    <w:rsid w:val="00B25B66"/>
    <w:rsid w:val="00B265E4"/>
    <w:rsid w:val="00B273B1"/>
    <w:rsid w:val="00B277F7"/>
    <w:rsid w:val="00B27ABB"/>
    <w:rsid w:val="00B30425"/>
    <w:rsid w:val="00B305FD"/>
    <w:rsid w:val="00B30A7B"/>
    <w:rsid w:val="00B310C1"/>
    <w:rsid w:val="00B31BE8"/>
    <w:rsid w:val="00B31D00"/>
    <w:rsid w:val="00B32576"/>
    <w:rsid w:val="00B32678"/>
    <w:rsid w:val="00B32DBD"/>
    <w:rsid w:val="00B3374C"/>
    <w:rsid w:val="00B3392B"/>
    <w:rsid w:val="00B35908"/>
    <w:rsid w:val="00B36E9B"/>
    <w:rsid w:val="00B378B5"/>
    <w:rsid w:val="00B4005A"/>
    <w:rsid w:val="00B40419"/>
    <w:rsid w:val="00B415A1"/>
    <w:rsid w:val="00B41800"/>
    <w:rsid w:val="00B41DF5"/>
    <w:rsid w:val="00B424F0"/>
    <w:rsid w:val="00B425F0"/>
    <w:rsid w:val="00B43B2D"/>
    <w:rsid w:val="00B464B5"/>
    <w:rsid w:val="00B472EF"/>
    <w:rsid w:val="00B477F7"/>
    <w:rsid w:val="00B47F1D"/>
    <w:rsid w:val="00B503A6"/>
    <w:rsid w:val="00B50428"/>
    <w:rsid w:val="00B506D0"/>
    <w:rsid w:val="00B52542"/>
    <w:rsid w:val="00B52E10"/>
    <w:rsid w:val="00B52E7E"/>
    <w:rsid w:val="00B54C01"/>
    <w:rsid w:val="00B55013"/>
    <w:rsid w:val="00B55CA2"/>
    <w:rsid w:val="00B56904"/>
    <w:rsid w:val="00B603D1"/>
    <w:rsid w:val="00B60961"/>
    <w:rsid w:val="00B60BEF"/>
    <w:rsid w:val="00B610A5"/>
    <w:rsid w:val="00B611F7"/>
    <w:rsid w:val="00B61E44"/>
    <w:rsid w:val="00B62520"/>
    <w:rsid w:val="00B632A7"/>
    <w:rsid w:val="00B63404"/>
    <w:rsid w:val="00B63741"/>
    <w:rsid w:val="00B63E16"/>
    <w:rsid w:val="00B63F35"/>
    <w:rsid w:val="00B642EB"/>
    <w:rsid w:val="00B65637"/>
    <w:rsid w:val="00B66252"/>
    <w:rsid w:val="00B6641A"/>
    <w:rsid w:val="00B666A5"/>
    <w:rsid w:val="00B67552"/>
    <w:rsid w:val="00B67655"/>
    <w:rsid w:val="00B676EF"/>
    <w:rsid w:val="00B72A1A"/>
    <w:rsid w:val="00B72C29"/>
    <w:rsid w:val="00B7346C"/>
    <w:rsid w:val="00B73602"/>
    <w:rsid w:val="00B7425E"/>
    <w:rsid w:val="00B76664"/>
    <w:rsid w:val="00B7778A"/>
    <w:rsid w:val="00B80442"/>
    <w:rsid w:val="00B808D9"/>
    <w:rsid w:val="00B80FFC"/>
    <w:rsid w:val="00B81779"/>
    <w:rsid w:val="00B82ACB"/>
    <w:rsid w:val="00B832F1"/>
    <w:rsid w:val="00B8367F"/>
    <w:rsid w:val="00B838F6"/>
    <w:rsid w:val="00B841C5"/>
    <w:rsid w:val="00B84B81"/>
    <w:rsid w:val="00B84C7A"/>
    <w:rsid w:val="00B84DF5"/>
    <w:rsid w:val="00B84E3F"/>
    <w:rsid w:val="00B84FEA"/>
    <w:rsid w:val="00B86086"/>
    <w:rsid w:val="00B863D2"/>
    <w:rsid w:val="00B879BD"/>
    <w:rsid w:val="00B87D1F"/>
    <w:rsid w:val="00B87F12"/>
    <w:rsid w:val="00B90830"/>
    <w:rsid w:val="00B91739"/>
    <w:rsid w:val="00B91DCE"/>
    <w:rsid w:val="00B921B9"/>
    <w:rsid w:val="00B92A0B"/>
    <w:rsid w:val="00B93913"/>
    <w:rsid w:val="00B93CBE"/>
    <w:rsid w:val="00B94235"/>
    <w:rsid w:val="00B94BD0"/>
    <w:rsid w:val="00B9506A"/>
    <w:rsid w:val="00B95537"/>
    <w:rsid w:val="00B95FF1"/>
    <w:rsid w:val="00B96793"/>
    <w:rsid w:val="00B96874"/>
    <w:rsid w:val="00B96C18"/>
    <w:rsid w:val="00B97212"/>
    <w:rsid w:val="00BA0960"/>
    <w:rsid w:val="00BA0B6A"/>
    <w:rsid w:val="00BA1211"/>
    <w:rsid w:val="00BA1311"/>
    <w:rsid w:val="00BA1CDF"/>
    <w:rsid w:val="00BA30AC"/>
    <w:rsid w:val="00BA329D"/>
    <w:rsid w:val="00BA336E"/>
    <w:rsid w:val="00BA3DBF"/>
    <w:rsid w:val="00BA3F28"/>
    <w:rsid w:val="00BA42BE"/>
    <w:rsid w:val="00BA48F5"/>
    <w:rsid w:val="00BA48FE"/>
    <w:rsid w:val="00BA4961"/>
    <w:rsid w:val="00BA4A9B"/>
    <w:rsid w:val="00BA6166"/>
    <w:rsid w:val="00BA6267"/>
    <w:rsid w:val="00BA66A5"/>
    <w:rsid w:val="00BA76E5"/>
    <w:rsid w:val="00BB0B7D"/>
    <w:rsid w:val="00BB13FC"/>
    <w:rsid w:val="00BB398C"/>
    <w:rsid w:val="00BB42CD"/>
    <w:rsid w:val="00BB4FA1"/>
    <w:rsid w:val="00BB583E"/>
    <w:rsid w:val="00BB7129"/>
    <w:rsid w:val="00BB7AB4"/>
    <w:rsid w:val="00BC149E"/>
    <w:rsid w:val="00BC2821"/>
    <w:rsid w:val="00BC4261"/>
    <w:rsid w:val="00BC5E82"/>
    <w:rsid w:val="00BC6E31"/>
    <w:rsid w:val="00BC7FE4"/>
    <w:rsid w:val="00BD01D5"/>
    <w:rsid w:val="00BD02EE"/>
    <w:rsid w:val="00BD0791"/>
    <w:rsid w:val="00BD185E"/>
    <w:rsid w:val="00BD1A9D"/>
    <w:rsid w:val="00BD1C85"/>
    <w:rsid w:val="00BD2D4B"/>
    <w:rsid w:val="00BD31D5"/>
    <w:rsid w:val="00BD42CB"/>
    <w:rsid w:val="00BD48B8"/>
    <w:rsid w:val="00BD57AE"/>
    <w:rsid w:val="00BD5A10"/>
    <w:rsid w:val="00BD5FD4"/>
    <w:rsid w:val="00BD6955"/>
    <w:rsid w:val="00BD6CDC"/>
    <w:rsid w:val="00BD6F33"/>
    <w:rsid w:val="00BD70BC"/>
    <w:rsid w:val="00BD7816"/>
    <w:rsid w:val="00BD7DC8"/>
    <w:rsid w:val="00BE05DC"/>
    <w:rsid w:val="00BE10BD"/>
    <w:rsid w:val="00BE23D1"/>
    <w:rsid w:val="00BE3043"/>
    <w:rsid w:val="00BE3FE5"/>
    <w:rsid w:val="00BE43A4"/>
    <w:rsid w:val="00BE4FE6"/>
    <w:rsid w:val="00BE566D"/>
    <w:rsid w:val="00BE5948"/>
    <w:rsid w:val="00BE5BFA"/>
    <w:rsid w:val="00BE664E"/>
    <w:rsid w:val="00BE68AA"/>
    <w:rsid w:val="00BE74AC"/>
    <w:rsid w:val="00BE7B57"/>
    <w:rsid w:val="00BE7C30"/>
    <w:rsid w:val="00BF1791"/>
    <w:rsid w:val="00BF1A58"/>
    <w:rsid w:val="00BF1B2D"/>
    <w:rsid w:val="00BF1FB7"/>
    <w:rsid w:val="00BF36A5"/>
    <w:rsid w:val="00BF455A"/>
    <w:rsid w:val="00BF45B5"/>
    <w:rsid w:val="00BF58EC"/>
    <w:rsid w:val="00C02616"/>
    <w:rsid w:val="00C02A2A"/>
    <w:rsid w:val="00C02E6B"/>
    <w:rsid w:val="00C034CC"/>
    <w:rsid w:val="00C03B2F"/>
    <w:rsid w:val="00C03D39"/>
    <w:rsid w:val="00C0414F"/>
    <w:rsid w:val="00C05FBB"/>
    <w:rsid w:val="00C061A0"/>
    <w:rsid w:val="00C06F2C"/>
    <w:rsid w:val="00C07783"/>
    <w:rsid w:val="00C07818"/>
    <w:rsid w:val="00C1046E"/>
    <w:rsid w:val="00C107E2"/>
    <w:rsid w:val="00C11555"/>
    <w:rsid w:val="00C11B29"/>
    <w:rsid w:val="00C130FF"/>
    <w:rsid w:val="00C13FED"/>
    <w:rsid w:val="00C14A03"/>
    <w:rsid w:val="00C16384"/>
    <w:rsid w:val="00C16720"/>
    <w:rsid w:val="00C16780"/>
    <w:rsid w:val="00C17734"/>
    <w:rsid w:val="00C20D9F"/>
    <w:rsid w:val="00C21007"/>
    <w:rsid w:val="00C2195A"/>
    <w:rsid w:val="00C21A43"/>
    <w:rsid w:val="00C21A7D"/>
    <w:rsid w:val="00C22F05"/>
    <w:rsid w:val="00C232F4"/>
    <w:rsid w:val="00C235E0"/>
    <w:rsid w:val="00C24118"/>
    <w:rsid w:val="00C247D5"/>
    <w:rsid w:val="00C26742"/>
    <w:rsid w:val="00C2751F"/>
    <w:rsid w:val="00C279AD"/>
    <w:rsid w:val="00C27A34"/>
    <w:rsid w:val="00C27AEB"/>
    <w:rsid w:val="00C305D9"/>
    <w:rsid w:val="00C307BF"/>
    <w:rsid w:val="00C30D5F"/>
    <w:rsid w:val="00C30E7C"/>
    <w:rsid w:val="00C311E9"/>
    <w:rsid w:val="00C31D1C"/>
    <w:rsid w:val="00C320FB"/>
    <w:rsid w:val="00C32491"/>
    <w:rsid w:val="00C34187"/>
    <w:rsid w:val="00C345B1"/>
    <w:rsid w:val="00C3482E"/>
    <w:rsid w:val="00C36C12"/>
    <w:rsid w:val="00C3742D"/>
    <w:rsid w:val="00C41653"/>
    <w:rsid w:val="00C41841"/>
    <w:rsid w:val="00C4202E"/>
    <w:rsid w:val="00C43021"/>
    <w:rsid w:val="00C43165"/>
    <w:rsid w:val="00C4352B"/>
    <w:rsid w:val="00C439C6"/>
    <w:rsid w:val="00C44A56"/>
    <w:rsid w:val="00C4589C"/>
    <w:rsid w:val="00C45F38"/>
    <w:rsid w:val="00C464B0"/>
    <w:rsid w:val="00C4652F"/>
    <w:rsid w:val="00C4676E"/>
    <w:rsid w:val="00C4748F"/>
    <w:rsid w:val="00C47653"/>
    <w:rsid w:val="00C47BDF"/>
    <w:rsid w:val="00C51735"/>
    <w:rsid w:val="00C5203B"/>
    <w:rsid w:val="00C52717"/>
    <w:rsid w:val="00C52C63"/>
    <w:rsid w:val="00C535B6"/>
    <w:rsid w:val="00C53778"/>
    <w:rsid w:val="00C54A7A"/>
    <w:rsid w:val="00C54A82"/>
    <w:rsid w:val="00C55003"/>
    <w:rsid w:val="00C55F58"/>
    <w:rsid w:val="00C567B5"/>
    <w:rsid w:val="00C571A4"/>
    <w:rsid w:val="00C571BB"/>
    <w:rsid w:val="00C579B3"/>
    <w:rsid w:val="00C6033E"/>
    <w:rsid w:val="00C61413"/>
    <w:rsid w:val="00C61797"/>
    <w:rsid w:val="00C63526"/>
    <w:rsid w:val="00C63C0D"/>
    <w:rsid w:val="00C63DC8"/>
    <w:rsid w:val="00C63F34"/>
    <w:rsid w:val="00C64396"/>
    <w:rsid w:val="00C64780"/>
    <w:rsid w:val="00C654DA"/>
    <w:rsid w:val="00C65DE7"/>
    <w:rsid w:val="00C66552"/>
    <w:rsid w:val="00C66AC2"/>
    <w:rsid w:val="00C6746F"/>
    <w:rsid w:val="00C6765B"/>
    <w:rsid w:val="00C70B1C"/>
    <w:rsid w:val="00C71B91"/>
    <w:rsid w:val="00C7200F"/>
    <w:rsid w:val="00C72BF8"/>
    <w:rsid w:val="00C7329C"/>
    <w:rsid w:val="00C73C0A"/>
    <w:rsid w:val="00C73E53"/>
    <w:rsid w:val="00C7436A"/>
    <w:rsid w:val="00C74825"/>
    <w:rsid w:val="00C7497E"/>
    <w:rsid w:val="00C7519A"/>
    <w:rsid w:val="00C752FF"/>
    <w:rsid w:val="00C756AC"/>
    <w:rsid w:val="00C75FB8"/>
    <w:rsid w:val="00C76115"/>
    <w:rsid w:val="00C77007"/>
    <w:rsid w:val="00C772DB"/>
    <w:rsid w:val="00C8328E"/>
    <w:rsid w:val="00C83B49"/>
    <w:rsid w:val="00C83C13"/>
    <w:rsid w:val="00C83CA2"/>
    <w:rsid w:val="00C84BF1"/>
    <w:rsid w:val="00C84CA0"/>
    <w:rsid w:val="00C856EF"/>
    <w:rsid w:val="00C8715C"/>
    <w:rsid w:val="00C87558"/>
    <w:rsid w:val="00C878DD"/>
    <w:rsid w:val="00C879B9"/>
    <w:rsid w:val="00C87B51"/>
    <w:rsid w:val="00C90073"/>
    <w:rsid w:val="00C91E33"/>
    <w:rsid w:val="00C930F2"/>
    <w:rsid w:val="00C93291"/>
    <w:rsid w:val="00C9363E"/>
    <w:rsid w:val="00C93BE1"/>
    <w:rsid w:val="00C94322"/>
    <w:rsid w:val="00C94844"/>
    <w:rsid w:val="00C9515D"/>
    <w:rsid w:val="00C954F3"/>
    <w:rsid w:val="00C9565B"/>
    <w:rsid w:val="00C95996"/>
    <w:rsid w:val="00C95C93"/>
    <w:rsid w:val="00C95D05"/>
    <w:rsid w:val="00C9615A"/>
    <w:rsid w:val="00C96C17"/>
    <w:rsid w:val="00C979C1"/>
    <w:rsid w:val="00C97ACE"/>
    <w:rsid w:val="00C97CFE"/>
    <w:rsid w:val="00CA0EB2"/>
    <w:rsid w:val="00CA0FDF"/>
    <w:rsid w:val="00CA1A81"/>
    <w:rsid w:val="00CA1C25"/>
    <w:rsid w:val="00CA24B6"/>
    <w:rsid w:val="00CA5CDB"/>
    <w:rsid w:val="00CA638D"/>
    <w:rsid w:val="00CA6460"/>
    <w:rsid w:val="00CA7064"/>
    <w:rsid w:val="00CA7264"/>
    <w:rsid w:val="00CA7AEF"/>
    <w:rsid w:val="00CB128E"/>
    <w:rsid w:val="00CB13D5"/>
    <w:rsid w:val="00CB1D35"/>
    <w:rsid w:val="00CB27B4"/>
    <w:rsid w:val="00CB287D"/>
    <w:rsid w:val="00CB2A3D"/>
    <w:rsid w:val="00CB3ADA"/>
    <w:rsid w:val="00CB47D2"/>
    <w:rsid w:val="00CB651C"/>
    <w:rsid w:val="00CB6646"/>
    <w:rsid w:val="00CB68C3"/>
    <w:rsid w:val="00CB73CB"/>
    <w:rsid w:val="00CC0456"/>
    <w:rsid w:val="00CC09BA"/>
    <w:rsid w:val="00CC1B95"/>
    <w:rsid w:val="00CC2849"/>
    <w:rsid w:val="00CC29A4"/>
    <w:rsid w:val="00CC340E"/>
    <w:rsid w:val="00CC533C"/>
    <w:rsid w:val="00CC586B"/>
    <w:rsid w:val="00CC6C23"/>
    <w:rsid w:val="00CC7FD9"/>
    <w:rsid w:val="00CD02C3"/>
    <w:rsid w:val="00CD05F9"/>
    <w:rsid w:val="00CD0830"/>
    <w:rsid w:val="00CD1447"/>
    <w:rsid w:val="00CD1C26"/>
    <w:rsid w:val="00CD1DC4"/>
    <w:rsid w:val="00CD2727"/>
    <w:rsid w:val="00CD3FFF"/>
    <w:rsid w:val="00CD584B"/>
    <w:rsid w:val="00CD6552"/>
    <w:rsid w:val="00CD679A"/>
    <w:rsid w:val="00CD6C08"/>
    <w:rsid w:val="00CD7040"/>
    <w:rsid w:val="00CE0762"/>
    <w:rsid w:val="00CE0C4F"/>
    <w:rsid w:val="00CE387A"/>
    <w:rsid w:val="00CE3F40"/>
    <w:rsid w:val="00CE4038"/>
    <w:rsid w:val="00CE422A"/>
    <w:rsid w:val="00CE47F1"/>
    <w:rsid w:val="00CE4A5E"/>
    <w:rsid w:val="00CE4BF1"/>
    <w:rsid w:val="00CE4E1C"/>
    <w:rsid w:val="00CE5341"/>
    <w:rsid w:val="00CE5737"/>
    <w:rsid w:val="00CE62B8"/>
    <w:rsid w:val="00CE7AB8"/>
    <w:rsid w:val="00CE7E86"/>
    <w:rsid w:val="00CF04EB"/>
    <w:rsid w:val="00CF20B8"/>
    <w:rsid w:val="00CF305B"/>
    <w:rsid w:val="00CF37B9"/>
    <w:rsid w:val="00CF39FB"/>
    <w:rsid w:val="00CF3CED"/>
    <w:rsid w:val="00CF406E"/>
    <w:rsid w:val="00CF415D"/>
    <w:rsid w:val="00CF47DD"/>
    <w:rsid w:val="00CF48AC"/>
    <w:rsid w:val="00CF4A4E"/>
    <w:rsid w:val="00CF4CFD"/>
    <w:rsid w:val="00CF5838"/>
    <w:rsid w:val="00CF5A9E"/>
    <w:rsid w:val="00CF66FD"/>
    <w:rsid w:val="00CF7BA2"/>
    <w:rsid w:val="00CF7E96"/>
    <w:rsid w:val="00D00940"/>
    <w:rsid w:val="00D00D3E"/>
    <w:rsid w:val="00D01EAE"/>
    <w:rsid w:val="00D02744"/>
    <w:rsid w:val="00D036CD"/>
    <w:rsid w:val="00D0393D"/>
    <w:rsid w:val="00D03B0E"/>
    <w:rsid w:val="00D04183"/>
    <w:rsid w:val="00D04262"/>
    <w:rsid w:val="00D04929"/>
    <w:rsid w:val="00D04A5B"/>
    <w:rsid w:val="00D04A6B"/>
    <w:rsid w:val="00D04C29"/>
    <w:rsid w:val="00D051D7"/>
    <w:rsid w:val="00D05BAD"/>
    <w:rsid w:val="00D05BC4"/>
    <w:rsid w:val="00D05BFF"/>
    <w:rsid w:val="00D0664B"/>
    <w:rsid w:val="00D06892"/>
    <w:rsid w:val="00D07302"/>
    <w:rsid w:val="00D07357"/>
    <w:rsid w:val="00D077FC"/>
    <w:rsid w:val="00D104F1"/>
    <w:rsid w:val="00D10D03"/>
    <w:rsid w:val="00D10E02"/>
    <w:rsid w:val="00D10FAD"/>
    <w:rsid w:val="00D11C74"/>
    <w:rsid w:val="00D131FD"/>
    <w:rsid w:val="00D1367A"/>
    <w:rsid w:val="00D142F7"/>
    <w:rsid w:val="00D147B7"/>
    <w:rsid w:val="00D1667A"/>
    <w:rsid w:val="00D16C93"/>
    <w:rsid w:val="00D176D9"/>
    <w:rsid w:val="00D207EB"/>
    <w:rsid w:val="00D20BE8"/>
    <w:rsid w:val="00D2130A"/>
    <w:rsid w:val="00D213EC"/>
    <w:rsid w:val="00D21F09"/>
    <w:rsid w:val="00D221D0"/>
    <w:rsid w:val="00D22457"/>
    <w:rsid w:val="00D22862"/>
    <w:rsid w:val="00D22CD2"/>
    <w:rsid w:val="00D239A3"/>
    <w:rsid w:val="00D252E6"/>
    <w:rsid w:val="00D2561B"/>
    <w:rsid w:val="00D2565F"/>
    <w:rsid w:val="00D268B1"/>
    <w:rsid w:val="00D26BB2"/>
    <w:rsid w:val="00D27276"/>
    <w:rsid w:val="00D27540"/>
    <w:rsid w:val="00D316F6"/>
    <w:rsid w:val="00D3207D"/>
    <w:rsid w:val="00D32CA6"/>
    <w:rsid w:val="00D33358"/>
    <w:rsid w:val="00D333F2"/>
    <w:rsid w:val="00D33630"/>
    <w:rsid w:val="00D340D9"/>
    <w:rsid w:val="00D3551F"/>
    <w:rsid w:val="00D35880"/>
    <w:rsid w:val="00D359B5"/>
    <w:rsid w:val="00D35EB8"/>
    <w:rsid w:val="00D36975"/>
    <w:rsid w:val="00D37777"/>
    <w:rsid w:val="00D3787B"/>
    <w:rsid w:val="00D37A81"/>
    <w:rsid w:val="00D37D05"/>
    <w:rsid w:val="00D37DAB"/>
    <w:rsid w:val="00D40102"/>
    <w:rsid w:val="00D40945"/>
    <w:rsid w:val="00D40C50"/>
    <w:rsid w:val="00D41471"/>
    <w:rsid w:val="00D416F5"/>
    <w:rsid w:val="00D4229C"/>
    <w:rsid w:val="00D42D97"/>
    <w:rsid w:val="00D44B4C"/>
    <w:rsid w:val="00D45A34"/>
    <w:rsid w:val="00D45BB9"/>
    <w:rsid w:val="00D46D6D"/>
    <w:rsid w:val="00D47B47"/>
    <w:rsid w:val="00D47C5A"/>
    <w:rsid w:val="00D50EA1"/>
    <w:rsid w:val="00D50F8F"/>
    <w:rsid w:val="00D5130C"/>
    <w:rsid w:val="00D52603"/>
    <w:rsid w:val="00D52E97"/>
    <w:rsid w:val="00D5342A"/>
    <w:rsid w:val="00D54A02"/>
    <w:rsid w:val="00D55B6A"/>
    <w:rsid w:val="00D55BF5"/>
    <w:rsid w:val="00D56709"/>
    <w:rsid w:val="00D576C1"/>
    <w:rsid w:val="00D60250"/>
    <w:rsid w:val="00D606BD"/>
    <w:rsid w:val="00D60BD9"/>
    <w:rsid w:val="00D62217"/>
    <w:rsid w:val="00D6271F"/>
    <w:rsid w:val="00D63C1B"/>
    <w:rsid w:val="00D64832"/>
    <w:rsid w:val="00D64C3A"/>
    <w:rsid w:val="00D6528B"/>
    <w:rsid w:val="00D65689"/>
    <w:rsid w:val="00D65F81"/>
    <w:rsid w:val="00D65FEB"/>
    <w:rsid w:val="00D66144"/>
    <w:rsid w:val="00D67DBE"/>
    <w:rsid w:val="00D7009A"/>
    <w:rsid w:val="00D706A0"/>
    <w:rsid w:val="00D71367"/>
    <w:rsid w:val="00D71831"/>
    <w:rsid w:val="00D71A81"/>
    <w:rsid w:val="00D735D1"/>
    <w:rsid w:val="00D73C9B"/>
    <w:rsid w:val="00D74174"/>
    <w:rsid w:val="00D741B6"/>
    <w:rsid w:val="00D74299"/>
    <w:rsid w:val="00D746CA"/>
    <w:rsid w:val="00D74C0C"/>
    <w:rsid w:val="00D74C91"/>
    <w:rsid w:val="00D74C92"/>
    <w:rsid w:val="00D74E2F"/>
    <w:rsid w:val="00D755B6"/>
    <w:rsid w:val="00D768F0"/>
    <w:rsid w:val="00D7722B"/>
    <w:rsid w:val="00D775F3"/>
    <w:rsid w:val="00D8037A"/>
    <w:rsid w:val="00D80BB6"/>
    <w:rsid w:val="00D80C77"/>
    <w:rsid w:val="00D81291"/>
    <w:rsid w:val="00D82946"/>
    <w:rsid w:val="00D8347A"/>
    <w:rsid w:val="00D83770"/>
    <w:rsid w:val="00D84FCA"/>
    <w:rsid w:val="00D8540A"/>
    <w:rsid w:val="00D8597B"/>
    <w:rsid w:val="00D859A4"/>
    <w:rsid w:val="00D85B57"/>
    <w:rsid w:val="00D85B80"/>
    <w:rsid w:val="00D860AB"/>
    <w:rsid w:val="00D86764"/>
    <w:rsid w:val="00D908E4"/>
    <w:rsid w:val="00D916C6"/>
    <w:rsid w:val="00D9172E"/>
    <w:rsid w:val="00D91840"/>
    <w:rsid w:val="00D91D1B"/>
    <w:rsid w:val="00D91D92"/>
    <w:rsid w:val="00D92FF3"/>
    <w:rsid w:val="00D93198"/>
    <w:rsid w:val="00D93225"/>
    <w:rsid w:val="00D93FB8"/>
    <w:rsid w:val="00D94495"/>
    <w:rsid w:val="00D94F1F"/>
    <w:rsid w:val="00D9501E"/>
    <w:rsid w:val="00D95CC7"/>
    <w:rsid w:val="00D95D82"/>
    <w:rsid w:val="00D976AE"/>
    <w:rsid w:val="00DA0001"/>
    <w:rsid w:val="00DA090B"/>
    <w:rsid w:val="00DA1E4A"/>
    <w:rsid w:val="00DA1EEC"/>
    <w:rsid w:val="00DA3D09"/>
    <w:rsid w:val="00DA5907"/>
    <w:rsid w:val="00DA672C"/>
    <w:rsid w:val="00DA6EA6"/>
    <w:rsid w:val="00DA78F0"/>
    <w:rsid w:val="00DA7A23"/>
    <w:rsid w:val="00DA7A72"/>
    <w:rsid w:val="00DB0B33"/>
    <w:rsid w:val="00DB10F4"/>
    <w:rsid w:val="00DB1439"/>
    <w:rsid w:val="00DB2527"/>
    <w:rsid w:val="00DB26A3"/>
    <w:rsid w:val="00DB2869"/>
    <w:rsid w:val="00DB2CCE"/>
    <w:rsid w:val="00DB36BC"/>
    <w:rsid w:val="00DB3B60"/>
    <w:rsid w:val="00DB3ECE"/>
    <w:rsid w:val="00DB4113"/>
    <w:rsid w:val="00DB43C0"/>
    <w:rsid w:val="00DB4925"/>
    <w:rsid w:val="00DB4CBD"/>
    <w:rsid w:val="00DB4F91"/>
    <w:rsid w:val="00DB5C93"/>
    <w:rsid w:val="00DB6DBD"/>
    <w:rsid w:val="00DB6E68"/>
    <w:rsid w:val="00DB6E78"/>
    <w:rsid w:val="00DB7CF3"/>
    <w:rsid w:val="00DB7F2F"/>
    <w:rsid w:val="00DC1241"/>
    <w:rsid w:val="00DC15E6"/>
    <w:rsid w:val="00DC1D77"/>
    <w:rsid w:val="00DC207E"/>
    <w:rsid w:val="00DC2DA1"/>
    <w:rsid w:val="00DC32F4"/>
    <w:rsid w:val="00DC3ABD"/>
    <w:rsid w:val="00DC3FAD"/>
    <w:rsid w:val="00DC43DD"/>
    <w:rsid w:val="00DC493B"/>
    <w:rsid w:val="00DC5172"/>
    <w:rsid w:val="00DC5306"/>
    <w:rsid w:val="00DC53F0"/>
    <w:rsid w:val="00DC5667"/>
    <w:rsid w:val="00DC60FA"/>
    <w:rsid w:val="00DC62AB"/>
    <w:rsid w:val="00DD045A"/>
    <w:rsid w:val="00DD180A"/>
    <w:rsid w:val="00DD3DC1"/>
    <w:rsid w:val="00DD3E6B"/>
    <w:rsid w:val="00DD462A"/>
    <w:rsid w:val="00DD57CC"/>
    <w:rsid w:val="00DD5A3D"/>
    <w:rsid w:val="00DD6214"/>
    <w:rsid w:val="00DD658B"/>
    <w:rsid w:val="00DD6D9C"/>
    <w:rsid w:val="00DD7460"/>
    <w:rsid w:val="00DD79F9"/>
    <w:rsid w:val="00DE0797"/>
    <w:rsid w:val="00DE1CF8"/>
    <w:rsid w:val="00DE1D21"/>
    <w:rsid w:val="00DE1ED9"/>
    <w:rsid w:val="00DE1FC5"/>
    <w:rsid w:val="00DE243C"/>
    <w:rsid w:val="00DE29CA"/>
    <w:rsid w:val="00DE3ED6"/>
    <w:rsid w:val="00DE4459"/>
    <w:rsid w:val="00DE5052"/>
    <w:rsid w:val="00DE6867"/>
    <w:rsid w:val="00DE744A"/>
    <w:rsid w:val="00DE7B39"/>
    <w:rsid w:val="00DF1581"/>
    <w:rsid w:val="00DF2745"/>
    <w:rsid w:val="00DF368D"/>
    <w:rsid w:val="00DF4CD8"/>
    <w:rsid w:val="00DF4EDA"/>
    <w:rsid w:val="00DF53A6"/>
    <w:rsid w:val="00DF6172"/>
    <w:rsid w:val="00DF61DA"/>
    <w:rsid w:val="00DF7151"/>
    <w:rsid w:val="00DF7931"/>
    <w:rsid w:val="00DF7C20"/>
    <w:rsid w:val="00E00288"/>
    <w:rsid w:val="00E00A37"/>
    <w:rsid w:val="00E036FA"/>
    <w:rsid w:val="00E03D2F"/>
    <w:rsid w:val="00E05460"/>
    <w:rsid w:val="00E055B5"/>
    <w:rsid w:val="00E06E5B"/>
    <w:rsid w:val="00E06F0D"/>
    <w:rsid w:val="00E079A5"/>
    <w:rsid w:val="00E07AF7"/>
    <w:rsid w:val="00E10E45"/>
    <w:rsid w:val="00E11281"/>
    <w:rsid w:val="00E1201C"/>
    <w:rsid w:val="00E12086"/>
    <w:rsid w:val="00E12105"/>
    <w:rsid w:val="00E133F4"/>
    <w:rsid w:val="00E1482E"/>
    <w:rsid w:val="00E148C3"/>
    <w:rsid w:val="00E151A2"/>
    <w:rsid w:val="00E1666A"/>
    <w:rsid w:val="00E1720C"/>
    <w:rsid w:val="00E17D04"/>
    <w:rsid w:val="00E17F29"/>
    <w:rsid w:val="00E200D4"/>
    <w:rsid w:val="00E20127"/>
    <w:rsid w:val="00E20875"/>
    <w:rsid w:val="00E22DF6"/>
    <w:rsid w:val="00E23105"/>
    <w:rsid w:val="00E23F4C"/>
    <w:rsid w:val="00E25D38"/>
    <w:rsid w:val="00E25E7D"/>
    <w:rsid w:val="00E25E84"/>
    <w:rsid w:val="00E261A6"/>
    <w:rsid w:val="00E27280"/>
    <w:rsid w:val="00E27329"/>
    <w:rsid w:val="00E2783C"/>
    <w:rsid w:val="00E278FB"/>
    <w:rsid w:val="00E3075C"/>
    <w:rsid w:val="00E31AE1"/>
    <w:rsid w:val="00E31B6F"/>
    <w:rsid w:val="00E31EE4"/>
    <w:rsid w:val="00E32651"/>
    <w:rsid w:val="00E3277E"/>
    <w:rsid w:val="00E343F6"/>
    <w:rsid w:val="00E3449A"/>
    <w:rsid w:val="00E35F28"/>
    <w:rsid w:val="00E360CE"/>
    <w:rsid w:val="00E36B0C"/>
    <w:rsid w:val="00E36D19"/>
    <w:rsid w:val="00E371A8"/>
    <w:rsid w:val="00E40B1C"/>
    <w:rsid w:val="00E42542"/>
    <w:rsid w:val="00E42B2D"/>
    <w:rsid w:val="00E4308A"/>
    <w:rsid w:val="00E43E31"/>
    <w:rsid w:val="00E43E62"/>
    <w:rsid w:val="00E441A3"/>
    <w:rsid w:val="00E45055"/>
    <w:rsid w:val="00E45D58"/>
    <w:rsid w:val="00E45FC7"/>
    <w:rsid w:val="00E45FEB"/>
    <w:rsid w:val="00E46001"/>
    <w:rsid w:val="00E461D7"/>
    <w:rsid w:val="00E47DCF"/>
    <w:rsid w:val="00E50A1E"/>
    <w:rsid w:val="00E50C87"/>
    <w:rsid w:val="00E5150C"/>
    <w:rsid w:val="00E51806"/>
    <w:rsid w:val="00E52D5F"/>
    <w:rsid w:val="00E52D70"/>
    <w:rsid w:val="00E54331"/>
    <w:rsid w:val="00E54E1C"/>
    <w:rsid w:val="00E552CF"/>
    <w:rsid w:val="00E55C09"/>
    <w:rsid w:val="00E56A28"/>
    <w:rsid w:val="00E56F26"/>
    <w:rsid w:val="00E56FAA"/>
    <w:rsid w:val="00E57A1C"/>
    <w:rsid w:val="00E57CB4"/>
    <w:rsid w:val="00E61813"/>
    <w:rsid w:val="00E6186B"/>
    <w:rsid w:val="00E61A9C"/>
    <w:rsid w:val="00E61C58"/>
    <w:rsid w:val="00E62259"/>
    <w:rsid w:val="00E6276E"/>
    <w:rsid w:val="00E62D7D"/>
    <w:rsid w:val="00E632DE"/>
    <w:rsid w:val="00E64AA4"/>
    <w:rsid w:val="00E65D34"/>
    <w:rsid w:val="00E666D8"/>
    <w:rsid w:val="00E66A60"/>
    <w:rsid w:val="00E67AE8"/>
    <w:rsid w:val="00E70F36"/>
    <w:rsid w:val="00E71E8C"/>
    <w:rsid w:val="00E723E9"/>
    <w:rsid w:val="00E72462"/>
    <w:rsid w:val="00E72486"/>
    <w:rsid w:val="00E73624"/>
    <w:rsid w:val="00E73730"/>
    <w:rsid w:val="00E73CEE"/>
    <w:rsid w:val="00E73DB6"/>
    <w:rsid w:val="00E7477E"/>
    <w:rsid w:val="00E76245"/>
    <w:rsid w:val="00E769A6"/>
    <w:rsid w:val="00E77253"/>
    <w:rsid w:val="00E77F56"/>
    <w:rsid w:val="00E80E82"/>
    <w:rsid w:val="00E822D2"/>
    <w:rsid w:val="00E823B6"/>
    <w:rsid w:val="00E82BD7"/>
    <w:rsid w:val="00E85ECE"/>
    <w:rsid w:val="00E86520"/>
    <w:rsid w:val="00E879B7"/>
    <w:rsid w:val="00E909AF"/>
    <w:rsid w:val="00E909F7"/>
    <w:rsid w:val="00E91250"/>
    <w:rsid w:val="00E91411"/>
    <w:rsid w:val="00E914C6"/>
    <w:rsid w:val="00E91727"/>
    <w:rsid w:val="00E924B8"/>
    <w:rsid w:val="00E92EB1"/>
    <w:rsid w:val="00E93391"/>
    <w:rsid w:val="00E9345A"/>
    <w:rsid w:val="00E93824"/>
    <w:rsid w:val="00E94FB6"/>
    <w:rsid w:val="00E95035"/>
    <w:rsid w:val="00E978DD"/>
    <w:rsid w:val="00EA025A"/>
    <w:rsid w:val="00EA0C7A"/>
    <w:rsid w:val="00EA1580"/>
    <w:rsid w:val="00EA1687"/>
    <w:rsid w:val="00EA1995"/>
    <w:rsid w:val="00EA21FF"/>
    <w:rsid w:val="00EA259F"/>
    <w:rsid w:val="00EA29EC"/>
    <w:rsid w:val="00EA4203"/>
    <w:rsid w:val="00EA468D"/>
    <w:rsid w:val="00EA4755"/>
    <w:rsid w:val="00EA49D6"/>
    <w:rsid w:val="00EA6C42"/>
    <w:rsid w:val="00EA6C75"/>
    <w:rsid w:val="00EA746B"/>
    <w:rsid w:val="00EA75E2"/>
    <w:rsid w:val="00EB1986"/>
    <w:rsid w:val="00EB2AFB"/>
    <w:rsid w:val="00EB3162"/>
    <w:rsid w:val="00EB3317"/>
    <w:rsid w:val="00EB3B24"/>
    <w:rsid w:val="00EB41F1"/>
    <w:rsid w:val="00EB44F3"/>
    <w:rsid w:val="00EB4721"/>
    <w:rsid w:val="00EB4ED4"/>
    <w:rsid w:val="00EB5198"/>
    <w:rsid w:val="00EB5525"/>
    <w:rsid w:val="00EB5F85"/>
    <w:rsid w:val="00EB673E"/>
    <w:rsid w:val="00EC05BD"/>
    <w:rsid w:val="00EC0705"/>
    <w:rsid w:val="00EC175F"/>
    <w:rsid w:val="00EC2950"/>
    <w:rsid w:val="00EC2A99"/>
    <w:rsid w:val="00EC2D3F"/>
    <w:rsid w:val="00EC2D4C"/>
    <w:rsid w:val="00EC2FD7"/>
    <w:rsid w:val="00EC41D2"/>
    <w:rsid w:val="00EC4C1D"/>
    <w:rsid w:val="00EC511A"/>
    <w:rsid w:val="00EC6014"/>
    <w:rsid w:val="00EC6451"/>
    <w:rsid w:val="00EC77FE"/>
    <w:rsid w:val="00ED06D9"/>
    <w:rsid w:val="00ED0CFD"/>
    <w:rsid w:val="00ED1D1B"/>
    <w:rsid w:val="00ED230D"/>
    <w:rsid w:val="00ED2338"/>
    <w:rsid w:val="00ED3FFD"/>
    <w:rsid w:val="00ED4AD9"/>
    <w:rsid w:val="00ED4CAE"/>
    <w:rsid w:val="00ED5400"/>
    <w:rsid w:val="00ED7041"/>
    <w:rsid w:val="00ED738E"/>
    <w:rsid w:val="00ED7BC0"/>
    <w:rsid w:val="00ED7C18"/>
    <w:rsid w:val="00EE194F"/>
    <w:rsid w:val="00EE1C7C"/>
    <w:rsid w:val="00EE2508"/>
    <w:rsid w:val="00EE2BA9"/>
    <w:rsid w:val="00EE3399"/>
    <w:rsid w:val="00EE3D68"/>
    <w:rsid w:val="00EE3E85"/>
    <w:rsid w:val="00EE4199"/>
    <w:rsid w:val="00EE4B3C"/>
    <w:rsid w:val="00EE55F1"/>
    <w:rsid w:val="00EE6498"/>
    <w:rsid w:val="00EE6EF3"/>
    <w:rsid w:val="00EF050B"/>
    <w:rsid w:val="00EF074B"/>
    <w:rsid w:val="00EF113C"/>
    <w:rsid w:val="00EF1F29"/>
    <w:rsid w:val="00EF28B4"/>
    <w:rsid w:val="00EF2D16"/>
    <w:rsid w:val="00EF309E"/>
    <w:rsid w:val="00EF51CA"/>
    <w:rsid w:val="00EF5490"/>
    <w:rsid w:val="00EF5782"/>
    <w:rsid w:val="00EF5785"/>
    <w:rsid w:val="00EF5DAC"/>
    <w:rsid w:val="00EF5E92"/>
    <w:rsid w:val="00EF5E94"/>
    <w:rsid w:val="00EF63A9"/>
    <w:rsid w:val="00EF6AE2"/>
    <w:rsid w:val="00EF7287"/>
    <w:rsid w:val="00EF776E"/>
    <w:rsid w:val="00F003ED"/>
    <w:rsid w:val="00F022C4"/>
    <w:rsid w:val="00F02D60"/>
    <w:rsid w:val="00F03D17"/>
    <w:rsid w:val="00F0571F"/>
    <w:rsid w:val="00F05BE4"/>
    <w:rsid w:val="00F06AFF"/>
    <w:rsid w:val="00F07561"/>
    <w:rsid w:val="00F075B0"/>
    <w:rsid w:val="00F07940"/>
    <w:rsid w:val="00F07A7E"/>
    <w:rsid w:val="00F07C41"/>
    <w:rsid w:val="00F10387"/>
    <w:rsid w:val="00F10F21"/>
    <w:rsid w:val="00F12281"/>
    <w:rsid w:val="00F122B1"/>
    <w:rsid w:val="00F1318C"/>
    <w:rsid w:val="00F1376A"/>
    <w:rsid w:val="00F13EC2"/>
    <w:rsid w:val="00F152C6"/>
    <w:rsid w:val="00F15494"/>
    <w:rsid w:val="00F15B82"/>
    <w:rsid w:val="00F15F90"/>
    <w:rsid w:val="00F16660"/>
    <w:rsid w:val="00F1684F"/>
    <w:rsid w:val="00F16FC3"/>
    <w:rsid w:val="00F1779F"/>
    <w:rsid w:val="00F2094C"/>
    <w:rsid w:val="00F210D2"/>
    <w:rsid w:val="00F21E70"/>
    <w:rsid w:val="00F21EDC"/>
    <w:rsid w:val="00F21F22"/>
    <w:rsid w:val="00F2225C"/>
    <w:rsid w:val="00F22F31"/>
    <w:rsid w:val="00F2380D"/>
    <w:rsid w:val="00F23CEE"/>
    <w:rsid w:val="00F25F79"/>
    <w:rsid w:val="00F264A7"/>
    <w:rsid w:val="00F266AD"/>
    <w:rsid w:val="00F27977"/>
    <w:rsid w:val="00F3289D"/>
    <w:rsid w:val="00F33B6D"/>
    <w:rsid w:val="00F3407D"/>
    <w:rsid w:val="00F35C04"/>
    <w:rsid w:val="00F35D20"/>
    <w:rsid w:val="00F372E2"/>
    <w:rsid w:val="00F373AA"/>
    <w:rsid w:val="00F37510"/>
    <w:rsid w:val="00F37C2B"/>
    <w:rsid w:val="00F37FDA"/>
    <w:rsid w:val="00F406C4"/>
    <w:rsid w:val="00F4138E"/>
    <w:rsid w:val="00F41F8C"/>
    <w:rsid w:val="00F43147"/>
    <w:rsid w:val="00F43319"/>
    <w:rsid w:val="00F443DB"/>
    <w:rsid w:val="00F44A2C"/>
    <w:rsid w:val="00F45E49"/>
    <w:rsid w:val="00F45FB1"/>
    <w:rsid w:val="00F46321"/>
    <w:rsid w:val="00F46F80"/>
    <w:rsid w:val="00F479D2"/>
    <w:rsid w:val="00F50B43"/>
    <w:rsid w:val="00F50EFE"/>
    <w:rsid w:val="00F50F66"/>
    <w:rsid w:val="00F51217"/>
    <w:rsid w:val="00F512AA"/>
    <w:rsid w:val="00F52AD3"/>
    <w:rsid w:val="00F54A53"/>
    <w:rsid w:val="00F55215"/>
    <w:rsid w:val="00F5653E"/>
    <w:rsid w:val="00F617AE"/>
    <w:rsid w:val="00F62420"/>
    <w:rsid w:val="00F6282E"/>
    <w:rsid w:val="00F6340C"/>
    <w:rsid w:val="00F63E80"/>
    <w:rsid w:val="00F6408D"/>
    <w:rsid w:val="00F6472E"/>
    <w:rsid w:val="00F64947"/>
    <w:rsid w:val="00F6498D"/>
    <w:rsid w:val="00F65278"/>
    <w:rsid w:val="00F65283"/>
    <w:rsid w:val="00F65562"/>
    <w:rsid w:val="00F66A3F"/>
    <w:rsid w:val="00F676A0"/>
    <w:rsid w:val="00F70039"/>
    <w:rsid w:val="00F70409"/>
    <w:rsid w:val="00F70433"/>
    <w:rsid w:val="00F71607"/>
    <w:rsid w:val="00F73273"/>
    <w:rsid w:val="00F742A7"/>
    <w:rsid w:val="00F74A3D"/>
    <w:rsid w:val="00F75099"/>
    <w:rsid w:val="00F75631"/>
    <w:rsid w:val="00F758FC"/>
    <w:rsid w:val="00F75DA8"/>
    <w:rsid w:val="00F76119"/>
    <w:rsid w:val="00F763A6"/>
    <w:rsid w:val="00F77AF2"/>
    <w:rsid w:val="00F80459"/>
    <w:rsid w:val="00F81014"/>
    <w:rsid w:val="00F81097"/>
    <w:rsid w:val="00F81C61"/>
    <w:rsid w:val="00F8238D"/>
    <w:rsid w:val="00F82C24"/>
    <w:rsid w:val="00F82FF9"/>
    <w:rsid w:val="00F849F8"/>
    <w:rsid w:val="00F851AF"/>
    <w:rsid w:val="00F85D59"/>
    <w:rsid w:val="00F864BA"/>
    <w:rsid w:val="00F86DFD"/>
    <w:rsid w:val="00F90940"/>
    <w:rsid w:val="00F90B90"/>
    <w:rsid w:val="00F90BBB"/>
    <w:rsid w:val="00F90C59"/>
    <w:rsid w:val="00F90F91"/>
    <w:rsid w:val="00F91D3A"/>
    <w:rsid w:val="00F91E37"/>
    <w:rsid w:val="00F94B10"/>
    <w:rsid w:val="00F94FF6"/>
    <w:rsid w:val="00F95062"/>
    <w:rsid w:val="00F95B44"/>
    <w:rsid w:val="00F9706F"/>
    <w:rsid w:val="00F973B0"/>
    <w:rsid w:val="00F976D4"/>
    <w:rsid w:val="00FA0791"/>
    <w:rsid w:val="00FA1028"/>
    <w:rsid w:val="00FA1863"/>
    <w:rsid w:val="00FA1AB3"/>
    <w:rsid w:val="00FA2365"/>
    <w:rsid w:val="00FA38DC"/>
    <w:rsid w:val="00FA3A70"/>
    <w:rsid w:val="00FA4BE8"/>
    <w:rsid w:val="00FA59CF"/>
    <w:rsid w:val="00FA5E18"/>
    <w:rsid w:val="00FA5E70"/>
    <w:rsid w:val="00FA698D"/>
    <w:rsid w:val="00FA6BF9"/>
    <w:rsid w:val="00FA74FC"/>
    <w:rsid w:val="00FB052F"/>
    <w:rsid w:val="00FB0A81"/>
    <w:rsid w:val="00FB19C8"/>
    <w:rsid w:val="00FB3BDD"/>
    <w:rsid w:val="00FB434E"/>
    <w:rsid w:val="00FB46B2"/>
    <w:rsid w:val="00FB4946"/>
    <w:rsid w:val="00FB5DB6"/>
    <w:rsid w:val="00FB666C"/>
    <w:rsid w:val="00FB784F"/>
    <w:rsid w:val="00FC0AEF"/>
    <w:rsid w:val="00FC25E8"/>
    <w:rsid w:val="00FC3F51"/>
    <w:rsid w:val="00FC3FED"/>
    <w:rsid w:val="00FC42C8"/>
    <w:rsid w:val="00FC55C8"/>
    <w:rsid w:val="00FC626A"/>
    <w:rsid w:val="00FC692C"/>
    <w:rsid w:val="00FD0120"/>
    <w:rsid w:val="00FD08D8"/>
    <w:rsid w:val="00FD260E"/>
    <w:rsid w:val="00FD32E5"/>
    <w:rsid w:val="00FD366D"/>
    <w:rsid w:val="00FD54F3"/>
    <w:rsid w:val="00FD5B9E"/>
    <w:rsid w:val="00FD6553"/>
    <w:rsid w:val="00FD6D86"/>
    <w:rsid w:val="00FD7242"/>
    <w:rsid w:val="00FD7683"/>
    <w:rsid w:val="00FE0699"/>
    <w:rsid w:val="00FE0C1E"/>
    <w:rsid w:val="00FE0C83"/>
    <w:rsid w:val="00FE14EA"/>
    <w:rsid w:val="00FE1CB5"/>
    <w:rsid w:val="00FE28C5"/>
    <w:rsid w:val="00FE3C59"/>
    <w:rsid w:val="00FE4D6C"/>
    <w:rsid w:val="00FE535D"/>
    <w:rsid w:val="00FE5E10"/>
    <w:rsid w:val="00FE6343"/>
    <w:rsid w:val="00FE6396"/>
    <w:rsid w:val="00FE791B"/>
    <w:rsid w:val="00FE7F14"/>
    <w:rsid w:val="00FF012D"/>
    <w:rsid w:val="00FF0871"/>
    <w:rsid w:val="00FF195E"/>
    <w:rsid w:val="00FF2C21"/>
    <w:rsid w:val="00FF36E5"/>
    <w:rsid w:val="00FF3EE3"/>
    <w:rsid w:val="00FF3FC0"/>
    <w:rsid w:val="00FF58A0"/>
    <w:rsid w:val="00FF5953"/>
    <w:rsid w:val="00FF5E86"/>
    <w:rsid w:val="00FF6039"/>
    <w:rsid w:val="00FF6626"/>
    <w:rsid w:val="00FF664C"/>
    <w:rsid w:val="00FF6D9D"/>
  </w:rsids>
  <m:mathPr>
    <m:mathFont m:val="Cambria Math"/>
    <m:brkBin m:val="before"/>
    <m:brkBinSub m:val="--"/>
    <m:smallFrac m:val="0"/>
    <m:dispDef/>
    <m:lMargin m:val="0"/>
    <m:rMargin m:val="0"/>
    <m:defJc m:val="centerGroup"/>
    <m:wrapIndent m:val="1440"/>
    <m:intLim m:val="subSup"/>
    <m:naryLim m:val="undOvr"/>
  </m:mathPr>
  <w:themeFontLang w:val="lv-LV"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1C6AEEB3"/>
  <w15:docId w15:val="{010BCA66-10B1-48A0-BA51-59A89BC2AE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lv-LV" w:eastAsia="lv-LV" w:bidi="ar-SA"/>
      </w:rPr>
    </w:rPrDefault>
    <w:pPrDefault/>
  </w:docDefaults>
  <w:latentStyles w:defLockedState="0" w:defUIPriority="99" w:defSemiHidden="0" w:defUnhideWhenUsed="0" w:defQFormat="0" w:count="371">
    <w:lsdException w:name="Normal" w:locked="1" w:uiPriority="0" w:qFormat="1"/>
    <w:lsdException w:name="heading 1" w:locked="1"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lock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locked="1" w:semiHidden="1" w:uiPriority="0"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F0AFC"/>
    <w:rPr>
      <w:rFonts w:eastAsia="Times New Roman"/>
      <w:lang w:eastAsia="en-US"/>
    </w:rPr>
  </w:style>
  <w:style w:type="paragraph" w:styleId="Heading1">
    <w:name w:val="heading 1"/>
    <w:basedOn w:val="Normal"/>
    <w:next w:val="Normal"/>
    <w:link w:val="Heading1Char"/>
    <w:uiPriority w:val="99"/>
    <w:qFormat/>
    <w:rsid w:val="006F61F5"/>
    <w:pPr>
      <w:keepNext/>
      <w:keepLines/>
      <w:spacing w:before="480"/>
      <w:outlineLvl w:val="0"/>
    </w:pPr>
    <w:rPr>
      <w:rFonts w:ascii="Cambria" w:eastAsia="SimSun" w:hAnsi="Cambria"/>
      <w:b/>
      <w:bCs/>
      <w:color w:val="365F91"/>
      <w:sz w:val="28"/>
      <w:szCs w:val="28"/>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6F61F5"/>
    <w:rPr>
      <w:rFonts w:ascii="Cambria" w:eastAsia="SimSun" w:hAnsi="Cambria" w:cs="Times New Roman"/>
      <w:b/>
      <w:color w:val="365F91"/>
      <w:sz w:val="28"/>
    </w:rPr>
  </w:style>
  <w:style w:type="paragraph" w:styleId="BalloonText">
    <w:name w:val="Balloon Text"/>
    <w:basedOn w:val="Normal"/>
    <w:link w:val="BalloonTextChar"/>
    <w:uiPriority w:val="99"/>
    <w:semiHidden/>
    <w:rsid w:val="00577AF1"/>
    <w:rPr>
      <w:rFonts w:ascii="Tahoma" w:eastAsia="Calibri" w:hAnsi="Tahoma"/>
      <w:sz w:val="16"/>
      <w:szCs w:val="16"/>
      <w:lang w:eastAsia="lv-LV"/>
    </w:rPr>
  </w:style>
  <w:style w:type="character" w:customStyle="1" w:styleId="BalloonTextChar">
    <w:name w:val="Balloon Text Char"/>
    <w:basedOn w:val="DefaultParagraphFont"/>
    <w:link w:val="BalloonText"/>
    <w:uiPriority w:val="99"/>
    <w:semiHidden/>
    <w:locked/>
    <w:rsid w:val="00577AF1"/>
    <w:rPr>
      <w:rFonts w:ascii="Tahoma" w:hAnsi="Tahoma" w:cs="Times New Roman"/>
      <w:sz w:val="16"/>
    </w:rPr>
  </w:style>
  <w:style w:type="paragraph" w:styleId="ListParagraph">
    <w:name w:val="List Paragraph"/>
    <w:aliases w:val="2,Numbered Para 1,Dot pt,No Spacing1,List Paragraph Char Char Char,Indicator Text,List Paragraph1,Bullet 1,Bullet Points,MAIN CONTENT,IFCL - List Paragraph,List Paragraph12,OBC Bullet,F5 List Paragraph,Colorful List - Accent 11,Strip"/>
    <w:basedOn w:val="Normal"/>
    <w:link w:val="ListParagraphChar"/>
    <w:uiPriority w:val="34"/>
    <w:qFormat/>
    <w:rsid w:val="00556C21"/>
    <w:pPr>
      <w:ind w:left="720"/>
      <w:contextualSpacing/>
    </w:pPr>
    <w:rPr>
      <w:szCs w:val="20"/>
    </w:rPr>
  </w:style>
  <w:style w:type="paragraph" w:styleId="TOC1">
    <w:name w:val="toc 1"/>
    <w:basedOn w:val="Normal"/>
    <w:next w:val="Normal"/>
    <w:autoRedefine/>
    <w:uiPriority w:val="39"/>
    <w:rsid w:val="006F61F5"/>
    <w:pPr>
      <w:tabs>
        <w:tab w:val="right" w:leader="dot" w:pos="9639"/>
      </w:tabs>
      <w:spacing w:before="60" w:after="40"/>
    </w:pPr>
    <w:rPr>
      <w:rFonts w:ascii="Times New Roman" w:hAnsi="Times New Roman"/>
      <w:b/>
      <w:noProof/>
      <w:szCs w:val="28"/>
    </w:rPr>
  </w:style>
  <w:style w:type="character" w:styleId="Hyperlink">
    <w:name w:val="Hyperlink"/>
    <w:basedOn w:val="DefaultParagraphFont"/>
    <w:uiPriority w:val="99"/>
    <w:rsid w:val="006F61F5"/>
    <w:rPr>
      <w:rFonts w:cs="Times New Roman"/>
      <w:color w:val="0000FF"/>
      <w:u w:val="single"/>
    </w:rPr>
  </w:style>
  <w:style w:type="paragraph" w:styleId="Header">
    <w:name w:val="header"/>
    <w:basedOn w:val="Normal"/>
    <w:link w:val="HeaderChar"/>
    <w:uiPriority w:val="99"/>
    <w:rsid w:val="006F61F5"/>
    <w:pPr>
      <w:tabs>
        <w:tab w:val="center" w:pos="4153"/>
        <w:tab w:val="right" w:pos="8306"/>
      </w:tabs>
    </w:pPr>
    <w:rPr>
      <w:rFonts w:eastAsia="Calibri"/>
      <w:sz w:val="20"/>
      <w:szCs w:val="20"/>
      <w:lang w:eastAsia="lv-LV"/>
    </w:rPr>
  </w:style>
  <w:style w:type="character" w:customStyle="1" w:styleId="HeaderChar">
    <w:name w:val="Header Char"/>
    <w:basedOn w:val="DefaultParagraphFont"/>
    <w:link w:val="Header"/>
    <w:uiPriority w:val="99"/>
    <w:locked/>
    <w:rsid w:val="006F61F5"/>
    <w:rPr>
      <w:rFonts w:cs="Times New Roman"/>
    </w:rPr>
  </w:style>
  <w:style w:type="paragraph" w:styleId="Footer">
    <w:name w:val="footer"/>
    <w:basedOn w:val="Normal"/>
    <w:link w:val="FooterChar"/>
    <w:uiPriority w:val="99"/>
    <w:rsid w:val="006F61F5"/>
    <w:pPr>
      <w:tabs>
        <w:tab w:val="center" w:pos="4153"/>
        <w:tab w:val="right" w:pos="8306"/>
      </w:tabs>
    </w:pPr>
    <w:rPr>
      <w:rFonts w:eastAsia="Calibri"/>
      <w:sz w:val="20"/>
      <w:szCs w:val="20"/>
      <w:lang w:eastAsia="lv-LV"/>
    </w:rPr>
  </w:style>
  <w:style w:type="character" w:customStyle="1" w:styleId="FooterChar">
    <w:name w:val="Footer Char"/>
    <w:basedOn w:val="DefaultParagraphFont"/>
    <w:link w:val="Footer"/>
    <w:uiPriority w:val="99"/>
    <w:locked/>
    <w:rsid w:val="006F61F5"/>
    <w:rPr>
      <w:rFonts w:cs="Times New Roman"/>
    </w:rPr>
  </w:style>
  <w:style w:type="paragraph" w:styleId="Subtitle">
    <w:name w:val="Subtitle"/>
    <w:basedOn w:val="Normal"/>
    <w:next w:val="Normal"/>
    <w:link w:val="SubtitleChar"/>
    <w:uiPriority w:val="99"/>
    <w:qFormat/>
    <w:rsid w:val="008E0DC2"/>
    <w:pPr>
      <w:keepNext/>
      <w:keepLines/>
      <w:widowControl w:val="0"/>
      <w:suppressAutoHyphens/>
      <w:spacing w:before="600" w:after="600"/>
      <w:ind w:right="4820"/>
    </w:pPr>
    <w:rPr>
      <w:rFonts w:ascii="Times New Roman" w:eastAsia="Calibri" w:hAnsi="Times New Roman"/>
      <w:b/>
      <w:sz w:val="20"/>
      <w:szCs w:val="20"/>
      <w:lang w:val="en-AU" w:eastAsia="lv-LV"/>
    </w:rPr>
  </w:style>
  <w:style w:type="character" w:customStyle="1" w:styleId="SubtitleChar">
    <w:name w:val="Subtitle Char"/>
    <w:basedOn w:val="DefaultParagraphFont"/>
    <w:link w:val="Subtitle"/>
    <w:uiPriority w:val="99"/>
    <w:locked/>
    <w:rsid w:val="008E0DC2"/>
    <w:rPr>
      <w:rFonts w:ascii="Times New Roman" w:hAnsi="Times New Roman" w:cs="Times New Roman"/>
      <w:b/>
      <w:sz w:val="20"/>
      <w:lang w:val="en-AU"/>
    </w:rPr>
  </w:style>
  <w:style w:type="paragraph" w:styleId="PlainText">
    <w:name w:val="Plain Text"/>
    <w:basedOn w:val="Normal"/>
    <w:link w:val="PlainTextChar"/>
    <w:uiPriority w:val="99"/>
    <w:rsid w:val="000F61C2"/>
    <w:rPr>
      <w:rFonts w:eastAsia="Calibri"/>
      <w:sz w:val="20"/>
      <w:szCs w:val="20"/>
      <w:lang w:eastAsia="lv-LV"/>
    </w:rPr>
  </w:style>
  <w:style w:type="character" w:customStyle="1" w:styleId="PlainTextChar">
    <w:name w:val="Plain Text Char"/>
    <w:basedOn w:val="DefaultParagraphFont"/>
    <w:link w:val="PlainText"/>
    <w:uiPriority w:val="99"/>
    <w:locked/>
    <w:rsid w:val="000F61C2"/>
    <w:rPr>
      <w:rFonts w:ascii="Calibri" w:hAnsi="Calibri" w:cs="Times New Roman"/>
    </w:rPr>
  </w:style>
  <w:style w:type="paragraph" w:customStyle="1" w:styleId="Vstulesdatumsunnumurs">
    <w:name w:val="Vçstules datums un numurs"/>
    <w:basedOn w:val="Normal"/>
    <w:next w:val="EnvelopeAddress"/>
    <w:uiPriority w:val="99"/>
    <w:rsid w:val="00AF633A"/>
    <w:pPr>
      <w:keepNext/>
      <w:keepLines/>
      <w:widowControl w:val="0"/>
      <w:suppressAutoHyphens/>
      <w:spacing w:before="60" w:after="60"/>
      <w:ind w:left="4820"/>
    </w:pPr>
    <w:rPr>
      <w:rFonts w:ascii="Times New Roman" w:eastAsia="Calibri" w:hAnsi="Times New Roman"/>
      <w:sz w:val="24"/>
      <w:szCs w:val="20"/>
    </w:rPr>
  </w:style>
  <w:style w:type="paragraph" w:styleId="EnvelopeAddress">
    <w:name w:val="envelope address"/>
    <w:basedOn w:val="Normal"/>
    <w:uiPriority w:val="99"/>
    <w:semiHidden/>
    <w:rsid w:val="00AF633A"/>
    <w:pPr>
      <w:framePr w:w="7920" w:h="1980" w:hRule="exact" w:hSpace="180" w:wrap="auto" w:hAnchor="page" w:xAlign="center" w:yAlign="bottom"/>
      <w:ind w:left="2880"/>
    </w:pPr>
    <w:rPr>
      <w:rFonts w:ascii="Cambria" w:eastAsia="SimSun" w:hAnsi="Cambria"/>
      <w:sz w:val="24"/>
      <w:szCs w:val="24"/>
    </w:rPr>
  </w:style>
  <w:style w:type="table" w:styleId="TableClassic4">
    <w:name w:val="Table Classic 4"/>
    <w:basedOn w:val="TableNormal"/>
    <w:uiPriority w:val="99"/>
    <w:rsid w:val="0047124B"/>
    <w:rPr>
      <w:rFonts w:ascii="Times New Roman" w:hAnsi="Times New Roman"/>
      <w:sz w:val="20"/>
      <w:szCs w:val="20"/>
    </w:rPr>
    <w:tblPr>
      <w:tblBorders>
        <w:top w:val="single" w:sz="12" w:space="0" w:color="000000"/>
        <w:left w:val="single" w:sz="6" w:space="0" w:color="000000"/>
        <w:bottom w:val="single" w:sz="12" w:space="0" w:color="000000"/>
        <w:right w:val="single" w:sz="6" w:space="0" w:color="000000"/>
      </w:tblBorders>
    </w:tblPr>
    <w:tblStylePr w:type="firstRow">
      <w:rPr>
        <w:rFonts w:cs="Times New Roman"/>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rFonts w:cs="Times New Roman"/>
        <w:color w:val="000080"/>
      </w:rPr>
      <w:tblPr/>
      <w:tcPr>
        <w:tcBorders>
          <w:bottom w:val="single" w:sz="6" w:space="0" w:color="000000"/>
          <w:tl2br w:val="none" w:sz="0" w:space="0" w:color="auto"/>
          <w:tr2bl w:val="none" w:sz="0" w:space="0" w:color="auto"/>
        </w:tcBorders>
        <w:shd w:val="pct50" w:color="000000" w:fill="FFFFFF"/>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b/>
        <w:bCs/>
      </w:rPr>
      <w:tblPr/>
      <w:tcPr>
        <w:tcBorders>
          <w:tl2br w:val="none" w:sz="0" w:space="0" w:color="auto"/>
          <w:tr2bl w:val="none" w:sz="0" w:space="0" w:color="auto"/>
        </w:tcBorders>
      </w:tcPr>
    </w:tblStylePr>
    <w:tblStylePr w:type="swCell">
      <w:rPr>
        <w:rFonts w:cs="Times New Roman"/>
        <w:color w:val="000080"/>
      </w:rPr>
      <w:tblPr/>
      <w:tcPr>
        <w:tcBorders>
          <w:tl2br w:val="none" w:sz="0" w:space="0" w:color="auto"/>
          <w:tr2bl w:val="none" w:sz="0" w:space="0" w:color="auto"/>
        </w:tcBorders>
      </w:tcPr>
    </w:tblStylePr>
  </w:style>
  <w:style w:type="table" w:styleId="TableGrid">
    <w:name w:val="Table Grid"/>
    <w:basedOn w:val="TableNormal"/>
    <w:uiPriority w:val="39"/>
    <w:rsid w:val="0047124B"/>
    <w:rPr>
      <w:rFonts w:eastAsia="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rsid w:val="00763636"/>
    <w:rPr>
      <w:rFonts w:cs="Times New Roman"/>
      <w:color w:val="800080"/>
      <w:u w:val="single"/>
    </w:rPr>
  </w:style>
  <w:style w:type="paragraph" w:styleId="FootnoteText">
    <w:name w:val="footnote text"/>
    <w:aliases w:val="Footnote,Fußnote,fn,single space,FOOTNOTES,Text poznámky pod ciarou 007 Char,Text poznámky pod ciarou 007,_Poznámka pod ciarou,Text poznámky pod čiarou 007 Char,Text poznįmky pod čiarou 007,_Poznįmka pod čiarou Char,Char Char Car,ft,o,Fußn"/>
    <w:basedOn w:val="Normal"/>
    <w:link w:val="FootnoteTextChar"/>
    <w:uiPriority w:val="99"/>
    <w:rsid w:val="00563671"/>
    <w:rPr>
      <w:rFonts w:eastAsia="Calibri"/>
      <w:sz w:val="20"/>
      <w:szCs w:val="20"/>
      <w:lang w:eastAsia="lv-LV"/>
    </w:rPr>
  </w:style>
  <w:style w:type="character" w:customStyle="1" w:styleId="FootnoteTextChar">
    <w:name w:val="Footnote Text Char"/>
    <w:aliases w:val="Footnote Char,Fußnote Char,fn Char,single space Char,FOOTNOTES Char,Text poznámky pod ciarou 007 Char Char,Text poznámky pod ciarou 007 Char1,_Poznámka pod ciarou Char,Text poznámky pod čiarou 007 Char Char,Char Char Car Char,ft Char"/>
    <w:basedOn w:val="DefaultParagraphFont"/>
    <w:link w:val="FootnoteText"/>
    <w:uiPriority w:val="99"/>
    <w:locked/>
    <w:rsid w:val="00563671"/>
    <w:rPr>
      <w:rFonts w:cs="Times New Roman"/>
      <w:sz w:val="20"/>
    </w:rPr>
  </w:style>
  <w:style w:type="character" w:styleId="FootnoteReference">
    <w:name w:val="footnote reference"/>
    <w:aliases w:val="Footnote Reference Number Char,Footnote symbol Char,Char Char Char Char Char Char,Char2 Char Char Char Char,Footnote Reference Superscript,Footnote Refernece,ftref,Odwołanie przypisu,BVI fnr,Footnotes refss,SUPERS,Ref,de nota al pie,E"/>
    <w:basedOn w:val="DefaultParagraphFont"/>
    <w:link w:val="FootnoteReferenceNumber"/>
    <w:uiPriority w:val="99"/>
    <w:qFormat/>
    <w:rsid w:val="00563671"/>
    <w:rPr>
      <w:rFonts w:cs="Times New Roman"/>
      <w:vertAlign w:val="superscript"/>
    </w:rPr>
  </w:style>
  <w:style w:type="paragraph" w:styleId="NormalWeb">
    <w:name w:val="Normal (Web)"/>
    <w:basedOn w:val="Normal"/>
    <w:uiPriority w:val="99"/>
    <w:rsid w:val="001229A9"/>
    <w:pPr>
      <w:spacing w:before="100" w:beforeAutospacing="1" w:after="100" w:afterAutospacing="1"/>
    </w:pPr>
    <w:rPr>
      <w:rFonts w:ascii="Times New Roman" w:eastAsia="Calibri" w:hAnsi="Times New Roman"/>
      <w:sz w:val="24"/>
      <w:szCs w:val="24"/>
      <w:lang w:eastAsia="lv-LV"/>
    </w:rPr>
  </w:style>
  <w:style w:type="character" w:styleId="CommentReference">
    <w:name w:val="annotation reference"/>
    <w:basedOn w:val="DefaultParagraphFont"/>
    <w:rsid w:val="00E45FEB"/>
    <w:rPr>
      <w:rFonts w:cs="Times New Roman"/>
      <w:sz w:val="16"/>
    </w:rPr>
  </w:style>
  <w:style w:type="paragraph" w:styleId="CommentText">
    <w:name w:val="annotation text"/>
    <w:basedOn w:val="Normal"/>
    <w:link w:val="CommentTextChar"/>
    <w:rsid w:val="00E45FEB"/>
    <w:rPr>
      <w:rFonts w:eastAsia="Calibri"/>
      <w:sz w:val="20"/>
      <w:szCs w:val="20"/>
      <w:lang w:eastAsia="lv-LV"/>
    </w:rPr>
  </w:style>
  <w:style w:type="character" w:customStyle="1" w:styleId="CommentTextChar">
    <w:name w:val="Comment Text Char"/>
    <w:basedOn w:val="DefaultParagraphFont"/>
    <w:link w:val="CommentText"/>
    <w:locked/>
    <w:rsid w:val="00E45FEB"/>
    <w:rPr>
      <w:rFonts w:cs="Times New Roman"/>
      <w:sz w:val="20"/>
    </w:rPr>
  </w:style>
  <w:style w:type="paragraph" w:styleId="CommentSubject">
    <w:name w:val="annotation subject"/>
    <w:basedOn w:val="CommentText"/>
    <w:next w:val="CommentText"/>
    <w:link w:val="CommentSubjectChar"/>
    <w:uiPriority w:val="99"/>
    <w:semiHidden/>
    <w:rsid w:val="00E45FEB"/>
    <w:rPr>
      <w:b/>
      <w:bCs/>
    </w:rPr>
  </w:style>
  <w:style w:type="character" w:customStyle="1" w:styleId="CommentSubjectChar">
    <w:name w:val="Comment Subject Char"/>
    <w:basedOn w:val="CommentTextChar"/>
    <w:link w:val="CommentSubject"/>
    <w:uiPriority w:val="99"/>
    <w:semiHidden/>
    <w:locked/>
    <w:rsid w:val="00E45FEB"/>
    <w:rPr>
      <w:rFonts w:cs="Times New Roman"/>
      <w:b/>
      <w:sz w:val="20"/>
    </w:rPr>
  </w:style>
  <w:style w:type="character" w:customStyle="1" w:styleId="st1">
    <w:name w:val="st1"/>
    <w:basedOn w:val="DefaultParagraphFont"/>
    <w:uiPriority w:val="99"/>
    <w:rsid w:val="001D6BA7"/>
    <w:rPr>
      <w:rFonts w:cs="Times New Roman"/>
    </w:rPr>
  </w:style>
  <w:style w:type="character" w:styleId="Emphasis">
    <w:name w:val="Emphasis"/>
    <w:basedOn w:val="DefaultParagraphFont"/>
    <w:uiPriority w:val="99"/>
    <w:qFormat/>
    <w:locked/>
    <w:rsid w:val="000C3627"/>
    <w:rPr>
      <w:rFonts w:cs="Times New Roman"/>
      <w:b/>
      <w:bCs/>
    </w:rPr>
  </w:style>
  <w:style w:type="character" w:customStyle="1" w:styleId="ListParagraphChar">
    <w:name w:val="List Paragraph Char"/>
    <w:aliases w:val="2 Char,Numbered Para 1 Char,Dot pt Char,No Spacing1 Char,List Paragraph Char Char Char Char,Indicator Text Char,List Paragraph1 Char,Bullet 1 Char,Bullet Points Char,MAIN CONTENT Char,IFCL - List Paragraph Char,List Paragraph12 Char"/>
    <w:link w:val="ListParagraph"/>
    <w:uiPriority w:val="34"/>
    <w:qFormat/>
    <w:locked/>
    <w:rsid w:val="0047512C"/>
    <w:rPr>
      <w:rFonts w:eastAsia="Times New Roman"/>
      <w:sz w:val="22"/>
      <w:lang w:eastAsia="en-US"/>
    </w:rPr>
  </w:style>
  <w:style w:type="paragraph" w:customStyle="1" w:styleId="Default">
    <w:name w:val="Default"/>
    <w:rsid w:val="00F07561"/>
    <w:pPr>
      <w:autoSpaceDE w:val="0"/>
      <w:autoSpaceDN w:val="0"/>
      <w:adjustRightInd w:val="0"/>
    </w:pPr>
    <w:rPr>
      <w:rFonts w:ascii="Times New Roman" w:hAnsi="Times New Roman"/>
      <w:color w:val="000000"/>
      <w:sz w:val="24"/>
      <w:szCs w:val="24"/>
      <w:lang w:eastAsia="zh-CN"/>
    </w:rPr>
  </w:style>
  <w:style w:type="paragraph" w:customStyle="1" w:styleId="Char">
    <w:name w:val="Char"/>
    <w:basedOn w:val="Normal"/>
    <w:uiPriority w:val="99"/>
    <w:rsid w:val="00156194"/>
    <w:pPr>
      <w:spacing w:before="40"/>
    </w:pPr>
    <w:rPr>
      <w:rFonts w:ascii="Arial" w:hAnsi="Arial"/>
      <w:sz w:val="24"/>
      <w:szCs w:val="24"/>
      <w:lang w:val="pl-PL" w:eastAsia="pl-PL"/>
    </w:rPr>
  </w:style>
  <w:style w:type="character" w:styleId="PageNumber">
    <w:name w:val="page number"/>
    <w:basedOn w:val="DefaultParagraphFont"/>
    <w:uiPriority w:val="99"/>
    <w:rsid w:val="0006249E"/>
    <w:rPr>
      <w:rFonts w:cs="Times New Roman"/>
    </w:rPr>
  </w:style>
  <w:style w:type="table" w:styleId="LightShading-Accent3">
    <w:name w:val="Light Shading Accent 3"/>
    <w:basedOn w:val="TableNormal"/>
    <w:uiPriority w:val="60"/>
    <w:rsid w:val="00B676EF"/>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
    <w:name w:val="Light Shading"/>
    <w:basedOn w:val="TableNormal"/>
    <w:uiPriority w:val="60"/>
    <w:rsid w:val="00B676EF"/>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tv213">
    <w:name w:val="tv213"/>
    <w:basedOn w:val="Normal"/>
    <w:rsid w:val="00EF074B"/>
    <w:pPr>
      <w:spacing w:before="100" w:beforeAutospacing="1" w:after="100" w:afterAutospacing="1"/>
    </w:pPr>
    <w:rPr>
      <w:rFonts w:ascii="Times New Roman" w:hAnsi="Times New Roman"/>
      <w:sz w:val="24"/>
      <w:szCs w:val="24"/>
      <w:lang w:eastAsia="lv-LV"/>
    </w:rPr>
  </w:style>
  <w:style w:type="character" w:customStyle="1" w:styleId="apple-converted-space">
    <w:name w:val="apple-converted-space"/>
    <w:basedOn w:val="DefaultParagraphFont"/>
    <w:rsid w:val="005D2301"/>
  </w:style>
  <w:style w:type="paragraph" w:customStyle="1" w:styleId="Style1">
    <w:name w:val="Style1"/>
    <w:basedOn w:val="FootnoteText"/>
    <w:link w:val="Style1Char"/>
    <w:qFormat/>
    <w:rsid w:val="00EA468D"/>
    <w:rPr>
      <w:rFonts w:ascii="Times New Roman" w:hAnsi="Times New Roman"/>
    </w:rPr>
  </w:style>
  <w:style w:type="character" w:customStyle="1" w:styleId="Style1Char">
    <w:name w:val="Style1 Char"/>
    <w:basedOn w:val="FootnoteTextChar"/>
    <w:link w:val="Style1"/>
    <w:rsid w:val="00EA468D"/>
    <w:rPr>
      <w:rFonts w:ascii="Times New Roman" w:hAnsi="Times New Roman" w:cs="Times New Roman"/>
      <w:sz w:val="20"/>
      <w:szCs w:val="20"/>
    </w:rPr>
  </w:style>
  <w:style w:type="paragraph" w:styleId="Revision">
    <w:name w:val="Revision"/>
    <w:hidden/>
    <w:uiPriority w:val="99"/>
    <w:semiHidden/>
    <w:rsid w:val="00BB583E"/>
    <w:rPr>
      <w:rFonts w:eastAsia="Times New Roman"/>
      <w:lang w:eastAsia="en-US"/>
    </w:rPr>
  </w:style>
  <w:style w:type="paragraph" w:styleId="HTMLPreformatted">
    <w:name w:val="HTML Preformatted"/>
    <w:basedOn w:val="Normal"/>
    <w:link w:val="HTMLPreformattedChar"/>
    <w:uiPriority w:val="99"/>
    <w:semiHidden/>
    <w:unhideWhenUsed/>
    <w:rsid w:val="00D409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lv-LV"/>
    </w:rPr>
  </w:style>
  <w:style w:type="character" w:customStyle="1" w:styleId="HTMLPreformattedChar">
    <w:name w:val="HTML Preformatted Char"/>
    <w:basedOn w:val="DefaultParagraphFont"/>
    <w:link w:val="HTMLPreformatted"/>
    <w:uiPriority w:val="99"/>
    <w:semiHidden/>
    <w:rsid w:val="00D40945"/>
    <w:rPr>
      <w:rFonts w:ascii="Courier New" w:eastAsia="Times New Roman" w:hAnsi="Courier New" w:cs="Courier New"/>
      <w:sz w:val="20"/>
      <w:szCs w:val="20"/>
    </w:rPr>
  </w:style>
  <w:style w:type="paragraph" w:customStyle="1" w:styleId="FootnoteReferenceNumber">
    <w:name w:val="Footnote Reference Number"/>
    <w:aliases w:val="Footnote symbol,Char Char Char Char Char,Char2 Char Char"/>
    <w:basedOn w:val="Normal"/>
    <w:next w:val="Normal"/>
    <w:link w:val="FootnoteReference"/>
    <w:uiPriority w:val="99"/>
    <w:rsid w:val="00EF050B"/>
    <w:pPr>
      <w:spacing w:after="160" w:line="240" w:lineRule="exact"/>
      <w:jc w:val="both"/>
      <w:textAlignment w:val="baseline"/>
    </w:pPr>
    <w:rPr>
      <w:rFonts w:eastAsia="Calibri"/>
      <w:vertAlign w:val="superscript"/>
      <w:lang w:eastAsia="lv-LV"/>
    </w:rPr>
  </w:style>
  <w:style w:type="paragraph" w:customStyle="1" w:styleId="naislab">
    <w:name w:val="naislab"/>
    <w:basedOn w:val="Normal"/>
    <w:rsid w:val="00915BA1"/>
    <w:pPr>
      <w:spacing w:before="75" w:after="75"/>
      <w:jc w:val="right"/>
    </w:pPr>
    <w:rPr>
      <w:rFonts w:ascii="Times New Roman" w:hAnsi="Times New Roman"/>
      <w:sz w:val="24"/>
      <w:szCs w:val="24"/>
      <w:lang w:eastAsia="lv-LV"/>
    </w:rPr>
  </w:style>
  <w:style w:type="table" w:styleId="LightShading-Accent1">
    <w:name w:val="Light Shading Accent 1"/>
    <w:basedOn w:val="TableNormal"/>
    <w:uiPriority w:val="60"/>
    <w:rsid w:val="00BF58EC"/>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customStyle="1" w:styleId="UnresolvedMention1">
    <w:name w:val="Unresolved Mention1"/>
    <w:basedOn w:val="DefaultParagraphFont"/>
    <w:uiPriority w:val="99"/>
    <w:semiHidden/>
    <w:unhideWhenUsed/>
    <w:rsid w:val="00992DD7"/>
    <w:rPr>
      <w:color w:val="605E5C"/>
      <w:shd w:val="clear" w:color="auto" w:fill="E1DFDD"/>
    </w:rPr>
  </w:style>
  <w:style w:type="character" w:customStyle="1" w:styleId="UnresolvedMention2">
    <w:name w:val="Unresolved Mention2"/>
    <w:basedOn w:val="DefaultParagraphFont"/>
    <w:uiPriority w:val="99"/>
    <w:semiHidden/>
    <w:unhideWhenUsed/>
    <w:rsid w:val="000F30A2"/>
    <w:rPr>
      <w:color w:val="605E5C"/>
      <w:shd w:val="clear" w:color="auto" w:fill="E1DFDD"/>
    </w:rPr>
  </w:style>
  <w:style w:type="character" w:customStyle="1" w:styleId="UnresolvedMention3">
    <w:name w:val="Unresolved Mention3"/>
    <w:basedOn w:val="DefaultParagraphFont"/>
    <w:uiPriority w:val="99"/>
    <w:semiHidden/>
    <w:unhideWhenUsed/>
    <w:rsid w:val="00790FE6"/>
    <w:rPr>
      <w:color w:val="605E5C"/>
      <w:shd w:val="clear" w:color="auto" w:fill="E1DFDD"/>
    </w:rPr>
  </w:style>
  <w:style w:type="paragraph" w:customStyle="1" w:styleId="FootnotesymbolCarZchn">
    <w:name w:val="Footnote symbol Car Zchn"/>
    <w:aliases w:val="Footnote Car Zchn,Times 10 Point Car Zchn,Exposant 3 Point Car Zchn,Footnote Reference Superscript Car Zchn,Char Char Char Char Char Car Zchn,BVI fnr Car Zchn,SUPERS Car Zchn"/>
    <w:basedOn w:val="Normal"/>
    <w:uiPriority w:val="99"/>
    <w:rsid w:val="005D57AB"/>
    <w:pPr>
      <w:spacing w:after="160" w:line="240" w:lineRule="exact"/>
      <w:jc w:val="both"/>
    </w:pPr>
    <w:rPr>
      <w:rFonts w:asciiTheme="minorHAnsi" w:eastAsiaTheme="minorHAnsi" w:hAnsiTheme="minorHAnsi" w:cstheme="minorBidi"/>
      <w:vertAlign w:val="superscript"/>
    </w:rPr>
  </w:style>
  <w:style w:type="character" w:styleId="Strong">
    <w:name w:val="Strong"/>
    <w:basedOn w:val="DefaultParagraphFont"/>
    <w:uiPriority w:val="22"/>
    <w:qFormat/>
    <w:locked/>
    <w:rsid w:val="005D57A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069190">
      <w:bodyDiv w:val="1"/>
      <w:marLeft w:val="0"/>
      <w:marRight w:val="0"/>
      <w:marTop w:val="0"/>
      <w:marBottom w:val="0"/>
      <w:divBdr>
        <w:top w:val="none" w:sz="0" w:space="0" w:color="auto"/>
        <w:left w:val="none" w:sz="0" w:space="0" w:color="auto"/>
        <w:bottom w:val="none" w:sz="0" w:space="0" w:color="auto"/>
        <w:right w:val="none" w:sz="0" w:space="0" w:color="auto"/>
      </w:divBdr>
    </w:div>
    <w:div w:id="9452394">
      <w:bodyDiv w:val="1"/>
      <w:marLeft w:val="0"/>
      <w:marRight w:val="0"/>
      <w:marTop w:val="0"/>
      <w:marBottom w:val="0"/>
      <w:divBdr>
        <w:top w:val="none" w:sz="0" w:space="0" w:color="auto"/>
        <w:left w:val="none" w:sz="0" w:space="0" w:color="auto"/>
        <w:bottom w:val="none" w:sz="0" w:space="0" w:color="auto"/>
        <w:right w:val="none" w:sz="0" w:space="0" w:color="auto"/>
      </w:divBdr>
    </w:div>
    <w:div w:id="42413993">
      <w:bodyDiv w:val="1"/>
      <w:marLeft w:val="0"/>
      <w:marRight w:val="0"/>
      <w:marTop w:val="0"/>
      <w:marBottom w:val="0"/>
      <w:divBdr>
        <w:top w:val="none" w:sz="0" w:space="0" w:color="auto"/>
        <w:left w:val="none" w:sz="0" w:space="0" w:color="auto"/>
        <w:bottom w:val="none" w:sz="0" w:space="0" w:color="auto"/>
        <w:right w:val="none" w:sz="0" w:space="0" w:color="auto"/>
      </w:divBdr>
    </w:div>
    <w:div w:id="49040357">
      <w:bodyDiv w:val="1"/>
      <w:marLeft w:val="0"/>
      <w:marRight w:val="0"/>
      <w:marTop w:val="0"/>
      <w:marBottom w:val="0"/>
      <w:divBdr>
        <w:top w:val="none" w:sz="0" w:space="0" w:color="auto"/>
        <w:left w:val="none" w:sz="0" w:space="0" w:color="auto"/>
        <w:bottom w:val="none" w:sz="0" w:space="0" w:color="auto"/>
        <w:right w:val="none" w:sz="0" w:space="0" w:color="auto"/>
      </w:divBdr>
    </w:div>
    <w:div w:id="54354645">
      <w:bodyDiv w:val="1"/>
      <w:marLeft w:val="0"/>
      <w:marRight w:val="0"/>
      <w:marTop w:val="0"/>
      <w:marBottom w:val="0"/>
      <w:divBdr>
        <w:top w:val="none" w:sz="0" w:space="0" w:color="auto"/>
        <w:left w:val="none" w:sz="0" w:space="0" w:color="auto"/>
        <w:bottom w:val="none" w:sz="0" w:space="0" w:color="auto"/>
        <w:right w:val="none" w:sz="0" w:space="0" w:color="auto"/>
      </w:divBdr>
    </w:div>
    <w:div w:id="65035647">
      <w:bodyDiv w:val="1"/>
      <w:marLeft w:val="0"/>
      <w:marRight w:val="0"/>
      <w:marTop w:val="0"/>
      <w:marBottom w:val="0"/>
      <w:divBdr>
        <w:top w:val="none" w:sz="0" w:space="0" w:color="auto"/>
        <w:left w:val="none" w:sz="0" w:space="0" w:color="auto"/>
        <w:bottom w:val="none" w:sz="0" w:space="0" w:color="auto"/>
        <w:right w:val="none" w:sz="0" w:space="0" w:color="auto"/>
      </w:divBdr>
    </w:div>
    <w:div w:id="102462769">
      <w:bodyDiv w:val="1"/>
      <w:marLeft w:val="0"/>
      <w:marRight w:val="0"/>
      <w:marTop w:val="0"/>
      <w:marBottom w:val="0"/>
      <w:divBdr>
        <w:top w:val="none" w:sz="0" w:space="0" w:color="auto"/>
        <w:left w:val="none" w:sz="0" w:space="0" w:color="auto"/>
        <w:bottom w:val="none" w:sz="0" w:space="0" w:color="auto"/>
        <w:right w:val="none" w:sz="0" w:space="0" w:color="auto"/>
      </w:divBdr>
    </w:div>
    <w:div w:id="121267633">
      <w:bodyDiv w:val="1"/>
      <w:marLeft w:val="0"/>
      <w:marRight w:val="0"/>
      <w:marTop w:val="0"/>
      <w:marBottom w:val="0"/>
      <w:divBdr>
        <w:top w:val="none" w:sz="0" w:space="0" w:color="auto"/>
        <w:left w:val="none" w:sz="0" w:space="0" w:color="auto"/>
        <w:bottom w:val="none" w:sz="0" w:space="0" w:color="auto"/>
        <w:right w:val="none" w:sz="0" w:space="0" w:color="auto"/>
      </w:divBdr>
    </w:div>
    <w:div w:id="129053459">
      <w:bodyDiv w:val="1"/>
      <w:marLeft w:val="0"/>
      <w:marRight w:val="0"/>
      <w:marTop w:val="0"/>
      <w:marBottom w:val="0"/>
      <w:divBdr>
        <w:top w:val="none" w:sz="0" w:space="0" w:color="auto"/>
        <w:left w:val="none" w:sz="0" w:space="0" w:color="auto"/>
        <w:bottom w:val="none" w:sz="0" w:space="0" w:color="auto"/>
        <w:right w:val="none" w:sz="0" w:space="0" w:color="auto"/>
      </w:divBdr>
    </w:div>
    <w:div w:id="130559557">
      <w:bodyDiv w:val="1"/>
      <w:marLeft w:val="0"/>
      <w:marRight w:val="0"/>
      <w:marTop w:val="0"/>
      <w:marBottom w:val="0"/>
      <w:divBdr>
        <w:top w:val="none" w:sz="0" w:space="0" w:color="auto"/>
        <w:left w:val="none" w:sz="0" w:space="0" w:color="auto"/>
        <w:bottom w:val="none" w:sz="0" w:space="0" w:color="auto"/>
        <w:right w:val="none" w:sz="0" w:space="0" w:color="auto"/>
      </w:divBdr>
    </w:div>
    <w:div w:id="139157594">
      <w:bodyDiv w:val="1"/>
      <w:marLeft w:val="0"/>
      <w:marRight w:val="0"/>
      <w:marTop w:val="0"/>
      <w:marBottom w:val="0"/>
      <w:divBdr>
        <w:top w:val="none" w:sz="0" w:space="0" w:color="auto"/>
        <w:left w:val="none" w:sz="0" w:space="0" w:color="auto"/>
        <w:bottom w:val="none" w:sz="0" w:space="0" w:color="auto"/>
        <w:right w:val="none" w:sz="0" w:space="0" w:color="auto"/>
      </w:divBdr>
    </w:div>
    <w:div w:id="174539505">
      <w:bodyDiv w:val="1"/>
      <w:marLeft w:val="0"/>
      <w:marRight w:val="0"/>
      <w:marTop w:val="0"/>
      <w:marBottom w:val="0"/>
      <w:divBdr>
        <w:top w:val="none" w:sz="0" w:space="0" w:color="auto"/>
        <w:left w:val="none" w:sz="0" w:space="0" w:color="auto"/>
        <w:bottom w:val="none" w:sz="0" w:space="0" w:color="auto"/>
        <w:right w:val="none" w:sz="0" w:space="0" w:color="auto"/>
      </w:divBdr>
    </w:div>
    <w:div w:id="177503906">
      <w:bodyDiv w:val="1"/>
      <w:marLeft w:val="0"/>
      <w:marRight w:val="0"/>
      <w:marTop w:val="0"/>
      <w:marBottom w:val="0"/>
      <w:divBdr>
        <w:top w:val="none" w:sz="0" w:space="0" w:color="auto"/>
        <w:left w:val="none" w:sz="0" w:space="0" w:color="auto"/>
        <w:bottom w:val="none" w:sz="0" w:space="0" w:color="auto"/>
        <w:right w:val="none" w:sz="0" w:space="0" w:color="auto"/>
      </w:divBdr>
    </w:div>
    <w:div w:id="194731797">
      <w:bodyDiv w:val="1"/>
      <w:marLeft w:val="0"/>
      <w:marRight w:val="0"/>
      <w:marTop w:val="0"/>
      <w:marBottom w:val="0"/>
      <w:divBdr>
        <w:top w:val="none" w:sz="0" w:space="0" w:color="auto"/>
        <w:left w:val="none" w:sz="0" w:space="0" w:color="auto"/>
        <w:bottom w:val="none" w:sz="0" w:space="0" w:color="auto"/>
        <w:right w:val="none" w:sz="0" w:space="0" w:color="auto"/>
      </w:divBdr>
    </w:div>
    <w:div w:id="236520241">
      <w:bodyDiv w:val="1"/>
      <w:marLeft w:val="0"/>
      <w:marRight w:val="0"/>
      <w:marTop w:val="0"/>
      <w:marBottom w:val="0"/>
      <w:divBdr>
        <w:top w:val="none" w:sz="0" w:space="0" w:color="auto"/>
        <w:left w:val="none" w:sz="0" w:space="0" w:color="auto"/>
        <w:bottom w:val="none" w:sz="0" w:space="0" w:color="auto"/>
        <w:right w:val="none" w:sz="0" w:space="0" w:color="auto"/>
      </w:divBdr>
    </w:div>
    <w:div w:id="307368321">
      <w:bodyDiv w:val="1"/>
      <w:marLeft w:val="0"/>
      <w:marRight w:val="0"/>
      <w:marTop w:val="0"/>
      <w:marBottom w:val="0"/>
      <w:divBdr>
        <w:top w:val="none" w:sz="0" w:space="0" w:color="auto"/>
        <w:left w:val="none" w:sz="0" w:space="0" w:color="auto"/>
        <w:bottom w:val="none" w:sz="0" w:space="0" w:color="auto"/>
        <w:right w:val="none" w:sz="0" w:space="0" w:color="auto"/>
      </w:divBdr>
    </w:div>
    <w:div w:id="379133818">
      <w:bodyDiv w:val="1"/>
      <w:marLeft w:val="0"/>
      <w:marRight w:val="0"/>
      <w:marTop w:val="0"/>
      <w:marBottom w:val="0"/>
      <w:divBdr>
        <w:top w:val="none" w:sz="0" w:space="0" w:color="auto"/>
        <w:left w:val="none" w:sz="0" w:space="0" w:color="auto"/>
        <w:bottom w:val="none" w:sz="0" w:space="0" w:color="auto"/>
        <w:right w:val="none" w:sz="0" w:space="0" w:color="auto"/>
      </w:divBdr>
    </w:div>
    <w:div w:id="428238357">
      <w:bodyDiv w:val="1"/>
      <w:marLeft w:val="0"/>
      <w:marRight w:val="0"/>
      <w:marTop w:val="0"/>
      <w:marBottom w:val="0"/>
      <w:divBdr>
        <w:top w:val="none" w:sz="0" w:space="0" w:color="auto"/>
        <w:left w:val="none" w:sz="0" w:space="0" w:color="auto"/>
        <w:bottom w:val="none" w:sz="0" w:space="0" w:color="auto"/>
        <w:right w:val="none" w:sz="0" w:space="0" w:color="auto"/>
      </w:divBdr>
    </w:div>
    <w:div w:id="433287467">
      <w:bodyDiv w:val="1"/>
      <w:marLeft w:val="0"/>
      <w:marRight w:val="0"/>
      <w:marTop w:val="0"/>
      <w:marBottom w:val="0"/>
      <w:divBdr>
        <w:top w:val="none" w:sz="0" w:space="0" w:color="auto"/>
        <w:left w:val="none" w:sz="0" w:space="0" w:color="auto"/>
        <w:bottom w:val="none" w:sz="0" w:space="0" w:color="auto"/>
        <w:right w:val="none" w:sz="0" w:space="0" w:color="auto"/>
      </w:divBdr>
    </w:div>
    <w:div w:id="436096481">
      <w:bodyDiv w:val="1"/>
      <w:marLeft w:val="0"/>
      <w:marRight w:val="0"/>
      <w:marTop w:val="0"/>
      <w:marBottom w:val="0"/>
      <w:divBdr>
        <w:top w:val="none" w:sz="0" w:space="0" w:color="auto"/>
        <w:left w:val="none" w:sz="0" w:space="0" w:color="auto"/>
        <w:bottom w:val="none" w:sz="0" w:space="0" w:color="auto"/>
        <w:right w:val="none" w:sz="0" w:space="0" w:color="auto"/>
      </w:divBdr>
    </w:div>
    <w:div w:id="438261542">
      <w:bodyDiv w:val="1"/>
      <w:marLeft w:val="0"/>
      <w:marRight w:val="0"/>
      <w:marTop w:val="0"/>
      <w:marBottom w:val="0"/>
      <w:divBdr>
        <w:top w:val="none" w:sz="0" w:space="0" w:color="auto"/>
        <w:left w:val="none" w:sz="0" w:space="0" w:color="auto"/>
        <w:bottom w:val="none" w:sz="0" w:space="0" w:color="auto"/>
        <w:right w:val="none" w:sz="0" w:space="0" w:color="auto"/>
      </w:divBdr>
    </w:div>
    <w:div w:id="467162363">
      <w:bodyDiv w:val="1"/>
      <w:marLeft w:val="0"/>
      <w:marRight w:val="0"/>
      <w:marTop w:val="0"/>
      <w:marBottom w:val="0"/>
      <w:divBdr>
        <w:top w:val="none" w:sz="0" w:space="0" w:color="auto"/>
        <w:left w:val="none" w:sz="0" w:space="0" w:color="auto"/>
        <w:bottom w:val="none" w:sz="0" w:space="0" w:color="auto"/>
        <w:right w:val="none" w:sz="0" w:space="0" w:color="auto"/>
      </w:divBdr>
    </w:div>
    <w:div w:id="472528538">
      <w:bodyDiv w:val="1"/>
      <w:marLeft w:val="0"/>
      <w:marRight w:val="0"/>
      <w:marTop w:val="0"/>
      <w:marBottom w:val="0"/>
      <w:divBdr>
        <w:top w:val="none" w:sz="0" w:space="0" w:color="auto"/>
        <w:left w:val="none" w:sz="0" w:space="0" w:color="auto"/>
        <w:bottom w:val="none" w:sz="0" w:space="0" w:color="auto"/>
        <w:right w:val="none" w:sz="0" w:space="0" w:color="auto"/>
      </w:divBdr>
    </w:div>
    <w:div w:id="563681289">
      <w:bodyDiv w:val="1"/>
      <w:marLeft w:val="0"/>
      <w:marRight w:val="0"/>
      <w:marTop w:val="0"/>
      <w:marBottom w:val="0"/>
      <w:divBdr>
        <w:top w:val="none" w:sz="0" w:space="0" w:color="auto"/>
        <w:left w:val="none" w:sz="0" w:space="0" w:color="auto"/>
        <w:bottom w:val="none" w:sz="0" w:space="0" w:color="auto"/>
        <w:right w:val="none" w:sz="0" w:space="0" w:color="auto"/>
      </w:divBdr>
    </w:div>
    <w:div w:id="595286529">
      <w:bodyDiv w:val="1"/>
      <w:marLeft w:val="0"/>
      <w:marRight w:val="0"/>
      <w:marTop w:val="0"/>
      <w:marBottom w:val="0"/>
      <w:divBdr>
        <w:top w:val="none" w:sz="0" w:space="0" w:color="auto"/>
        <w:left w:val="none" w:sz="0" w:space="0" w:color="auto"/>
        <w:bottom w:val="none" w:sz="0" w:space="0" w:color="auto"/>
        <w:right w:val="none" w:sz="0" w:space="0" w:color="auto"/>
      </w:divBdr>
    </w:div>
    <w:div w:id="659887546">
      <w:bodyDiv w:val="1"/>
      <w:marLeft w:val="0"/>
      <w:marRight w:val="0"/>
      <w:marTop w:val="0"/>
      <w:marBottom w:val="0"/>
      <w:divBdr>
        <w:top w:val="none" w:sz="0" w:space="0" w:color="auto"/>
        <w:left w:val="none" w:sz="0" w:space="0" w:color="auto"/>
        <w:bottom w:val="none" w:sz="0" w:space="0" w:color="auto"/>
        <w:right w:val="none" w:sz="0" w:space="0" w:color="auto"/>
      </w:divBdr>
    </w:div>
    <w:div w:id="684358716">
      <w:bodyDiv w:val="1"/>
      <w:marLeft w:val="0"/>
      <w:marRight w:val="0"/>
      <w:marTop w:val="0"/>
      <w:marBottom w:val="0"/>
      <w:divBdr>
        <w:top w:val="none" w:sz="0" w:space="0" w:color="auto"/>
        <w:left w:val="none" w:sz="0" w:space="0" w:color="auto"/>
        <w:bottom w:val="none" w:sz="0" w:space="0" w:color="auto"/>
        <w:right w:val="none" w:sz="0" w:space="0" w:color="auto"/>
      </w:divBdr>
    </w:div>
    <w:div w:id="695813118">
      <w:bodyDiv w:val="1"/>
      <w:marLeft w:val="0"/>
      <w:marRight w:val="0"/>
      <w:marTop w:val="0"/>
      <w:marBottom w:val="0"/>
      <w:divBdr>
        <w:top w:val="none" w:sz="0" w:space="0" w:color="auto"/>
        <w:left w:val="none" w:sz="0" w:space="0" w:color="auto"/>
        <w:bottom w:val="none" w:sz="0" w:space="0" w:color="auto"/>
        <w:right w:val="none" w:sz="0" w:space="0" w:color="auto"/>
      </w:divBdr>
    </w:div>
    <w:div w:id="751899148">
      <w:bodyDiv w:val="1"/>
      <w:marLeft w:val="0"/>
      <w:marRight w:val="0"/>
      <w:marTop w:val="0"/>
      <w:marBottom w:val="0"/>
      <w:divBdr>
        <w:top w:val="none" w:sz="0" w:space="0" w:color="auto"/>
        <w:left w:val="none" w:sz="0" w:space="0" w:color="auto"/>
        <w:bottom w:val="none" w:sz="0" w:space="0" w:color="auto"/>
        <w:right w:val="none" w:sz="0" w:space="0" w:color="auto"/>
      </w:divBdr>
    </w:div>
    <w:div w:id="786240289">
      <w:bodyDiv w:val="1"/>
      <w:marLeft w:val="0"/>
      <w:marRight w:val="0"/>
      <w:marTop w:val="0"/>
      <w:marBottom w:val="0"/>
      <w:divBdr>
        <w:top w:val="none" w:sz="0" w:space="0" w:color="auto"/>
        <w:left w:val="none" w:sz="0" w:space="0" w:color="auto"/>
        <w:bottom w:val="none" w:sz="0" w:space="0" w:color="auto"/>
        <w:right w:val="none" w:sz="0" w:space="0" w:color="auto"/>
      </w:divBdr>
    </w:div>
    <w:div w:id="884560126">
      <w:bodyDiv w:val="1"/>
      <w:marLeft w:val="0"/>
      <w:marRight w:val="0"/>
      <w:marTop w:val="0"/>
      <w:marBottom w:val="0"/>
      <w:divBdr>
        <w:top w:val="none" w:sz="0" w:space="0" w:color="auto"/>
        <w:left w:val="none" w:sz="0" w:space="0" w:color="auto"/>
        <w:bottom w:val="none" w:sz="0" w:space="0" w:color="auto"/>
        <w:right w:val="none" w:sz="0" w:space="0" w:color="auto"/>
      </w:divBdr>
    </w:div>
    <w:div w:id="997540166">
      <w:bodyDiv w:val="1"/>
      <w:marLeft w:val="0"/>
      <w:marRight w:val="0"/>
      <w:marTop w:val="0"/>
      <w:marBottom w:val="0"/>
      <w:divBdr>
        <w:top w:val="none" w:sz="0" w:space="0" w:color="auto"/>
        <w:left w:val="none" w:sz="0" w:space="0" w:color="auto"/>
        <w:bottom w:val="none" w:sz="0" w:space="0" w:color="auto"/>
        <w:right w:val="none" w:sz="0" w:space="0" w:color="auto"/>
      </w:divBdr>
    </w:div>
    <w:div w:id="1066105270">
      <w:bodyDiv w:val="1"/>
      <w:marLeft w:val="0"/>
      <w:marRight w:val="0"/>
      <w:marTop w:val="0"/>
      <w:marBottom w:val="0"/>
      <w:divBdr>
        <w:top w:val="none" w:sz="0" w:space="0" w:color="auto"/>
        <w:left w:val="none" w:sz="0" w:space="0" w:color="auto"/>
        <w:bottom w:val="none" w:sz="0" w:space="0" w:color="auto"/>
        <w:right w:val="none" w:sz="0" w:space="0" w:color="auto"/>
      </w:divBdr>
    </w:div>
    <w:div w:id="1129935006">
      <w:bodyDiv w:val="1"/>
      <w:marLeft w:val="0"/>
      <w:marRight w:val="0"/>
      <w:marTop w:val="0"/>
      <w:marBottom w:val="0"/>
      <w:divBdr>
        <w:top w:val="none" w:sz="0" w:space="0" w:color="auto"/>
        <w:left w:val="none" w:sz="0" w:space="0" w:color="auto"/>
        <w:bottom w:val="none" w:sz="0" w:space="0" w:color="auto"/>
        <w:right w:val="none" w:sz="0" w:space="0" w:color="auto"/>
      </w:divBdr>
    </w:div>
    <w:div w:id="1155562066">
      <w:bodyDiv w:val="1"/>
      <w:marLeft w:val="0"/>
      <w:marRight w:val="0"/>
      <w:marTop w:val="0"/>
      <w:marBottom w:val="0"/>
      <w:divBdr>
        <w:top w:val="none" w:sz="0" w:space="0" w:color="auto"/>
        <w:left w:val="none" w:sz="0" w:space="0" w:color="auto"/>
        <w:bottom w:val="none" w:sz="0" w:space="0" w:color="auto"/>
        <w:right w:val="none" w:sz="0" w:space="0" w:color="auto"/>
      </w:divBdr>
    </w:div>
    <w:div w:id="1183520297">
      <w:bodyDiv w:val="1"/>
      <w:marLeft w:val="0"/>
      <w:marRight w:val="0"/>
      <w:marTop w:val="0"/>
      <w:marBottom w:val="0"/>
      <w:divBdr>
        <w:top w:val="none" w:sz="0" w:space="0" w:color="auto"/>
        <w:left w:val="none" w:sz="0" w:space="0" w:color="auto"/>
        <w:bottom w:val="none" w:sz="0" w:space="0" w:color="auto"/>
        <w:right w:val="none" w:sz="0" w:space="0" w:color="auto"/>
      </w:divBdr>
    </w:div>
    <w:div w:id="1199011532">
      <w:bodyDiv w:val="1"/>
      <w:marLeft w:val="0"/>
      <w:marRight w:val="0"/>
      <w:marTop w:val="0"/>
      <w:marBottom w:val="0"/>
      <w:divBdr>
        <w:top w:val="none" w:sz="0" w:space="0" w:color="auto"/>
        <w:left w:val="none" w:sz="0" w:space="0" w:color="auto"/>
        <w:bottom w:val="none" w:sz="0" w:space="0" w:color="auto"/>
        <w:right w:val="none" w:sz="0" w:space="0" w:color="auto"/>
      </w:divBdr>
    </w:div>
    <w:div w:id="1316953895">
      <w:bodyDiv w:val="1"/>
      <w:marLeft w:val="0"/>
      <w:marRight w:val="0"/>
      <w:marTop w:val="0"/>
      <w:marBottom w:val="0"/>
      <w:divBdr>
        <w:top w:val="none" w:sz="0" w:space="0" w:color="auto"/>
        <w:left w:val="none" w:sz="0" w:space="0" w:color="auto"/>
        <w:bottom w:val="none" w:sz="0" w:space="0" w:color="auto"/>
        <w:right w:val="none" w:sz="0" w:space="0" w:color="auto"/>
      </w:divBdr>
    </w:div>
    <w:div w:id="1325166056">
      <w:bodyDiv w:val="1"/>
      <w:marLeft w:val="0"/>
      <w:marRight w:val="0"/>
      <w:marTop w:val="0"/>
      <w:marBottom w:val="0"/>
      <w:divBdr>
        <w:top w:val="none" w:sz="0" w:space="0" w:color="auto"/>
        <w:left w:val="none" w:sz="0" w:space="0" w:color="auto"/>
        <w:bottom w:val="none" w:sz="0" w:space="0" w:color="auto"/>
        <w:right w:val="none" w:sz="0" w:space="0" w:color="auto"/>
      </w:divBdr>
    </w:div>
    <w:div w:id="1398746245">
      <w:bodyDiv w:val="1"/>
      <w:marLeft w:val="0"/>
      <w:marRight w:val="0"/>
      <w:marTop w:val="0"/>
      <w:marBottom w:val="0"/>
      <w:divBdr>
        <w:top w:val="none" w:sz="0" w:space="0" w:color="auto"/>
        <w:left w:val="none" w:sz="0" w:space="0" w:color="auto"/>
        <w:bottom w:val="none" w:sz="0" w:space="0" w:color="auto"/>
        <w:right w:val="none" w:sz="0" w:space="0" w:color="auto"/>
      </w:divBdr>
    </w:div>
    <w:div w:id="1407460345">
      <w:bodyDiv w:val="1"/>
      <w:marLeft w:val="0"/>
      <w:marRight w:val="0"/>
      <w:marTop w:val="0"/>
      <w:marBottom w:val="0"/>
      <w:divBdr>
        <w:top w:val="none" w:sz="0" w:space="0" w:color="auto"/>
        <w:left w:val="none" w:sz="0" w:space="0" w:color="auto"/>
        <w:bottom w:val="none" w:sz="0" w:space="0" w:color="auto"/>
        <w:right w:val="none" w:sz="0" w:space="0" w:color="auto"/>
      </w:divBdr>
    </w:div>
    <w:div w:id="1425759349">
      <w:bodyDiv w:val="1"/>
      <w:marLeft w:val="0"/>
      <w:marRight w:val="0"/>
      <w:marTop w:val="0"/>
      <w:marBottom w:val="0"/>
      <w:divBdr>
        <w:top w:val="none" w:sz="0" w:space="0" w:color="auto"/>
        <w:left w:val="none" w:sz="0" w:space="0" w:color="auto"/>
        <w:bottom w:val="none" w:sz="0" w:space="0" w:color="auto"/>
        <w:right w:val="none" w:sz="0" w:space="0" w:color="auto"/>
      </w:divBdr>
    </w:div>
    <w:div w:id="1430203092">
      <w:bodyDiv w:val="1"/>
      <w:marLeft w:val="0"/>
      <w:marRight w:val="0"/>
      <w:marTop w:val="0"/>
      <w:marBottom w:val="0"/>
      <w:divBdr>
        <w:top w:val="none" w:sz="0" w:space="0" w:color="auto"/>
        <w:left w:val="none" w:sz="0" w:space="0" w:color="auto"/>
        <w:bottom w:val="none" w:sz="0" w:space="0" w:color="auto"/>
        <w:right w:val="none" w:sz="0" w:space="0" w:color="auto"/>
      </w:divBdr>
    </w:div>
    <w:div w:id="1440905387">
      <w:bodyDiv w:val="1"/>
      <w:marLeft w:val="0"/>
      <w:marRight w:val="0"/>
      <w:marTop w:val="0"/>
      <w:marBottom w:val="0"/>
      <w:divBdr>
        <w:top w:val="none" w:sz="0" w:space="0" w:color="auto"/>
        <w:left w:val="none" w:sz="0" w:space="0" w:color="auto"/>
        <w:bottom w:val="none" w:sz="0" w:space="0" w:color="auto"/>
        <w:right w:val="none" w:sz="0" w:space="0" w:color="auto"/>
      </w:divBdr>
    </w:div>
    <w:div w:id="1456371309">
      <w:bodyDiv w:val="1"/>
      <w:marLeft w:val="0"/>
      <w:marRight w:val="0"/>
      <w:marTop w:val="0"/>
      <w:marBottom w:val="0"/>
      <w:divBdr>
        <w:top w:val="none" w:sz="0" w:space="0" w:color="auto"/>
        <w:left w:val="none" w:sz="0" w:space="0" w:color="auto"/>
        <w:bottom w:val="none" w:sz="0" w:space="0" w:color="auto"/>
        <w:right w:val="none" w:sz="0" w:space="0" w:color="auto"/>
      </w:divBdr>
    </w:div>
    <w:div w:id="1482455182">
      <w:marLeft w:val="0"/>
      <w:marRight w:val="0"/>
      <w:marTop w:val="0"/>
      <w:marBottom w:val="0"/>
      <w:divBdr>
        <w:top w:val="none" w:sz="0" w:space="0" w:color="auto"/>
        <w:left w:val="none" w:sz="0" w:space="0" w:color="auto"/>
        <w:bottom w:val="none" w:sz="0" w:space="0" w:color="auto"/>
        <w:right w:val="none" w:sz="0" w:space="0" w:color="auto"/>
      </w:divBdr>
    </w:div>
    <w:div w:id="1482455183">
      <w:marLeft w:val="0"/>
      <w:marRight w:val="0"/>
      <w:marTop w:val="0"/>
      <w:marBottom w:val="0"/>
      <w:divBdr>
        <w:top w:val="none" w:sz="0" w:space="0" w:color="auto"/>
        <w:left w:val="none" w:sz="0" w:space="0" w:color="auto"/>
        <w:bottom w:val="none" w:sz="0" w:space="0" w:color="auto"/>
        <w:right w:val="none" w:sz="0" w:space="0" w:color="auto"/>
      </w:divBdr>
    </w:div>
    <w:div w:id="1482455184">
      <w:marLeft w:val="0"/>
      <w:marRight w:val="0"/>
      <w:marTop w:val="0"/>
      <w:marBottom w:val="0"/>
      <w:divBdr>
        <w:top w:val="none" w:sz="0" w:space="0" w:color="auto"/>
        <w:left w:val="none" w:sz="0" w:space="0" w:color="auto"/>
        <w:bottom w:val="none" w:sz="0" w:space="0" w:color="auto"/>
        <w:right w:val="none" w:sz="0" w:space="0" w:color="auto"/>
      </w:divBdr>
    </w:div>
    <w:div w:id="1482455185">
      <w:marLeft w:val="0"/>
      <w:marRight w:val="0"/>
      <w:marTop w:val="0"/>
      <w:marBottom w:val="0"/>
      <w:divBdr>
        <w:top w:val="none" w:sz="0" w:space="0" w:color="auto"/>
        <w:left w:val="none" w:sz="0" w:space="0" w:color="auto"/>
        <w:bottom w:val="none" w:sz="0" w:space="0" w:color="auto"/>
        <w:right w:val="none" w:sz="0" w:space="0" w:color="auto"/>
      </w:divBdr>
    </w:div>
    <w:div w:id="1482455186">
      <w:marLeft w:val="0"/>
      <w:marRight w:val="0"/>
      <w:marTop w:val="0"/>
      <w:marBottom w:val="0"/>
      <w:divBdr>
        <w:top w:val="none" w:sz="0" w:space="0" w:color="auto"/>
        <w:left w:val="none" w:sz="0" w:space="0" w:color="auto"/>
        <w:bottom w:val="none" w:sz="0" w:space="0" w:color="auto"/>
        <w:right w:val="none" w:sz="0" w:space="0" w:color="auto"/>
      </w:divBdr>
    </w:div>
    <w:div w:id="1482455187">
      <w:marLeft w:val="0"/>
      <w:marRight w:val="0"/>
      <w:marTop w:val="0"/>
      <w:marBottom w:val="0"/>
      <w:divBdr>
        <w:top w:val="none" w:sz="0" w:space="0" w:color="auto"/>
        <w:left w:val="none" w:sz="0" w:space="0" w:color="auto"/>
        <w:bottom w:val="none" w:sz="0" w:space="0" w:color="auto"/>
        <w:right w:val="none" w:sz="0" w:space="0" w:color="auto"/>
      </w:divBdr>
    </w:div>
    <w:div w:id="1482455188">
      <w:marLeft w:val="0"/>
      <w:marRight w:val="0"/>
      <w:marTop w:val="0"/>
      <w:marBottom w:val="0"/>
      <w:divBdr>
        <w:top w:val="none" w:sz="0" w:space="0" w:color="auto"/>
        <w:left w:val="none" w:sz="0" w:space="0" w:color="auto"/>
        <w:bottom w:val="none" w:sz="0" w:space="0" w:color="auto"/>
        <w:right w:val="none" w:sz="0" w:space="0" w:color="auto"/>
      </w:divBdr>
    </w:div>
    <w:div w:id="1482455189">
      <w:marLeft w:val="0"/>
      <w:marRight w:val="0"/>
      <w:marTop w:val="0"/>
      <w:marBottom w:val="0"/>
      <w:divBdr>
        <w:top w:val="none" w:sz="0" w:space="0" w:color="auto"/>
        <w:left w:val="none" w:sz="0" w:space="0" w:color="auto"/>
        <w:bottom w:val="none" w:sz="0" w:space="0" w:color="auto"/>
        <w:right w:val="none" w:sz="0" w:space="0" w:color="auto"/>
      </w:divBdr>
    </w:div>
    <w:div w:id="1482455190">
      <w:marLeft w:val="0"/>
      <w:marRight w:val="0"/>
      <w:marTop w:val="0"/>
      <w:marBottom w:val="0"/>
      <w:divBdr>
        <w:top w:val="none" w:sz="0" w:space="0" w:color="auto"/>
        <w:left w:val="none" w:sz="0" w:space="0" w:color="auto"/>
        <w:bottom w:val="none" w:sz="0" w:space="0" w:color="auto"/>
        <w:right w:val="none" w:sz="0" w:space="0" w:color="auto"/>
      </w:divBdr>
    </w:div>
    <w:div w:id="1482455191">
      <w:marLeft w:val="0"/>
      <w:marRight w:val="0"/>
      <w:marTop w:val="0"/>
      <w:marBottom w:val="0"/>
      <w:divBdr>
        <w:top w:val="none" w:sz="0" w:space="0" w:color="auto"/>
        <w:left w:val="none" w:sz="0" w:space="0" w:color="auto"/>
        <w:bottom w:val="none" w:sz="0" w:space="0" w:color="auto"/>
        <w:right w:val="none" w:sz="0" w:space="0" w:color="auto"/>
      </w:divBdr>
    </w:div>
    <w:div w:id="1482455192">
      <w:marLeft w:val="0"/>
      <w:marRight w:val="0"/>
      <w:marTop w:val="0"/>
      <w:marBottom w:val="0"/>
      <w:divBdr>
        <w:top w:val="none" w:sz="0" w:space="0" w:color="auto"/>
        <w:left w:val="none" w:sz="0" w:space="0" w:color="auto"/>
        <w:bottom w:val="none" w:sz="0" w:space="0" w:color="auto"/>
        <w:right w:val="none" w:sz="0" w:space="0" w:color="auto"/>
      </w:divBdr>
    </w:div>
    <w:div w:id="1482455193">
      <w:marLeft w:val="0"/>
      <w:marRight w:val="0"/>
      <w:marTop w:val="0"/>
      <w:marBottom w:val="0"/>
      <w:divBdr>
        <w:top w:val="none" w:sz="0" w:space="0" w:color="auto"/>
        <w:left w:val="none" w:sz="0" w:space="0" w:color="auto"/>
        <w:bottom w:val="none" w:sz="0" w:space="0" w:color="auto"/>
        <w:right w:val="none" w:sz="0" w:space="0" w:color="auto"/>
      </w:divBdr>
    </w:div>
    <w:div w:id="1482455194">
      <w:marLeft w:val="0"/>
      <w:marRight w:val="0"/>
      <w:marTop w:val="0"/>
      <w:marBottom w:val="0"/>
      <w:divBdr>
        <w:top w:val="none" w:sz="0" w:space="0" w:color="auto"/>
        <w:left w:val="none" w:sz="0" w:space="0" w:color="auto"/>
        <w:bottom w:val="none" w:sz="0" w:space="0" w:color="auto"/>
        <w:right w:val="none" w:sz="0" w:space="0" w:color="auto"/>
      </w:divBdr>
    </w:div>
    <w:div w:id="1482455195">
      <w:marLeft w:val="0"/>
      <w:marRight w:val="0"/>
      <w:marTop w:val="0"/>
      <w:marBottom w:val="0"/>
      <w:divBdr>
        <w:top w:val="none" w:sz="0" w:space="0" w:color="auto"/>
        <w:left w:val="none" w:sz="0" w:space="0" w:color="auto"/>
        <w:bottom w:val="none" w:sz="0" w:space="0" w:color="auto"/>
        <w:right w:val="none" w:sz="0" w:space="0" w:color="auto"/>
      </w:divBdr>
    </w:div>
    <w:div w:id="1482455196">
      <w:marLeft w:val="0"/>
      <w:marRight w:val="0"/>
      <w:marTop w:val="0"/>
      <w:marBottom w:val="0"/>
      <w:divBdr>
        <w:top w:val="none" w:sz="0" w:space="0" w:color="auto"/>
        <w:left w:val="none" w:sz="0" w:space="0" w:color="auto"/>
        <w:bottom w:val="none" w:sz="0" w:space="0" w:color="auto"/>
        <w:right w:val="none" w:sz="0" w:space="0" w:color="auto"/>
      </w:divBdr>
    </w:div>
    <w:div w:id="1482455197">
      <w:marLeft w:val="0"/>
      <w:marRight w:val="0"/>
      <w:marTop w:val="0"/>
      <w:marBottom w:val="0"/>
      <w:divBdr>
        <w:top w:val="none" w:sz="0" w:space="0" w:color="auto"/>
        <w:left w:val="none" w:sz="0" w:space="0" w:color="auto"/>
        <w:bottom w:val="none" w:sz="0" w:space="0" w:color="auto"/>
        <w:right w:val="none" w:sz="0" w:space="0" w:color="auto"/>
      </w:divBdr>
    </w:div>
    <w:div w:id="1482455198">
      <w:marLeft w:val="0"/>
      <w:marRight w:val="0"/>
      <w:marTop w:val="0"/>
      <w:marBottom w:val="0"/>
      <w:divBdr>
        <w:top w:val="none" w:sz="0" w:space="0" w:color="auto"/>
        <w:left w:val="none" w:sz="0" w:space="0" w:color="auto"/>
        <w:bottom w:val="none" w:sz="0" w:space="0" w:color="auto"/>
        <w:right w:val="none" w:sz="0" w:space="0" w:color="auto"/>
      </w:divBdr>
    </w:div>
    <w:div w:id="1482455199">
      <w:marLeft w:val="0"/>
      <w:marRight w:val="0"/>
      <w:marTop w:val="0"/>
      <w:marBottom w:val="0"/>
      <w:divBdr>
        <w:top w:val="none" w:sz="0" w:space="0" w:color="auto"/>
        <w:left w:val="none" w:sz="0" w:space="0" w:color="auto"/>
        <w:bottom w:val="none" w:sz="0" w:space="0" w:color="auto"/>
        <w:right w:val="none" w:sz="0" w:space="0" w:color="auto"/>
      </w:divBdr>
    </w:div>
    <w:div w:id="1482455200">
      <w:marLeft w:val="0"/>
      <w:marRight w:val="0"/>
      <w:marTop w:val="0"/>
      <w:marBottom w:val="0"/>
      <w:divBdr>
        <w:top w:val="none" w:sz="0" w:space="0" w:color="auto"/>
        <w:left w:val="none" w:sz="0" w:space="0" w:color="auto"/>
        <w:bottom w:val="none" w:sz="0" w:space="0" w:color="auto"/>
        <w:right w:val="none" w:sz="0" w:space="0" w:color="auto"/>
      </w:divBdr>
    </w:div>
    <w:div w:id="1482455201">
      <w:marLeft w:val="0"/>
      <w:marRight w:val="0"/>
      <w:marTop w:val="0"/>
      <w:marBottom w:val="0"/>
      <w:divBdr>
        <w:top w:val="none" w:sz="0" w:space="0" w:color="auto"/>
        <w:left w:val="none" w:sz="0" w:space="0" w:color="auto"/>
        <w:bottom w:val="none" w:sz="0" w:space="0" w:color="auto"/>
        <w:right w:val="none" w:sz="0" w:space="0" w:color="auto"/>
      </w:divBdr>
    </w:div>
    <w:div w:id="1482455202">
      <w:marLeft w:val="0"/>
      <w:marRight w:val="0"/>
      <w:marTop w:val="0"/>
      <w:marBottom w:val="0"/>
      <w:divBdr>
        <w:top w:val="none" w:sz="0" w:space="0" w:color="auto"/>
        <w:left w:val="none" w:sz="0" w:space="0" w:color="auto"/>
        <w:bottom w:val="none" w:sz="0" w:space="0" w:color="auto"/>
        <w:right w:val="none" w:sz="0" w:space="0" w:color="auto"/>
      </w:divBdr>
    </w:div>
    <w:div w:id="1482455203">
      <w:marLeft w:val="0"/>
      <w:marRight w:val="0"/>
      <w:marTop w:val="0"/>
      <w:marBottom w:val="0"/>
      <w:divBdr>
        <w:top w:val="none" w:sz="0" w:space="0" w:color="auto"/>
        <w:left w:val="none" w:sz="0" w:space="0" w:color="auto"/>
        <w:bottom w:val="none" w:sz="0" w:space="0" w:color="auto"/>
        <w:right w:val="none" w:sz="0" w:space="0" w:color="auto"/>
      </w:divBdr>
    </w:div>
    <w:div w:id="1500346280">
      <w:bodyDiv w:val="1"/>
      <w:marLeft w:val="0"/>
      <w:marRight w:val="0"/>
      <w:marTop w:val="0"/>
      <w:marBottom w:val="0"/>
      <w:divBdr>
        <w:top w:val="none" w:sz="0" w:space="0" w:color="auto"/>
        <w:left w:val="none" w:sz="0" w:space="0" w:color="auto"/>
        <w:bottom w:val="none" w:sz="0" w:space="0" w:color="auto"/>
        <w:right w:val="none" w:sz="0" w:space="0" w:color="auto"/>
      </w:divBdr>
    </w:div>
    <w:div w:id="1570533350">
      <w:bodyDiv w:val="1"/>
      <w:marLeft w:val="0"/>
      <w:marRight w:val="0"/>
      <w:marTop w:val="0"/>
      <w:marBottom w:val="0"/>
      <w:divBdr>
        <w:top w:val="none" w:sz="0" w:space="0" w:color="auto"/>
        <w:left w:val="none" w:sz="0" w:space="0" w:color="auto"/>
        <w:bottom w:val="none" w:sz="0" w:space="0" w:color="auto"/>
        <w:right w:val="none" w:sz="0" w:space="0" w:color="auto"/>
      </w:divBdr>
    </w:div>
    <w:div w:id="1579170379">
      <w:bodyDiv w:val="1"/>
      <w:marLeft w:val="0"/>
      <w:marRight w:val="0"/>
      <w:marTop w:val="0"/>
      <w:marBottom w:val="0"/>
      <w:divBdr>
        <w:top w:val="none" w:sz="0" w:space="0" w:color="auto"/>
        <w:left w:val="none" w:sz="0" w:space="0" w:color="auto"/>
        <w:bottom w:val="none" w:sz="0" w:space="0" w:color="auto"/>
        <w:right w:val="none" w:sz="0" w:space="0" w:color="auto"/>
      </w:divBdr>
    </w:div>
    <w:div w:id="1618177881">
      <w:bodyDiv w:val="1"/>
      <w:marLeft w:val="0"/>
      <w:marRight w:val="0"/>
      <w:marTop w:val="0"/>
      <w:marBottom w:val="0"/>
      <w:divBdr>
        <w:top w:val="none" w:sz="0" w:space="0" w:color="auto"/>
        <w:left w:val="none" w:sz="0" w:space="0" w:color="auto"/>
        <w:bottom w:val="none" w:sz="0" w:space="0" w:color="auto"/>
        <w:right w:val="none" w:sz="0" w:space="0" w:color="auto"/>
      </w:divBdr>
    </w:div>
    <w:div w:id="1649937169">
      <w:bodyDiv w:val="1"/>
      <w:marLeft w:val="0"/>
      <w:marRight w:val="0"/>
      <w:marTop w:val="0"/>
      <w:marBottom w:val="0"/>
      <w:divBdr>
        <w:top w:val="none" w:sz="0" w:space="0" w:color="auto"/>
        <w:left w:val="none" w:sz="0" w:space="0" w:color="auto"/>
        <w:bottom w:val="none" w:sz="0" w:space="0" w:color="auto"/>
        <w:right w:val="none" w:sz="0" w:space="0" w:color="auto"/>
      </w:divBdr>
    </w:div>
    <w:div w:id="1686905145">
      <w:bodyDiv w:val="1"/>
      <w:marLeft w:val="0"/>
      <w:marRight w:val="0"/>
      <w:marTop w:val="0"/>
      <w:marBottom w:val="0"/>
      <w:divBdr>
        <w:top w:val="none" w:sz="0" w:space="0" w:color="auto"/>
        <w:left w:val="none" w:sz="0" w:space="0" w:color="auto"/>
        <w:bottom w:val="none" w:sz="0" w:space="0" w:color="auto"/>
        <w:right w:val="none" w:sz="0" w:space="0" w:color="auto"/>
      </w:divBdr>
    </w:div>
    <w:div w:id="1814445652">
      <w:bodyDiv w:val="1"/>
      <w:marLeft w:val="0"/>
      <w:marRight w:val="0"/>
      <w:marTop w:val="0"/>
      <w:marBottom w:val="0"/>
      <w:divBdr>
        <w:top w:val="none" w:sz="0" w:space="0" w:color="auto"/>
        <w:left w:val="none" w:sz="0" w:space="0" w:color="auto"/>
        <w:bottom w:val="none" w:sz="0" w:space="0" w:color="auto"/>
        <w:right w:val="none" w:sz="0" w:space="0" w:color="auto"/>
      </w:divBdr>
    </w:div>
    <w:div w:id="1816140789">
      <w:bodyDiv w:val="1"/>
      <w:marLeft w:val="0"/>
      <w:marRight w:val="0"/>
      <w:marTop w:val="0"/>
      <w:marBottom w:val="0"/>
      <w:divBdr>
        <w:top w:val="none" w:sz="0" w:space="0" w:color="auto"/>
        <w:left w:val="none" w:sz="0" w:space="0" w:color="auto"/>
        <w:bottom w:val="none" w:sz="0" w:space="0" w:color="auto"/>
        <w:right w:val="none" w:sz="0" w:space="0" w:color="auto"/>
      </w:divBdr>
    </w:div>
    <w:div w:id="1823083427">
      <w:bodyDiv w:val="1"/>
      <w:marLeft w:val="0"/>
      <w:marRight w:val="0"/>
      <w:marTop w:val="0"/>
      <w:marBottom w:val="0"/>
      <w:divBdr>
        <w:top w:val="none" w:sz="0" w:space="0" w:color="auto"/>
        <w:left w:val="none" w:sz="0" w:space="0" w:color="auto"/>
        <w:bottom w:val="none" w:sz="0" w:space="0" w:color="auto"/>
        <w:right w:val="none" w:sz="0" w:space="0" w:color="auto"/>
      </w:divBdr>
    </w:div>
    <w:div w:id="1850244636">
      <w:bodyDiv w:val="1"/>
      <w:marLeft w:val="0"/>
      <w:marRight w:val="0"/>
      <w:marTop w:val="0"/>
      <w:marBottom w:val="0"/>
      <w:divBdr>
        <w:top w:val="none" w:sz="0" w:space="0" w:color="auto"/>
        <w:left w:val="none" w:sz="0" w:space="0" w:color="auto"/>
        <w:bottom w:val="none" w:sz="0" w:space="0" w:color="auto"/>
        <w:right w:val="none" w:sz="0" w:space="0" w:color="auto"/>
      </w:divBdr>
    </w:div>
    <w:div w:id="1862544317">
      <w:bodyDiv w:val="1"/>
      <w:marLeft w:val="0"/>
      <w:marRight w:val="0"/>
      <w:marTop w:val="0"/>
      <w:marBottom w:val="0"/>
      <w:divBdr>
        <w:top w:val="none" w:sz="0" w:space="0" w:color="auto"/>
        <w:left w:val="none" w:sz="0" w:space="0" w:color="auto"/>
        <w:bottom w:val="none" w:sz="0" w:space="0" w:color="auto"/>
        <w:right w:val="none" w:sz="0" w:space="0" w:color="auto"/>
      </w:divBdr>
    </w:div>
    <w:div w:id="1963344865">
      <w:bodyDiv w:val="1"/>
      <w:marLeft w:val="0"/>
      <w:marRight w:val="0"/>
      <w:marTop w:val="0"/>
      <w:marBottom w:val="0"/>
      <w:divBdr>
        <w:top w:val="none" w:sz="0" w:space="0" w:color="auto"/>
        <w:left w:val="none" w:sz="0" w:space="0" w:color="auto"/>
        <w:bottom w:val="none" w:sz="0" w:space="0" w:color="auto"/>
        <w:right w:val="none" w:sz="0" w:space="0" w:color="auto"/>
      </w:divBdr>
    </w:div>
    <w:div w:id="1981575707">
      <w:bodyDiv w:val="1"/>
      <w:marLeft w:val="0"/>
      <w:marRight w:val="0"/>
      <w:marTop w:val="0"/>
      <w:marBottom w:val="0"/>
      <w:divBdr>
        <w:top w:val="none" w:sz="0" w:space="0" w:color="auto"/>
        <w:left w:val="none" w:sz="0" w:space="0" w:color="auto"/>
        <w:bottom w:val="none" w:sz="0" w:space="0" w:color="auto"/>
        <w:right w:val="none" w:sz="0" w:space="0" w:color="auto"/>
      </w:divBdr>
    </w:div>
    <w:div w:id="2014604429">
      <w:bodyDiv w:val="1"/>
      <w:marLeft w:val="0"/>
      <w:marRight w:val="0"/>
      <w:marTop w:val="0"/>
      <w:marBottom w:val="0"/>
      <w:divBdr>
        <w:top w:val="none" w:sz="0" w:space="0" w:color="auto"/>
        <w:left w:val="none" w:sz="0" w:space="0" w:color="auto"/>
        <w:bottom w:val="none" w:sz="0" w:space="0" w:color="auto"/>
        <w:right w:val="none" w:sz="0" w:space="0" w:color="auto"/>
      </w:divBdr>
    </w:div>
    <w:div w:id="2069570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hyperlink" Target="https://likumi.lv/ta/id/68522-imigracijas-likums" TargetMode="External"/><Relationship Id="rId18" Type="http://schemas.openxmlformats.org/officeDocument/2006/relationships/hyperlink" Target="https://likumi.lv/ta/id/68522-imigracijas-likums" TargetMode="External"/><Relationship Id="rId26" Type="http://schemas.microsoft.com/office/2016/09/relationships/commentsIds" Target="commentsIds.xm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s://likumi.lv/ta/id/68522-imigracijas-likums" TargetMode="External"/><Relationship Id="rId17" Type="http://schemas.openxmlformats.org/officeDocument/2006/relationships/chart" Target="charts/chart5.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hyperlink" Target="mailto:ilze.briede@pmlp.gov.lv"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4.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1.xml"/><Relationship Id="rId23" Type="http://schemas.openxmlformats.org/officeDocument/2006/relationships/footer" Target="footer2.xml"/><Relationship Id="rId10" Type="http://schemas.openxmlformats.org/officeDocument/2006/relationships/chart" Target="charts/chart3.xml"/><Relationship Id="rId19" Type="http://schemas.openxmlformats.org/officeDocument/2006/relationships/hyperlink" Target="https://likumi.lv/ta/id/68522-imigracijas-likums" TargetMode="Externa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hyperlink" Target="https://likumi.lv/ta/id/68522-imigracijas-likums" TargetMode="External"/><Relationship Id="rId22" Type="http://schemas.openxmlformats.org/officeDocument/2006/relationships/header" Target="header3.xml"/></Relationships>
</file>

<file path=word/_rels/footnotes.xml.rels><?xml version="1.0" encoding="UTF-8" standalone="yes"?>
<Relationships xmlns="http://schemas.openxmlformats.org/package/2006/relationships"><Relationship Id="rId8" Type="http://schemas.openxmlformats.org/officeDocument/2006/relationships/hyperlink" Target="https://likumi.lv/ta/id/308309-par-pamatbudzeta-programmas-ekonomikas-attistibas-programma-finansu-lidzeklu-izmantosanu" TargetMode="External"/><Relationship Id="rId3" Type="http://schemas.openxmlformats.org/officeDocument/2006/relationships/hyperlink" Target="https://likumi.lv/ta/id/328114-par-valsts-budzetu-2022-gadam" TargetMode="External"/><Relationship Id="rId7" Type="http://schemas.openxmlformats.org/officeDocument/2006/relationships/hyperlink" Target="https://likumi.lv/ta/id/313220-ministru-kabineta-sedes-protokols" TargetMode="External"/><Relationship Id="rId2" Type="http://schemas.openxmlformats.org/officeDocument/2006/relationships/hyperlink" Target="http://titania.saeima.lv/LIVS12/saeimalivs12.nsf/0/01A496FFF8571C03C22581B600277FCD?OpenDocument" TargetMode="External"/><Relationship Id="rId1" Type="http://schemas.openxmlformats.org/officeDocument/2006/relationships/hyperlink" Target="https://likumi.lv/ta/id/315278-covid-19-infekcijas-izplatibas-parvaldibas-likums" TargetMode="External"/><Relationship Id="rId6" Type="http://schemas.openxmlformats.org/officeDocument/2006/relationships/hyperlink" Target="https://likumi.lv/ta/id/292983-ministru-kabineta-sedes-protokols" TargetMode="External"/><Relationship Id="rId11" Type="http://schemas.openxmlformats.org/officeDocument/2006/relationships/hyperlink" Target="https://tapportals.mk.gov.lv/structuralizer/data/nodes/959af1ea-da72-425a-ad31-1405559b6934/preview" TargetMode="External"/><Relationship Id="rId5" Type="http://schemas.openxmlformats.org/officeDocument/2006/relationships/hyperlink" Target="https://likumi.lv/ta/id/308309-par-pamatbudzeta-programmas-ekonomikas-attistibas-programma-finansu-lidzeklu-izmantosanu" TargetMode="External"/><Relationship Id="rId10" Type="http://schemas.openxmlformats.org/officeDocument/2006/relationships/hyperlink" Target="https://likumi.lv/ta/id/335817-grozijumi-imigracijas-likuma" TargetMode="External"/><Relationship Id="rId4" Type="http://schemas.openxmlformats.org/officeDocument/2006/relationships/hyperlink" Target="https://likumi.lv/ta/id/304868-par-pamatbudzeta-programmas-ekonomikas-attistibas-programma-finansu-lidzeklu-izmantosanu" TargetMode="External"/><Relationship Id="rId9" Type="http://schemas.openxmlformats.org/officeDocument/2006/relationships/hyperlink" Target="https://likumi.lv/ta/id/331565-grozijumi-imigracijas-likuma" TargetMode="Externa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package" Target="../embeddings/Microsoft_Excel_Worksheet2.xlsx"/></Relationships>
</file>

<file path=word/charts/_rels/chart4.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package" Target="../embeddings/Microsoft_Excel_Worksheet3.xlsx"/></Relationships>
</file>

<file path=word/charts/_rels/chart5.xml.rels><?xml version="1.0" encoding="UTF-8" standalone="yes"?>
<Relationships xmlns="http://schemas.openxmlformats.org/package/2006/relationships"><Relationship Id="rId3" Type="http://schemas.openxmlformats.org/officeDocument/2006/relationships/oleObject" Target="file:///C:\Users\VilnisJ\Desktop\BP%2033.00%20admin\EAP%20statistika%20230123.xlsx" TargetMode="External"/><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6.9461759988334787E-2"/>
          <c:y val="2.1974128233970755E-2"/>
          <c:w val="0.89350120297462821"/>
          <c:h val="0.8287432820897388"/>
        </c:manualLayout>
      </c:layout>
      <c:barChart>
        <c:barDir val="col"/>
        <c:grouping val="stacked"/>
        <c:varyColors val="0"/>
        <c:ser>
          <c:idx val="0"/>
          <c:order val="0"/>
          <c:tx>
            <c:strRef>
              <c:f>Sheet1!$A$2</c:f>
              <c:strCache>
                <c:ptCount val="1"/>
                <c:pt idx="0">
                  <c:v>Nekustamais īpašums</c:v>
                </c:pt>
              </c:strCache>
            </c:strRef>
          </c:tx>
          <c:spPr>
            <a:solidFill>
              <a:srgbClr val="608DC4"/>
            </a:solidFill>
            <a:ln>
              <a:noFill/>
            </a:ln>
            <a:effectLst/>
          </c:spPr>
          <c:invertIfNegative val="0"/>
          <c:dPt>
            <c:idx val="4"/>
            <c:invertIfNegative val="0"/>
            <c:bubble3D val="0"/>
            <c:spPr>
              <a:solidFill>
                <a:srgbClr val="6D97C9"/>
              </a:solidFill>
              <a:ln>
                <a:noFill/>
              </a:ln>
              <a:effectLst/>
            </c:spPr>
            <c:extLst>
              <c:ext xmlns:c16="http://schemas.microsoft.com/office/drawing/2014/chart" uri="{C3380CC4-5D6E-409C-BE32-E72D297353CC}">
                <c16:uniqueId val="{00000001-7549-4789-9353-6A9D49ECDE3E}"/>
              </c:ext>
            </c:extLst>
          </c:dPt>
          <c:dLbls>
            <c:dLbl>
              <c:idx val="9"/>
              <c:layout>
                <c:manualLayout>
                  <c:x val="2.2560631697685881E-3"/>
                  <c:y val="-1.509433962264151E-2"/>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2-7549-4789-9353-6A9D49ECDE3E}"/>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lv-LV"/>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Sheet1!$B$1:$N$1</c:f>
              <c:strCache>
                <c:ptCount val="13"/>
                <c:pt idx="0">
                  <c:v>2010 
II pusg.</c:v>
                </c:pt>
                <c:pt idx="1">
                  <c:v>2011</c:v>
                </c:pt>
                <c:pt idx="2">
                  <c:v>2012</c:v>
                </c:pt>
                <c:pt idx="3">
                  <c:v>2013</c:v>
                </c:pt>
                <c:pt idx="4">
                  <c:v>2014</c:v>
                </c:pt>
                <c:pt idx="5">
                  <c:v>2015</c:v>
                </c:pt>
                <c:pt idx="6">
                  <c:v>2016</c:v>
                </c:pt>
                <c:pt idx="7">
                  <c:v>2017</c:v>
                </c:pt>
                <c:pt idx="8">
                  <c:v>2018</c:v>
                </c:pt>
                <c:pt idx="9">
                  <c:v>2019</c:v>
                </c:pt>
                <c:pt idx="10">
                  <c:v>2020</c:v>
                </c:pt>
                <c:pt idx="11">
                  <c:v>2021</c:v>
                </c:pt>
                <c:pt idx="12">
                  <c:v>2022</c:v>
                </c:pt>
              </c:strCache>
            </c:strRef>
          </c:cat>
          <c:val>
            <c:numRef>
              <c:f>Sheet1!$B$2:$N$2</c:f>
              <c:numCache>
                <c:formatCode>#,##0</c:formatCode>
                <c:ptCount val="13"/>
                <c:pt idx="0">
                  <c:v>79</c:v>
                </c:pt>
                <c:pt idx="1">
                  <c:v>669</c:v>
                </c:pt>
                <c:pt idx="2">
                  <c:v>1013</c:v>
                </c:pt>
                <c:pt idx="3">
                  <c:v>1556</c:v>
                </c:pt>
                <c:pt idx="4">
                  <c:v>2250</c:v>
                </c:pt>
                <c:pt idx="5">
                  <c:v>272</c:v>
                </c:pt>
                <c:pt idx="6">
                  <c:v>177</c:v>
                </c:pt>
                <c:pt idx="7">
                  <c:v>100</c:v>
                </c:pt>
                <c:pt idx="8">
                  <c:v>99</c:v>
                </c:pt>
                <c:pt idx="9">
                  <c:v>100</c:v>
                </c:pt>
                <c:pt idx="10">
                  <c:v>69</c:v>
                </c:pt>
                <c:pt idx="11">
                  <c:v>143</c:v>
                </c:pt>
                <c:pt idx="12">
                  <c:v>72</c:v>
                </c:pt>
              </c:numCache>
            </c:numRef>
          </c:val>
          <c:extLst>
            <c:ext xmlns:c16="http://schemas.microsoft.com/office/drawing/2014/chart" uri="{C3380CC4-5D6E-409C-BE32-E72D297353CC}">
              <c16:uniqueId val="{00000003-7549-4789-9353-6A9D49ECDE3E}"/>
            </c:ext>
          </c:extLst>
        </c:ser>
        <c:ser>
          <c:idx val="1"/>
          <c:order val="1"/>
          <c:tx>
            <c:strRef>
              <c:f>Sheet1!$A$3</c:f>
              <c:strCache>
                <c:ptCount val="1"/>
                <c:pt idx="0">
                  <c:v>Kapitālsabiedrības</c:v>
                </c:pt>
              </c:strCache>
            </c:strRef>
          </c:tx>
          <c:spPr>
            <a:solidFill>
              <a:srgbClr val="B0413E"/>
            </a:solidFill>
            <a:ln>
              <a:noFill/>
            </a:ln>
            <a:effectLst/>
          </c:spPr>
          <c:invertIfNegative val="0"/>
          <c:cat>
            <c:strRef>
              <c:f>Sheet1!$B$1:$N$1</c:f>
              <c:strCache>
                <c:ptCount val="13"/>
                <c:pt idx="0">
                  <c:v>2010 
II pusg.</c:v>
                </c:pt>
                <c:pt idx="1">
                  <c:v>2011</c:v>
                </c:pt>
                <c:pt idx="2">
                  <c:v>2012</c:v>
                </c:pt>
                <c:pt idx="3">
                  <c:v>2013</c:v>
                </c:pt>
                <c:pt idx="4">
                  <c:v>2014</c:v>
                </c:pt>
                <c:pt idx="5">
                  <c:v>2015</c:v>
                </c:pt>
                <c:pt idx="6">
                  <c:v>2016</c:v>
                </c:pt>
                <c:pt idx="7">
                  <c:v>2017</c:v>
                </c:pt>
                <c:pt idx="8">
                  <c:v>2018</c:v>
                </c:pt>
                <c:pt idx="9">
                  <c:v>2019</c:v>
                </c:pt>
                <c:pt idx="10">
                  <c:v>2020</c:v>
                </c:pt>
                <c:pt idx="11">
                  <c:v>2021</c:v>
                </c:pt>
                <c:pt idx="12">
                  <c:v>2022</c:v>
                </c:pt>
              </c:strCache>
            </c:strRef>
          </c:cat>
          <c:val>
            <c:numRef>
              <c:f>Sheet1!$B$3:$N$3</c:f>
              <c:numCache>
                <c:formatCode>#,##0</c:formatCode>
                <c:ptCount val="13"/>
                <c:pt idx="0">
                  <c:v>8</c:v>
                </c:pt>
                <c:pt idx="1">
                  <c:v>55</c:v>
                </c:pt>
                <c:pt idx="2">
                  <c:v>127</c:v>
                </c:pt>
                <c:pt idx="3">
                  <c:v>272</c:v>
                </c:pt>
                <c:pt idx="4">
                  <c:v>178</c:v>
                </c:pt>
                <c:pt idx="5">
                  <c:v>82</c:v>
                </c:pt>
                <c:pt idx="6">
                  <c:v>55</c:v>
                </c:pt>
                <c:pt idx="7">
                  <c:v>40</c:v>
                </c:pt>
                <c:pt idx="8">
                  <c:v>83</c:v>
                </c:pt>
                <c:pt idx="9">
                  <c:v>44</c:v>
                </c:pt>
                <c:pt idx="10">
                  <c:v>25</c:v>
                </c:pt>
                <c:pt idx="11">
                  <c:v>20</c:v>
                </c:pt>
                <c:pt idx="12">
                  <c:v>28</c:v>
                </c:pt>
              </c:numCache>
            </c:numRef>
          </c:val>
          <c:extLst>
            <c:ext xmlns:c16="http://schemas.microsoft.com/office/drawing/2014/chart" uri="{C3380CC4-5D6E-409C-BE32-E72D297353CC}">
              <c16:uniqueId val="{00000004-7549-4789-9353-6A9D49ECDE3E}"/>
            </c:ext>
          </c:extLst>
        </c:ser>
        <c:ser>
          <c:idx val="2"/>
          <c:order val="2"/>
          <c:tx>
            <c:strRef>
              <c:f>Sheet1!$A$4</c:f>
              <c:strCache>
                <c:ptCount val="1"/>
                <c:pt idx="0">
                  <c:v>Kredītiestādes</c:v>
                </c:pt>
              </c:strCache>
            </c:strRef>
          </c:tx>
          <c:spPr>
            <a:solidFill>
              <a:schemeClr val="accent3"/>
            </a:solidFill>
            <a:ln>
              <a:noFill/>
            </a:ln>
            <a:effectLst/>
          </c:spPr>
          <c:invertIfNegative val="0"/>
          <c:cat>
            <c:strRef>
              <c:f>Sheet1!$B$1:$N$1</c:f>
              <c:strCache>
                <c:ptCount val="13"/>
                <c:pt idx="0">
                  <c:v>2010 
II pusg.</c:v>
                </c:pt>
                <c:pt idx="1">
                  <c:v>2011</c:v>
                </c:pt>
                <c:pt idx="2">
                  <c:v>2012</c:v>
                </c:pt>
                <c:pt idx="3">
                  <c:v>2013</c:v>
                </c:pt>
                <c:pt idx="4">
                  <c:v>2014</c:v>
                </c:pt>
                <c:pt idx="5">
                  <c:v>2015</c:v>
                </c:pt>
                <c:pt idx="6">
                  <c:v>2016</c:v>
                </c:pt>
                <c:pt idx="7">
                  <c:v>2017</c:v>
                </c:pt>
                <c:pt idx="8">
                  <c:v>2018</c:v>
                </c:pt>
                <c:pt idx="9">
                  <c:v>2019</c:v>
                </c:pt>
                <c:pt idx="10">
                  <c:v>2020</c:v>
                </c:pt>
                <c:pt idx="11">
                  <c:v>2021</c:v>
                </c:pt>
                <c:pt idx="12">
                  <c:v>2022</c:v>
                </c:pt>
              </c:strCache>
            </c:strRef>
          </c:cat>
          <c:val>
            <c:numRef>
              <c:f>Sheet1!$B$4:$N$4</c:f>
              <c:numCache>
                <c:formatCode>#,##0</c:formatCode>
                <c:ptCount val="13"/>
                <c:pt idx="0">
                  <c:v>40</c:v>
                </c:pt>
                <c:pt idx="1">
                  <c:v>112</c:v>
                </c:pt>
                <c:pt idx="2">
                  <c:v>86</c:v>
                </c:pt>
                <c:pt idx="3">
                  <c:v>94</c:v>
                </c:pt>
                <c:pt idx="4">
                  <c:v>104</c:v>
                </c:pt>
                <c:pt idx="5">
                  <c:v>30</c:v>
                </c:pt>
                <c:pt idx="6">
                  <c:v>13</c:v>
                </c:pt>
                <c:pt idx="7">
                  <c:v>12</c:v>
                </c:pt>
                <c:pt idx="8">
                  <c:v>2</c:v>
                </c:pt>
                <c:pt idx="9">
                  <c:v>0</c:v>
                </c:pt>
                <c:pt idx="10">
                  <c:v>0</c:v>
                </c:pt>
                <c:pt idx="11">
                  <c:v>2</c:v>
                </c:pt>
                <c:pt idx="12">
                  <c:v>0</c:v>
                </c:pt>
              </c:numCache>
            </c:numRef>
          </c:val>
          <c:extLst>
            <c:ext xmlns:c16="http://schemas.microsoft.com/office/drawing/2014/chart" uri="{C3380CC4-5D6E-409C-BE32-E72D297353CC}">
              <c16:uniqueId val="{00000005-7549-4789-9353-6A9D49ECDE3E}"/>
            </c:ext>
          </c:extLst>
        </c:ser>
        <c:ser>
          <c:idx val="3"/>
          <c:order val="3"/>
          <c:tx>
            <c:strRef>
              <c:f>Sheet1!$A$5</c:f>
              <c:strCache>
                <c:ptCount val="1"/>
                <c:pt idx="0">
                  <c:v>Valsts vērtspapīri</c:v>
                </c:pt>
              </c:strCache>
            </c:strRef>
          </c:tx>
          <c:spPr>
            <a:solidFill>
              <a:srgbClr val="002060"/>
            </a:solidFill>
            <a:ln>
              <a:noFill/>
            </a:ln>
            <a:effectLst/>
          </c:spPr>
          <c:invertIfNegative val="0"/>
          <c:cat>
            <c:strRef>
              <c:f>Sheet1!$B$1:$N$1</c:f>
              <c:strCache>
                <c:ptCount val="13"/>
                <c:pt idx="0">
                  <c:v>2010 
II pusg.</c:v>
                </c:pt>
                <c:pt idx="1">
                  <c:v>2011</c:v>
                </c:pt>
                <c:pt idx="2">
                  <c:v>2012</c:v>
                </c:pt>
                <c:pt idx="3">
                  <c:v>2013</c:v>
                </c:pt>
                <c:pt idx="4">
                  <c:v>2014</c:v>
                </c:pt>
                <c:pt idx="5">
                  <c:v>2015</c:v>
                </c:pt>
                <c:pt idx="6">
                  <c:v>2016</c:v>
                </c:pt>
                <c:pt idx="7">
                  <c:v>2017</c:v>
                </c:pt>
                <c:pt idx="8">
                  <c:v>2018</c:v>
                </c:pt>
                <c:pt idx="9">
                  <c:v>2019</c:v>
                </c:pt>
                <c:pt idx="10">
                  <c:v>2020</c:v>
                </c:pt>
                <c:pt idx="11">
                  <c:v>2021</c:v>
                </c:pt>
                <c:pt idx="12">
                  <c:v>2022</c:v>
                </c:pt>
              </c:strCache>
            </c:strRef>
          </c:cat>
          <c:val>
            <c:numRef>
              <c:f>Sheet1!$B$5:$N$5</c:f>
              <c:numCache>
                <c:formatCode>General</c:formatCode>
                <c:ptCount val="13"/>
                <c:pt idx="5" formatCode="#,##0">
                  <c:v>14</c:v>
                </c:pt>
                <c:pt idx="6" formatCode="#,##0">
                  <c:v>17</c:v>
                </c:pt>
                <c:pt idx="7" formatCode="#,##0">
                  <c:v>8</c:v>
                </c:pt>
                <c:pt idx="8" formatCode="#,##0">
                  <c:v>8</c:v>
                </c:pt>
                <c:pt idx="9" formatCode="#,##0">
                  <c:v>7</c:v>
                </c:pt>
                <c:pt idx="10" formatCode="#,##0">
                  <c:v>12</c:v>
                </c:pt>
                <c:pt idx="11" formatCode="#,##0">
                  <c:v>15</c:v>
                </c:pt>
                <c:pt idx="12" formatCode="#,##0">
                  <c:v>3</c:v>
                </c:pt>
              </c:numCache>
            </c:numRef>
          </c:val>
          <c:extLst>
            <c:ext xmlns:c16="http://schemas.microsoft.com/office/drawing/2014/chart" uri="{C3380CC4-5D6E-409C-BE32-E72D297353CC}">
              <c16:uniqueId val="{00000006-7549-4789-9353-6A9D49ECDE3E}"/>
            </c:ext>
          </c:extLst>
        </c:ser>
        <c:dLbls>
          <c:showLegendKey val="0"/>
          <c:showVal val="0"/>
          <c:showCatName val="0"/>
          <c:showSerName val="0"/>
          <c:showPercent val="0"/>
          <c:showBubbleSize val="0"/>
        </c:dLbls>
        <c:gapWidth val="69"/>
        <c:overlap val="100"/>
        <c:axId val="531285760"/>
        <c:axId val="337198592"/>
      </c:barChart>
      <c:catAx>
        <c:axId val="53128576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lv-LV"/>
          </a:p>
        </c:txPr>
        <c:crossAx val="337198592"/>
        <c:crosses val="autoZero"/>
        <c:auto val="1"/>
        <c:lblAlgn val="ctr"/>
        <c:lblOffset val="100"/>
        <c:noMultiLvlLbl val="0"/>
      </c:catAx>
      <c:valAx>
        <c:axId val="337198592"/>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out"/>
        <c:minorTickMark val="none"/>
        <c:tickLblPos val="nextTo"/>
        <c:spPr>
          <a:noFill/>
          <a:ln>
            <a:solidFill>
              <a:srgbClr val="D9D9D9"/>
            </a:solid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lv-LV"/>
          </a:p>
        </c:txPr>
        <c:crossAx val="531285760"/>
        <c:crosses val="autoZero"/>
        <c:crossBetween val="between"/>
      </c:valAx>
      <c:spPr>
        <a:noFill/>
        <a:ln>
          <a:noFill/>
        </a:ln>
        <a:effectLst/>
      </c:spPr>
    </c:plotArea>
    <c:legend>
      <c:legendPos val="r"/>
      <c:layout>
        <c:manualLayout>
          <c:xMode val="edge"/>
          <c:yMode val="edge"/>
          <c:x val="0.67004170164008692"/>
          <c:y val="0.14171881345020551"/>
          <c:w val="0.24747101924759404"/>
          <c:h val="0.32879640044994374"/>
        </c:manualLayout>
      </c:layout>
      <c:overlay val="1"/>
      <c:spPr>
        <a:solidFill>
          <a:schemeClr val="bg1"/>
        </a:solidFill>
        <a:ln>
          <a:noFill/>
        </a:ln>
        <a:effectLst/>
      </c:spPr>
      <c:txPr>
        <a:bodyPr rot="0" spcFirstLastPara="1" vertOverflow="ellipsis" vert="horz" wrap="square" anchor="ctr" anchorCtr="1"/>
        <a:lstStyle/>
        <a:p>
          <a:pPr>
            <a:defRPr sz="10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lv-LV"/>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lv-LV"/>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7.6084125847905373E-2"/>
          <c:y val="5.146198830409357E-2"/>
          <c:w val="0.9001063503425708"/>
          <c:h val="0.73016604503384441"/>
        </c:manualLayout>
      </c:layout>
      <c:barChart>
        <c:barDir val="col"/>
        <c:grouping val="percentStacked"/>
        <c:varyColors val="0"/>
        <c:ser>
          <c:idx val="0"/>
          <c:order val="0"/>
          <c:tx>
            <c:strRef>
              <c:f>Sheet1!$B$1</c:f>
              <c:strCache>
                <c:ptCount val="1"/>
                <c:pt idx="0">
                  <c:v>Krievija</c:v>
                </c:pt>
              </c:strCache>
            </c:strRef>
          </c:tx>
          <c:spPr>
            <a:solidFill>
              <a:schemeClr val="accent1"/>
            </a:solidFill>
            <a:ln>
              <a:noFill/>
            </a:ln>
            <a:effectLst/>
          </c:spPr>
          <c:invertIfNegative val="0"/>
          <c:cat>
            <c:strRef>
              <c:f>Sheet1!$A$2:$A$13</c:f>
              <c:strCache>
                <c:ptCount val="12"/>
                <c:pt idx="0">
                  <c:v>2010.-2012.</c:v>
                </c:pt>
                <c:pt idx="1">
                  <c:v>2013.</c:v>
                </c:pt>
                <c:pt idx="2">
                  <c:v>2014.</c:v>
                </c:pt>
                <c:pt idx="3">
                  <c:v>2015.</c:v>
                </c:pt>
                <c:pt idx="4">
                  <c:v>2016.</c:v>
                </c:pt>
                <c:pt idx="5">
                  <c:v>2017.</c:v>
                </c:pt>
                <c:pt idx="6">
                  <c:v>2018.</c:v>
                </c:pt>
                <c:pt idx="7">
                  <c:v>2019.</c:v>
                </c:pt>
                <c:pt idx="8">
                  <c:v>2020.</c:v>
                </c:pt>
                <c:pt idx="9">
                  <c:v>2021.</c:v>
                </c:pt>
                <c:pt idx="10">
                  <c:v>2022.</c:v>
                </c:pt>
                <c:pt idx="11">
                  <c:v>Kopā</c:v>
                </c:pt>
              </c:strCache>
            </c:strRef>
          </c:cat>
          <c:val>
            <c:numRef>
              <c:f>Sheet1!$B$2:$B$13</c:f>
              <c:numCache>
                <c:formatCode>General</c:formatCode>
                <c:ptCount val="12"/>
                <c:pt idx="0">
                  <c:v>3782</c:v>
                </c:pt>
                <c:pt idx="1">
                  <c:v>3107</c:v>
                </c:pt>
                <c:pt idx="2">
                  <c:v>3978</c:v>
                </c:pt>
                <c:pt idx="3">
                  <c:v>677</c:v>
                </c:pt>
                <c:pt idx="4">
                  <c:v>425</c:v>
                </c:pt>
                <c:pt idx="5">
                  <c:v>329</c:v>
                </c:pt>
                <c:pt idx="6">
                  <c:v>269</c:v>
                </c:pt>
                <c:pt idx="7">
                  <c:v>262</c:v>
                </c:pt>
                <c:pt idx="8">
                  <c:v>208</c:v>
                </c:pt>
                <c:pt idx="9">
                  <c:v>361</c:v>
                </c:pt>
                <c:pt idx="10">
                  <c:v>217</c:v>
                </c:pt>
                <c:pt idx="11">
                  <c:v>13398</c:v>
                </c:pt>
              </c:numCache>
            </c:numRef>
          </c:val>
          <c:extLst>
            <c:ext xmlns:c16="http://schemas.microsoft.com/office/drawing/2014/chart" uri="{C3380CC4-5D6E-409C-BE32-E72D297353CC}">
              <c16:uniqueId val="{00000000-B6B5-4791-91D5-FC85BA4570BC}"/>
            </c:ext>
          </c:extLst>
        </c:ser>
        <c:ser>
          <c:idx val="1"/>
          <c:order val="1"/>
          <c:tx>
            <c:strRef>
              <c:f>Sheet1!$C$1</c:f>
              <c:strCache>
                <c:ptCount val="1"/>
                <c:pt idx="0">
                  <c:v>Ķīna</c:v>
                </c:pt>
              </c:strCache>
            </c:strRef>
          </c:tx>
          <c:spPr>
            <a:solidFill>
              <a:schemeClr val="accent2"/>
            </a:solidFill>
            <a:ln>
              <a:noFill/>
            </a:ln>
            <a:effectLst/>
          </c:spPr>
          <c:invertIfNegative val="0"/>
          <c:cat>
            <c:strRef>
              <c:f>Sheet1!$A$2:$A$13</c:f>
              <c:strCache>
                <c:ptCount val="12"/>
                <c:pt idx="0">
                  <c:v>2010.-2012.</c:v>
                </c:pt>
                <c:pt idx="1">
                  <c:v>2013.</c:v>
                </c:pt>
                <c:pt idx="2">
                  <c:v>2014.</c:v>
                </c:pt>
                <c:pt idx="3">
                  <c:v>2015.</c:v>
                </c:pt>
                <c:pt idx="4">
                  <c:v>2016.</c:v>
                </c:pt>
                <c:pt idx="5">
                  <c:v>2017.</c:v>
                </c:pt>
                <c:pt idx="6">
                  <c:v>2018.</c:v>
                </c:pt>
                <c:pt idx="7">
                  <c:v>2019.</c:v>
                </c:pt>
                <c:pt idx="8">
                  <c:v>2020.</c:v>
                </c:pt>
                <c:pt idx="9">
                  <c:v>2021.</c:v>
                </c:pt>
                <c:pt idx="10">
                  <c:v>2022.</c:v>
                </c:pt>
                <c:pt idx="11">
                  <c:v>Kopā</c:v>
                </c:pt>
              </c:strCache>
            </c:strRef>
          </c:cat>
          <c:val>
            <c:numRef>
              <c:f>Sheet1!$C$2:$C$13</c:f>
              <c:numCache>
                <c:formatCode>General</c:formatCode>
                <c:ptCount val="12"/>
                <c:pt idx="0">
                  <c:v>136</c:v>
                </c:pt>
                <c:pt idx="1">
                  <c:v>445</c:v>
                </c:pt>
                <c:pt idx="2">
                  <c:v>669</c:v>
                </c:pt>
                <c:pt idx="3">
                  <c:v>117</c:v>
                </c:pt>
                <c:pt idx="4">
                  <c:v>53</c:v>
                </c:pt>
                <c:pt idx="5">
                  <c:v>21</c:v>
                </c:pt>
                <c:pt idx="6">
                  <c:v>45</c:v>
                </c:pt>
                <c:pt idx="7">
                  <c:v>37</c:v>
                </c:pt>
                <c:pt idx="8">
                  <c:v>14</c:v>
                </c:pt>
                <c:pt idx="9">
                  <c:v>6</c:v>
                </c:pt>
                <c:pt idx="10">
                  <c:v>5</c:v>
                </c:pt>
                <c:pt idx="11">
                  <c:v>1543</c:v>
                </c:pt>
              </c:numCache>
            </c:numRef>
          </c:val>
          <c:extLst>
            <c:ext xmlns:c16="http://schemas.microsoft.com/office/drawing/2014/chart" uri="{C3380CC4-5D6E-409C-BE32-E72D297353CC}">
              <c16:uniqueId val="{00000001-B6B5-4791-91D5-FC85BA4570BC}"/>
            </c:ext>
          </c:extLst>
        </c:ser>
        <c:ser>
          <c:idx val="2"/>
          <c:order val="2"/>
          <c:tx>
            <c:strRef>
              <c:f>Sheet1!$D$1</c:f>
              <c:strCache>
                <c:ptCount val="1"/>
                <c:pt idx="0">
                  <c:v>Ukraina</c:v>
                </c:pt>
              </c:strCache>
            </c:strRef>
          </c:tx>
          <c:spPr>
            <a:solidFill>
              <a:schemeClr val="accent3"/>
            </a:solidFill>
            <a:ln>
              <a:noFill/>
            </a:ln>
            <a:effectLst/>
          </c:spPr>
          <c:invertIfNegative val="0"/>
          <c:cat>
            <c:strRef>
              <c:f>Sheet1!$A$2:$A$13</c:f>
              <c:strCache>
                <c:ptCount val="12"/>
                <c:pt idx="0">
                  <c:v>2010.-2012.</c:v>
                </c:pt>
                <c:pt idx="1">
                  <c:v>2013.</c:v>
                </c:pt>
                <c:pt idx="2">
                  <c:v>2014.</c:v>
                </c:pt>
                <c:pt idx="3">
                  <c:v>2015.</c:v>
                </c:pt>
                <c:pt idx="4">
                  <c:v>2016.</c:v>
                </c:pt>
                <c:pt idx="5">
                  <c:v>2017.</c:v>
                </c:pt>
                <c:pt idx="6">
                  <c:v>2018.</c:v>
                </c:pt>
                <c:pt idx="7">
                  <c:v>2019.</c:v>
                </c:pt>
                <c:pt idx="8">
                  <c:v>2020.</c:v>
                </c:pt>
                <c:pt idx="9">
                  <c:v>2021.</c:v>
                </c:pt>
                <c:pt idx="10">
                  <c:v>2022.</c:v>
                </c:pt>
                <c:pt idx="11">
                  <c:v>Kopā</c:v>
                </c:pt>
              </c:strCache>
            </c:strRef>
          </c:cat>
          <c:val>
            <c:numRef>
              <c:f>Sheet1!$D$2:$D$13</c:f>
              <c:numCache>
                <c:formatCode>General</c:formatCode>
                <c:ptCount val="12"/>
                <c:pt idx="0">
                  <c:v>445</c:v>
                </c:pt>
                <c:pt idx="1">
                  <c:v>229</c:v>
                </c:pt>
                <c:pt idx="2">
                  <c:v>485</c:v>
                </c:pt>
                <c:pt idx="3">
                  <c:v>136</c:v>
                </c:pt>
                <c:pt idx="4">
                  <c:v>71</c:v>
                </c:pt>
                <c:pt idx="5">
                  <c:v>33</c:v>
                </c:pt>
                <c:pt idx="6">
                  <c:v>28</c:v>
                </c:pt>
                <c:pt idx="7">
                  <c:v>14</c:v>
                </c:pt>
                <c:pt idx="8">
                  <c:v>29</c:v>
                </c:pt>
                <c:pt idx="9">
                  <c:v>26</c:v>
                </c:pt>
                <c:pt idx="10">
                  <c:v>17</c:v>
                </c:pt>
                <c:pt idx="11">
                  <c:v>1496</c:v>
                </c:pt>
              </c:numCache>
            </c:numRef>
          </c:val>
          <c:extLst>
            <c:ext xmlns:c16="http://schemas.microsoft.com/office/drawing/2014/chart" uri="{C3380CC4-5D6E-409C-BE32-E72D297353CC}">
              <c16:uniqueId val="{00000002-B6B5-4791-91D5-FC85BA4570BC}"/>
            </c:ext>
          </c:extLst>
        </c:ser>
        <c:ser>
          <c:idx val="3"/>
          <c:order val="3"/>
          <c:tx>
            <c:strRef>
              <c:f>Sheet1!$E$1</c:f>
              <c:strCache>
                <c:ptCount val="1"/>
                <c:pt idx="0">
                  <c:v>Uzbekistāna</c:v>
                </c:pt>
              </c:strCache>
            </c:strRef>
          </c:tx>
          <c:spPr>
            <a:solidFill>
              <a:schemeClr val="accent4"/>
            </a:solidFill>
            <a:ln>
              <a:noFill/>
            </a:ln>
            <a:effectLst/>
          </c:spPr>
          <c:invertIfNegative val="0"/>
          <c:cat>
            <c:strRef>
              <c:f>Sheet1!$A$2:$A$13</c:f>
              <c:strCache>
                <c:ptCount val="12"/>
                <c:pt idx="0">
                  <c:v>2010.-2012.</c:v>
                </c:pt>
                <c:pt idx="1">
                  <c:v>2013.</c:v>
                </c:pt>
                <c:pt idx="2">
                  <c:v>2014.</c:v>
                </c:pt>
                <c:pt idx="3">
                  <c:v>2015.</c:v>
                </c:pt>
                <c:pt idx="4">
                  <c:v>2016.</c:v>
                </c:pt>
                <c:pt idx="5">
                  <c:v>2017.</c:v>
                </c:pt>
                <c:pt idx="6">
                  <c:v>2018.</c:v>
                </c:pt>
                <c:pt idx="7">
                  <c:v>2019.</c:v>
                </c:pt>
                <c:pt idx="8">
                  <c:v>2020.</c:v>
                </c:pt>
                <c:pt idx="9">
                  <c:v>2021.</c:v>
                </c:pt>
                <c:pt idx="10">
                  <c:v>2022.</c:v>
                </c:pt>
                <c:pt idx="11">
                  <c:v>Kopā</c:v>
                </c:pt>
              </c:strCache>
            </c:strRef>
          </c:cat>
          <c:val>
            <c:numRef>
              <c:f>Sheet1!$E$2:$E$13</c:f>
              <c:numCache>
                <c:formatCode>General</c:formatCode>
                <c:ptCount val="12"/>
                <c:pt idx="0">
                  <c:v>172</c:v>
                </c:pt>
                <c:pt idx="1">
                  <c:v>251</c:v>
                </c:pt>
                <c:pt idx="2">
                  <c:v>223</c:v>
                </c:pt>
                <c:pt idx="3">
                  <c:v>45</c:v>
                </c:pt>
                <c:pt idx="4">
                  <c:v>20</c:v>
                </c:pt>
                <c:pt idx="5">
                  <c:v>25</c:v>
                </c:pt>
                <c:pt idx="6">
                  <c:v>18</c:v>
                </c:pt>
                <c:pt idx="7">
                  <c:v>6</c:v>
                </c:pt>
                <c:pt idx="8">
                  <c:v>1</c:v>
                </c:pt>
                <c:pt idx="9">
                  <c:v>18</c:v>
                </c:pt>
                <c:pt idx="10">
                  <c:v>15</c:v>
                </c:pt>
                <c:pt idx="11">
                  <c:v>779</c:v>
                </c:pt>
              </c:numCache>
            </c:numRef>
          </c:val>
          <c:extLst>
            <c:ext xmlns:c16="http://schemas.microsoft.com/office/drawing/2014/chart" uri="{C3380CC4-5D6E-409C-BE32-E72D297353CC}">
              <c16:uniqueId val="{00000003-B6B5-4791-91D5-FC85BA4570BC}"/>
            </c:ext>
          </c:extLst>
        </c:ser>
        <c:ser>
          <c:idx val="4"/>
          <c:order val="4"/>
          <c:tx>
            <c:strRef>
              <c:f>Sheet1!$F$1</c:f>
              <c:strCache>
                <c:ptCount val="1"/>
                <c:pt idx="0">
                  <c:v>Kazahstāna</c:v>
                </c:pt>
              </c:strCache>
            </c:strRef>
          </c:tx>
          <c:spPr>
            <a:solidFill>
              <a:schemeClr val="accent5"/>
            </a:solidFill>
            <a:ln>
              <a:noFill/>
            </a:ln>
            <a:effectLst/>
          </c:spPr>
          <c:invertIfNegative val="0"/>
          <c:cat>
            <c:strRef>
              <c:f>Sheet1!$A$2:$A$13</c:f>
              <c:strCache>
                <c:ptCount val="12"/>
                <c:pt idx="0">
                  <c:v>2010.-2012.</c:v>
                </c:pt>
                <c:pt idx="1">
                  <c:v>2013.</c:v>
                </c:pt>
                <c:pt idx="2">
                  <c:v>2014.</c:v>
                </c:pt>
                <c:pt idx="3">
                  <c:v>2015.</c:v>
                </c:pt>
                <c:pt idx="4">
                  <c:v>2016.</c:v>
                </c:pt>
                <c:pt idx="5">
                  <c:v>2017.</c:v>
                </c:pt>
                <c:pt idx="6">
                  <c:v>2018.</c:v>
                </c:pt>
                <c:pt idx="7">
                  <c:v>2019.</c:v>
                </c:pt>
                <c:pt idx="8">
                  <c:v>2020.</c:v>
                </c:pt>
                <c:pt idx="9">
                  <c:v>2021.</c:v>
                </c:pt>
                <c:pt idx="10">
                  <c:v>2022.</c:v>
                </c:pt>
                <c:pt idx="11">
                  <c:v>Kopā</c:v>
                </c:pt>
              </c:strCache>
            </c:strRef>
          </c:cat>
          <c:val>
            <c:numRef>
              <c:f>Sheet1!$F$2:$F$13</c:f>
              <c:numCache>
                <c:formatCode>General</c:formatCode>
                <c:ptCount val="12"/>
                <c:pt idx="0">
                  <c:v>293</c:v>
                </c:pt>
                <c:pt idx="1">
                  <c:v>164</c:v>
                </c:pt>
                <c:pt idx="2">
                  <c:v>113</c:v>
                </c:pt>
                <c:pt idx="3">
                  <c:v>58</c:v>
                </c:pt>
                <c:pt idx="4">
                  <c:v>27</c:v>
                </c:pt>
                <c:pt idx="5">
                  <c:v>18</c:v>
                </c:pt>
                <c:pt idx="6">
                  <c:v>21</c:v>
                </c:pt>
                <c:pt idx="7">
                  <c:v>18</c:v>
                </c:pt>
                <c:pt idx="8">
                  <c:v>2</c:v>
                </c:pt>
                <c:pt idx="9">
                  <c:v>18</c:v>
                </c:pt>
                <c:pt idx="10">
                  <c:v>3</c:v>
                </c:pt>
                <c:pt idx="11">
                  <c:v>732</c:v>
                </c:pt>
              </c:numCache>
            </c:numRef>
          </c:val>
          <c:extLst>
            <c:ext xmlns:c16="http://schemas.microsoft.com/office/drawing/2014/chart" uri="{C3380CC4-5D6E-409C-BE32-E72D297353CC}">
              <c16:uniqueId val="{00000004-B6B5-4791-91D5-FC85BA4570BC}"/>
            </c:ext>
          </c:extLst>
        </c:ser>
        <c:ser>
          <c:idx val="5"/>
          <c:order val="5"/>
          <c:tx>
            <c:strRef>
              <c:f>Sheet1!$G$1</c:f>
              <c:strCache>
                <c:ptCount val="1"/>
                <c:pt idx="0">
                  <c:v>Baltkrievija</c:v>
                </c:pt>
              </c:strCache>
            </c:strRef>
          </c:tx>
          <c:spPr>
            <a:solidFill>
              <a:schemeClr val="accent6"/>
            </a:solidFill>
            <a:ln>
              <a:noFill/>
            </a:ln>
            <a:effectLst/>
          </c:spPr>
          <c:invertIfNegative val="0"/>
          <c:cat>
            <c:strRef>
              <c:f>Sheet1!$A$2:$A$13</c:f>
              <c:strCache>
                <c:ptCount val="12"/>
                <c:pt idx="0">
                  <c:v>2010.-2012.</c:v>
                </c:pt>
                <c:pt idx="1">
                  <c:v>2013.</c:v>
                </c:pt>
                <c:pt idx="2">
                  <c:v>2014.</c:v>
                </c:pt>
                <c:pt idx="3">
                  <c:v>2015.</c:v>
                </c:pt>
                <c:pt idx="4">
                  <c:v>2016.</c:v>
                </c:pt>
                <c:pt idx="5">
                  <c:v>2017.</c:v>
                </c:pt>
                <c:pt idx="6">
                  <c:v>2018.</c:v>
                </c:pt>
                <c:pt idx="7">
                  <c:v>2019.</c:v>
                </c:pt>
                <c:pt idx="8">
                  <c:v>2020.</c:v>
                </c:pt>
                <c:pt idx="9">
                  <c:v>2021.</c:v>
                </c:pt>
                <c:pt idx="10">
                  <c:v>2022.</c:v>
                </c:pt>
                <c:pt idx="11">
                  <c:v>Kopā</c:v>
                </c:pt>
              </c:strCache>
            </c:strRef>
          </c:cat>
          <c:val>
            <c:numRef>
              <c:f>Sheet1!$G$2:$G$13</c:f>
              <c:numCache>
                <c:formatCode>General</c:formatCode>
                <c:ptCount val="12"/>
                <c:pt idx="0">
                  <c:v>129</c:v>
                </c:pt>
                <c:pt idx="1">
                  <c:v>100</c:v>
                </c:pt>
                <c:pt idx="2">
                  <c:v>93</c:v>
                </c:pt>
                <c:pt idx="3">
                  <c:v>20</c:v>
                </c:pt>
                <c:pt idx="4">
                  <c:v>28</c:v>
                </c:pt>
                <c:pt idx="5">
                  <c:v>10</c:v>
                </c:pt>
                <c:pt idx="6">
                  <c:v>13</c:v>
                </c:pt>
                <c:pt idx="7">
                  <c:v>14</c:v>
                </c:pt>
                <c:pt idx="8">
                  <c:v>8</c:v>
                </c:pt>
                <c:pt idx="9">
                  <c:v>11</c:v>
                </c:pt>
                <c:pt idx="10">
                  <c:v>2</c:v>
                </c:pt>
                <c:pt idx="11">
                  <c:v>426</c:v>
                </c:pt>
              </c:numCache>
            </c:numRef>
          </c:val>
          <c:extLst>
            <c:ext xmlns:c16="http://schemas.microsoft.com/office/drawing/2014/chart" uri="{C3380CC4-5D6E-409C-BE32-E72D297353CC}">
              <c16:uniqueId val="{00000005-B6B5-4791-91D5-FC85BA4570BC}"/>
            </c:ext>
          </c:extLst>
        </c:ser>
        <c:ser>
          <c:idx val="6"/>
          <c:order val="6"/>
          <c:tx>
            <c:strRef>
              <c:f>Sheet1!$H$1</c:f>
              <c:strCache>
                <c:ptCount val="1"/>
                <c:pt idx="0">
                  <c:v>Vjetnama</c:v>
                </c:pt>
              </c:strCache>
            </c:strRef>
          </c:tx>
          <c:spPr>
            <a:solidFill>
              <a:schemeClr val="accent1">
                <a:lumMod val="60000"/>
              </a:schemeClr>
            </a:solidFill>
            <a:ln>
              <a:noFill/>
            </a:ln>
            <a:effectLst/>
          </c:spPr>
          <c:invertIfNegative val="0"/>
          <c:cat>
            <c:strRef>
              <c:f>Sheet1!$A$2:$A$13</c:f>
              <c:strCache>
                <c:ptCount val="12"/>
                <c:pt idx="0">
                  <c:v>2010.-2012.</c:v>
                </c:pt>
                <c:pt idx="1">
                  <c:v>2013.</c:v>
                </c:pt>
                <c:pt idx="2">
                  <c:v>2014.</c:v>
                </c:pt>
                <c:pt idx="3">
                  <c:v>2015.</c:v>
                </c:pt>
                <c:pt idx="4">
                  <c:v>2016.</c:v>
                </c:pt>
                <c:pt idx="5">
                  <c:v>2017.</c:v>
                </c:pt>
                <c:pt idx="6">
                  <c:v>2018.</c:v>
                </c:pt>
                <c:pt idx="7">
                  <c:v>2019.</c:v>
                </c:pt>
                <c:pt idx="8">
                  <c:v>2020.</c:v>
                </c:pt>
                <c:pt idx="9">
                  <c:v>2021.</c:v>
                </c:pt>
                <c:pt idx="10">
                  <c:v>2022.</c:v>
                </c:pt>
                <c:pt idx="11">
                  <c:v>Kopā</c:v>
                </c:pt>
              </c:strCache>
            </c:strRef>
          </c:cat>
          <c:val>
            <c:numRef>
              <c:f>Sheet1!$H$2:$H$13</c:f>
              <c:numCache>
                <c:formatCode>General</c:formatCode>
                <c:ptCount val="12"/>
                <c:pt idx="0">
                  <c:v>4</c:v>
                </c:pt>
                <c:pt idx="1">
                  <c:v>0</c:v>
                </c:pt>
                <c:pt idx="2">
                  <c:v>17</c:v>
                </c:pt>
                <c:pt idx="3">
                  <c:v>11</c:v>
                </c:pt>
                <c:pt idx="4">
                  <c:v>12</c:v>
                </c:pt>
                <c:pt idx="5">
                  <c:v>5</c:v>
                </c:pt>
                <c:pt idx="6">
                  <c:v>164</c:v>
                </c:pt>
                <c:pt idx="7">
                  <c:v>132</c:v>
                </c:pt>
                <c:pt idx="8">
                  <c:v>59</c:v>
                </c:pt>
                <c:pt idx="9">
                  <c:v>17</c:v>
                </c:pt>
                <c:pt idx="10">
                  <c:v>45</c:v>
                </c:pt>
                <c:pt idx="11">
                  <c:v>421</c:v>
                </c:pt>
              </c:numCache>
            </c:numRef>
          </c:val>
          <c:extLst>
            <c:ext xmlns:c16="http://schemas.microsoft.com/office/drawing/2014/chart" uri="{C3380CC4-5D6E-409C-BE32-E72D297353CC}">
              <c16:uniqueId val="{00000006-B6B5-4791-91D5-FC85BA4570BC}"/>
            </c:ext>
          </c:extLst>
        </c:ser>
        <c:ser>
          <c:idx val="7"/>
          <c:order val="7"/>
          <c:tx>
            <c:strRef>
              <c:f>Sheet1!$I$1</c:f>
              <c:strCache>
                <c:ptCount val="1"/>
                <c:pt idx="0">
                  <c:v>Azerbaidžāna</c:v>
                </c:pt>
              </c:strCache>
            </c:strRef>
          </c:tx>
          <c:spPr>
            <a:solidFill>
              <a:schemeClr val="accent2">
                <a:lumMod val="60000"/>
              </a:schemeClr>
            </a:solidFill>
            <a:ln>
              <a:noFill/>
            </a:ln>
            <a:effectLst/>
          </c:spPr>
          <c:invertIfNegative val="0"/>
          <c:cat>
            <c:strRef>
              <c:f>Sheet1!$A$2:$A$13</c:f>
              <c:strCache>
                <c:ptCount val="12"/>
                <c:pt idx="0">
                  <c:v>2010.-2012.</c:v>
                </c:pt>
                <c:pt idx="1">
                  <c:v>2013.</c:v>
                </c:pt>
                <c:pt idx="2">
                  <c:v>2014.</c:v>
                </c:pt>
                <c:pt idx="3">
                  <c:v>2015.</c:v>
                </c:pt>
                <c:pt idx="4">
                  <c:v>2016.</c:v>
                </c:pt>
                <c:pt idx="5">
                  <c:v>2017.</c:v>
                </c:pt>
                <c:pt idx="6">
                  <c:v>2018.</c:v>
                </c:pt>
                <c:pt idx="7">
                  <c:v>2019.</c:v>
                </c:pt>
                <c:pt idx="8">
                  <c:v>2020.</c:v>
                </c:pt>
                <c:pt idx="9">
                  <c:v>2021.</c:v>
                </c:pt>
                <c:pt idx="10">
                  <c:v>2022.</c:v>
                </c:pt>
                <c:pt idx="11">
                  <c:v>Kopā</c:v>
                </c:pt>
              </c:strCache>
            </c:strRef>
          </c:cat>
          <c:val>
            <c:numRef>
              <c:f>Sheet1!$I$2:$I$13</c:f>
              <c:numCache>
                <c:formatCode>General</c:formatCode>
                <c:ptCount val="12"/>
                <c:pt idx="0">
                  <c:v>57</c:v>
                </c:pt>
                <c:pt idx="1">
                  <c:v>61</c:v>
                </c:pt>
                <c:pt idx="2">
                  <c:v>92</c:v>
                </c:pt>
                <c:pt idx="3">
                  <c:v>36</c:v>
                </c:pt>
                <c:pt idx="4">
                  <c:v>17</c:v>
                </c:pt>
                <c:pt idx="5">
                  <c:v>20</c:v>
                </c:pt>
                <c:pt idx="6">
                  <c:v>17</c:v>
                </c:pt>
                <c:pt idx="7">
                  <c:v>10</c:v>
                </c:pt>
                <c:pt idx="8">
                  <c:v>2</c:v>
                </c:pt>
                <c:pt idx="9">
                  <c:v>6</c:v>
                </c:pt>
                <c:pt idx="10">
                  <c:v>7</c:v>
                </c:pt>
                <c:pt idx="11">
                  <c:v>318</c:v>
                </c:pt>
              </c:numCache>
            </c:numRef>
          </c:val>
          <c:extLst>
            <c:ext xmlns:c16="http://schemas.microsoft.com/office/drawing/2014/chart" uri="{C3380CC4-5D6E-409C-BE32-E72D297353CC}">
              <c16:uniqueId val="{00000007-B6B5-4791-91D5-FC85BA4570BC}"/>
            </c:ext>
          </c:extLst>
        </c:ser>
        <c:ser>
          <c:idx val="8"/>
          <c:order val="8"/>
          <c:tx>
            <c:strRef>
              <c:f>Sheet1!$J$1</c:f>
              <c:strCache>
                <c:ptCount val="1"/>
                <c:pt idx="0">
                  <c:v>Citas valstis</c:v>
                </c:pt>
              </c:strCache>
            </c:strRef>
          </c:tx>
          <c:spPr>
            <a:solidFill>
              <a:schemeClr val="accent3">
                <a:lumMod val="60000"/>
              </a:schemeClr>
            </a:solidFill>
            <a:ln>
              <a:noFill/>
            </a:ln>
            <a:effectLst/>
          </c:spPr>
          <c:invertIfNegative val="0"/>
          <c:cat>
            <c:strRef>
              <c:f>Sheet1!$A$2:$A$13</c:f>
              <c:strCache>
                <c:ptCount val="12"/>
                <c:pt idx="0">
                  <c:v>2010.-2012.</c:v>
                </c:pt>
                <c:pt idx="1">
                  <c:v>2013.</c:v>
                </c:pt>
                <c:pt idx="2">
                  <c:v>2014.</c:v>
                </c:pt>
                <c:pt idx="3">
                  <c:v>2015.</c:v>
                </c:pt>
                <c:pt idx="4">
                  <c:v>2016.</c:v>
                </c:pt>
                <c:pt idx="5">
                  <c:v>2017.</c:v>
                </c:pt>
                <c:pt idx="6">
                  <c:v>2018.</c:v>
                </c:pt>
                <c:pt idx="7">
                  <c:v>2019.</c:v>
                </c:pt>
                <c:pt idx="8">
                  <c:v>2020.</c:v>
                </c:pt>
                <c:pt idx="9">
                  <c:v>2021.</c:v>
                </c:pt>
                <c:pt idx="10">
                  <c:v>2022.</c:v>
                </c:pt>
                <c:pt idx="11">
                  <c:v>Kopā</c:v>
                </c:pt>
              </c:strCache>
            </c:strRef>
          </c:cat>
          <c:val>
            <c:numRef>
              <c:f>Sheet1!$J$2:$J$13</c:f>
              <c:numCache>
                <c:formatCode>General</c:formatCode>
                <c:ptCount val="12"/>
                <c:pt idx="0">
                  <c:v>166</c:v>
                </c:pt>
                <c:pt idx="1">
                  <c:v>151</c:v>
                </c:pt>
                <c:pt idx="2">
                  <c:v>274</c:v>
                </c:pt>
                <c:pt idx="3">
                  <c:v>109</c:v>
                </c:pt>
                <c:pt idx="4">
                  <c:v>110</c:v>
                </c:pt>
                <c:pt idx="5">
                  <c:v>110</c:v>
                </c:pt>
                <c:pt idx="6">
                  <c:v>86</c:v>
                </c:pt>
                <c:pt idx="7">
                  <c:v>63</c:v>
                </c:pt>
                <c:pt idx="8">
                  <c:v>25</c:v>
                </c:pt>
                <c:pt idx="9">
                  <c:v>52</c:v>
                </c:pt>
                <c:pt idx="10">
                  <c:v>116</c:v>
                </c:pt>
                <c:pt idx="11">
                  <c:v>1146</c:v>
                </c:pt>
              </c:numCache>
            </c:numRef>
          </c:val>
          <c:extLst>
            <c:ext xmlns:c16="http://schemas.microsoft.com/office/drawing/2014/chart" uri="{C3380CC4-5D6E-409C-BE32-E72D297353CC}">
              <c16:uniqueId val="{00000008-B6B5-4791-91D5-FC85BA4570BC}"/>
            </c:ext>
          </c:extLst>
        </c:ser>
        <c:dLbls>
          <c:showLegendKey val="0"/>
          <c:showVal val="0"/>
          <c:showCatName val="0"/>
          <c:showSerName val="0"/>
          <c:showPercent val="0"/>
          <c:showBubbleSize val="0"/>
        </c:dLbls>
        <c:gapWidth val="105"/>
        <c:overlap val="100"/>
        <c:axId val="337195848"/>
        <c:axId val="337196632"/>
      </c:barChart>
      <c:catAx>
        <c:axId val="33719584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lv-LV"/>
          </a:p>
        </c:txPr>
        <c:crossAx val="337196632"/>
        <c:crosses val="autoZero"/>
        <c:auto val="1"/>
        <c:lblAlgn val="ctr"/>
        <c:lblOffset val="100"/>
        <c:noMultiLvlLbl val="0"/>
      </c:catAx>
      <c:valAx>
        <c:axId val="337196632"/>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lv-LV"/>
          </a:p>
        </c:txPr>
        <c:crossAx val="337195848"/>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lv-LV"/>
        </a:p>
      </c:txPr>
    </c:legend>
    <c:plotVisOnly val="1"/>
    <c:dispBlanksAs val="gap"/>
    <c:showDLblsOverMax val="0"/>
  </c:chart>
  <c:spPr>
    <a:solidFill>
      <a:schemeClr val="bg1"/>
    </a:solidFill>
    <a:ln w="9525" cap="flat" cmpd="sng" algn="ctr">
      <a:solidFill>
        <a:schemeClr val="bg1">
          <a:lumMod val="75000"/>
        </a:schemeClr>
      </a:solidFill>
      <a:round/>
    </a:ln>
    <a:effectLst/>
  </c:spPr>
  <c:txPr>
    <a:bodyPr/>
    <a:lstStyle/>
    <a:p>
      <a:pPr>
        <a:defRPr/>
      </a:pPr>
      <a:endParaRPr lang="lv-LV"/>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7.7444581988029448E-2"/>
          <c:y val="5.4374384304324154E-2"/>
          <c:w val="0.6920694663167104"/>
          <c:h val="0.92841510195840904"/>
        </c:manualLayout>
      </c:layout>
      <c:barChart>
        <c:barDir val="col"/>
        <c:grouping val="clustered"/>
        <c:varyColors val="0"/>
        <c:ser>
          <c:idx val="0"/>
          <c:order val="0"/>
          <c:tx>
            <c:strRef>
              <c:f>'2021'!$R$5</c:f>
              <c:strCache>
                <c:ptCount val="1"/>
                <c:pt idx="0">
                  <c:v>Nerezidentu tiešās investīcijas Latvijā
(ienākošās plūsmas)</c:v>
                </c:pt>
              </c:strCache>
            </c:strRef>
          </c:tx>
          <c:spPr>
            <a:solidFill>
              <a:srgbClr val="608DC4"/>
            </a:solidFill>
            <a:ln>
              <a:noFill/>
            </a:ln>
            <a:effectLst/>
          </c:spPr>
          <c:invertIfNegative val="0"/>
          <c:cat>
            <c:strRef>
              <c:f>'2021'!$M$6:$M$17</c:f>
              <c:strCache>
                <c:ptCount val="12"/>
                <c:pt idx="0">
                  <c:v>2011</c:v>
                </c:pt>
                <c:pt idx="1">
                  <c:v>2012</c:v>
                </c:pt>
                <c:pt idx="2">
                  <c:v>2013</c:v>
                </c:pt>
                <c:pt idx="3">
                  <c:v>2014</c:v>
                </c:pt>
                <c:pt idx="4">
                  <c:v>2015</c:v>
                </c:pt>
                <c:pt idx="5">
                  <c:v>2016</c:v>
                </c:pt>
                <c:pt idx="6">
                  <c:v>2017</c:v>
                </c:pt>
                <c:pt idx="7">
                  <c:v>2018</c:v>
                </c:pt>
                <c:pt idx="8">
                  <c:v>2019</c:v>
                </c:pt>
                <c:pt idx="9">
                  <c:v>2020</c:v>
                </c:pt>
                <c:pt idx="10">
                  <c:v>2021</c:v>
                </c:pt>
                <c:pt idx="11">
                  <c:v>2022   1-3 cet.</c:v>
                </c:pt>
              </c:strCache>
            </c:strRef>
          </c:cat>
          <c:val>
            <c:numRef>
              <c:f>'2021'!$R$6:$R$17</c:f>
              <c:numCache>
                <c:formatCode>#,##0</c:formatCode>
                <c:ptCount val="12"/>
                <c:pt idx="0">
                  <c:v>4339</c:v>
                </c:pt>
                <c:pt idx="1">
                  <c:v>2948</c:v>
                </c:pt>
                <c:pt idx="2">
                  <c:v>3509</c:v>
                </c:pt>
                <c:pt idx="3">
                  <c:v>3962</c:v>
                </c:pt>
                <c:pt idx="4">
                  <c:v>4539</c:v>
                </c:pt>
                <c:pt idx="5">
                  <c:v>5331</c:v>
                </c:pt>
                <c:pt idx="6">
                  <c:v>6890</c:v>
                </c:pt>
                <c:pt idx="7">
                  <c:v>7209</c:v>
                </c:pt>
                <c:pt idx="8">
                  <c:v>6660</c:v>
                </c:pt>
                <c:pt idx="9">
                  <c:v>5838</c:v>
                </c:pt>
                <c:pt idx="10">
                  <c:v>10351</c:v>
                </c:pt>
                <c:pt idx="11" formatCode="General">
                  <c:v>4729</c:v>
                </c:pt>
              </c:numCache>
            </c:numRef>
          </c:val>
          <c:extLst>
            <c:ext xmlns:c16="http://schemas.microsoft.com/office/drawing/2014/chart" uri="{C3380CC4-5D6E-409C-BE32-E72D297353CC}">
              <c16:uniqueId val="{00000000-269E-4C33-A2AA-91B74DDDB5B6}"/>
            </c:ext>
          </c:extLst>
        </c:ser>
        <c:ser>
          <c:idx val="2"/>
          <c:order val="1"/>
          <c:tx>
            <c:strRef>
              <c:f>'2021'!$O$5</c:f>
              <c:strCache>
                <c:ptCount val="1"/>
                <c:pt idx="0">
                  <c:v>Saistībā ar TUA
attiecināmie ieguldījumi</c:v>
                </c:pt>
              </c:strCache>
            </c:strRef>
          </c:tx>
          <c:spPr>
            <a:solidFill>
              <a:srgbClr val="1F497D">
                <a:lumMod val="50000"/>
              </a:srgbClr>
            </a:solidFill>
            <a:ln>
              <a:noFill/>
            </a:ln>
            <a:effectLst/>
          </c:spPr>
          <c:invertIfNegative val="0"/>
          <c:dLbls>
            <c:dLbl>
              <c:idx val="1"/>
              <c:layout>
                <c:manualLayout>
                  <c:x val="-8.8888888888888889E-3"/>
                  <c:y val="5.5994955937769663E-3"/>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1-269E-4C33-A2AA-91B74DDDB5B6}"/>
                </c:ext>
              </c:extLst>
            </c:dLbl>
            <c:dLbl>
              <c:idx val="2"/>
              <c:layout>
                <c:manualLayout>
                  <c:x val="-6.6666666666666671E-3"/>
                  <c:y val="9.323890379624335E-3"/>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2-269E-4C33-A2AA-91B74DDDB5B6}"/>
                </c:ext>
              </c:extLst>
            </c:dLbl>
            <c:dLbl>
              <c:idx val="3"/>
              <c:layout>
                <c:manualLayout>
                  <c:x val="-6.6666666666666263E-3"/>
                  <c:y val="0"/>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3-269E-4C33-A2AA-91B74DDDB5B6}"/>
                </c:ext>
              </c:extLst>
            </c:dLbl>
            <c:dLbl>
              <c:idx val="4"/>
              <c:layout>
                <c:manualLayout>
                  <c:x val="-6.4307961504811899E-3"/>
                  <c:y val="-3.7243947858472998E-3"/>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4-269E-4C33-A2AA-91B74DDDB5B6}"/>
                </c:ext>
              </c:extLst>
            </c:dLbl>
            <c:dLbl>
              <c:idx val="5"/>
              <c:layout>
                <c:manualLayout>
                  <c:x val="-8.5744531933508311E-3"/>
                  <c:y val="-6.1643132597245332E-4"/>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5-269E-4C33-A2AA-91B74DDDB5B6}"/>
                </c:ext>
              </c:extLst>
            </c:dLbl>
            <c:dLbl>
              <c:idx val="6"/>
              <c:layout>
                <c:manualLayout>
                  <c:x val="-6.4307961504811899E-3"/>
                  <c:y val="4.9833575272364697E-3"/>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6-269E-4C33-A2AA-91B74DDDB5B6}"/>
                </c:ext>
              </c:extLst>
            </c:dLbl>
            <c:dLbl>
              <c:idx val="7"/>
              <c:layout>
                <c:manualLayout>
                  <c:x val="-6.4307961504812714E-3"/>
                  <c:y val="9.3238903796242657E-3"/>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7-269E-4C33-A2AA-91B74DDDB5B6}"/>
                </c:ext>
              </c:extLst>
            </c:dLbl>
            <c:dLbl>
              <c:idx val="8"/>
              <c:layout>
                <c:manualLayout>
                  <c:x val="-8.8888888888889704E-3"/>
                  <c:y val="7.4487895716945996E-3"/>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8-269E-4C33-A2AA-91B74DDDB5B6}"/>
                </c:ext>
              </c:extLst>
            </c:dLbl>
            <c:dLbl>
              <c:idx val="9"/>
              <c:layout>
                <c:manualLayout>
                  <c:x val="-6.4308681672026512E-3"/>
                  <c:y val="9.3240093240092668E-3"/>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9-269E-4C33-A2AA-91B74DDDB5B6}"/>
                </c:ext>
              </c:extLst>
            </c:dLbl>
            <c:dLbl>
              <c:idx val="10"/>
              <c:layout>
                <c:manualLayout>
                  <c:x val="-6.6666666666667478E-3"/>
                  <c:y val="7.4487895716945996E-3"/>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A-269E-4C33-A2AA-91B74DDDB5B6}"/>
                </c:ext>
              </c:extLst>
            </c:dLbl>
            <c:dLbl>
              <c:idx val="11"/>
              <c:layout>
                <c:manualLayout>
                  <c:x val="-6.6666666666668293E-3"/>
                  <c:y val="1.4897725773105178E-2"/>
                </c:manualLayout>
              </c:layout>
              <c:spPr>
                <a:noFill/>
                <a:ln>
                  <a:noFill/>
                </a:ln>
                <a:effectLst/>
              </c:spPr>
              <c:txPr>
                <a:bodyPr rot="0" spcFirstLastPara="1" vertOverflow="ellipsis" vert="horz" wrap="square" lIns="38100" tIns="19050" rIns="38100" bIns="19050" anchor="ctr" anchorCtr="1">
                  <a:noAutofit/>
                </a:bodyPr>
                <a:lstStyle/>
                <a:p>
                  <a:pPr>
                    <a:defRPr sz="900" b="1" i="0" u="none" strike="noStrike" kern="1200" baseline="0">
                      <a:solidFill>
                        <a:schemeClr val="tx2">
                          <a:lumMod val="50000"/>
                        </a:schemeClr>
                      </a:solidFill>
                      <a:latin typeface="Times New Roman" panose="02020603050405020304" pitchFamily="18" charset="0"/>
                      <a:ea typeface="+mn-ea"/>
                      <a:cs typeface="+mn-cs"/>
                    </a:defRPr>
                  </a:pPr>
                  <a:endParaRPr lang="lv-LV"/>
                </a:p>
              </c:txPr>
              <c:showLegendKey val="0"/>
              <c:showVal val="1"/>
              <c:showCatName val="0"/>
              <c:showSerName val="0"/>
              <c:showPercent val="0"/>
              <c:showBubbleSize val="0"/>
              <c:extLst>
                <c:ext xmlns:c15="http://schemas.microsoft.com/office/drawing/2012/chart" uri="{CE6537A1-D6FC-4f65-9D91-7224C49458BB}">
                  <c15:layout>
                    <c:manualLayout>
                      <c:w val="4.8888888888888891E-2"/>
                      <c:h val="6.459977419023738E-2"/>
                    </c:manualLayout>
                  </c15:layout>
                </c:ext>
                <c:ext xmlns:c16="http://schemas.microsoft.com/office/drawing/2014/chart" uri="{C3380CC4-5D6E-409C-BE32-E72D297353CC}">
                  <c16:uniqueId val="{0000000B-269E-4C33-A2AA-91B74DDDB5B6}"/>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2">
                        <a:lumMod val="50000"/>
                      </a:schemeClr>
                    </a:solidFill>
                    <a:latin typeface="Times New Roman" panose="02020603050405020304" pitchFamily="18" charset="0"/>
                    <a:ea typeface="+mn-ea"/>
                    <a:cs typeface="+mn-cs"/>
                  </a:defRPr>
                </a:pPr>
                <a:endParaRPr lang="lv-LV"/>
              </a:p>
            </c:txP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strRef>
              <c:f>'2021'!$M$6:$M$17</c:f>
              <c:strCache>
                <c:ptCount val="12"/>
                <c:pt idx="0">
                  <c:v>2011</c:v>
                </c:pt>
                <c:pt idx="1">
                  <c:v>2012</c:v>
                </c:pt>
                <c:pt idx="2">
                  <c:v>2013</c:v>
                </c:pt>
                <c:pt idx="3">
                  <c:v>2014</c:v>
                </c:pt>
                <c:pt idx="4">
                  <c:v>2015</c:v>
                </c:pt>
                <c:pt idx="5">
                  <c:v>2016</c:v>
                </c:pt>
                <c:pt idx="6">
                  <c:v>2017</c:v>
                </c:pt>
                <c:pt idx="7">
                  <c:v>2018</c:v>
                </c:pt>
                <c:pt idx="8">
                  <c:v>2019</c:v>
                </c:pt>
                <c:pt idx="9">
                  <c:v>2020</c:v>
                </c:pt>
                <c:pt idx="10">
                  <c:v>2021</c:v>
                </c:pt>
                <c:pt idx="11">
                  <c:v>2022   1-3 cet.</c:v>
                </c:pt>
              </c:strCache>
            </c:strRef>
          </c:cat>
          <c:val>
            <c:numRef>
              <c:f>'2021'!$O$6:$O$17</c:f>
              <c:numCache>
                <c:formatCode>#,##0.0</c:formatCode>
                <c:ptCount val="12"/>
                <c:pt idx="0">
                  <c:v>176.84299999999999</c:v>
                </c:pt>
                <c:pt idx="1">
                  <c:v>249.459</c:v>
                </c:pt>
                <c:pt idx="2">
                  <c:v>359.98899999999998</c:v>
                </c:pt>
                <c:pt idx="3">
                  <c:v>447.46800000000002</c:v>
                </c:pt>
                <c:pt idx="4">
                  <c:v>90.489000000000004</c:v>
                </c:pt>
                <c:pt idx="5">
                  <c:v>62.524999999999999</c:v>
                </c:pt>
                <c:pt idx="6">
                  <c:v>39.609000000000002</c:v>
                </c:pt>
                <c:pt idx="7">
                  <c:v>37.652000000000001</c:v>
                </c:pt>
                <c:pt idx="8">
                  <c:v>33.1</c:v>
                </c:pt>
                <c:pt idx="9">
                  <c:v>26.3</c:v>
                </c:pt>
                <c:pt idx="10">
                  <c:v>35.700000000000003</c:v>
                </c:pt>
                <c:pt idx="11" formatCode="0.0">
                  <c:v>23</c:v>
                </c:pt>
              </c:numCache>
            </c:numRef>
          </c:val>
          <c:extLst>
            <c:ext xmlns:c16="http://schemas.microsoft.com/office/drawing/2014/chart" uri="{C3380CC4-5D6E-409C-BE32-E72D297353CC}">
              <c16:uniqueId val="{0000000C-269E-4C33-A2AA-91B74DDDB5B6}"/>
            </c:ext>
          </c:extLst>
        </c:ser>
        <c:ser>
          <c:idx val="3"/>
          <c:order val="2"/>
          <c:tx>
            <c:strRef>
              <c:f>'2021'!$Q$5</c:f>
              <c:strCache>
                <c:ptCount val="1"/>
                <c:pt idx="0">
                  <c:v>Tiešo investīciju izejošās plūsmas</c:v>
                </c:pt>
              </c:strCache>
            </c:strRef>
          </c:tx>
          <c:spPr>
            <a:solidFill>
              <a:schemeClr val="tx2">
                <a:lumMod val="20000"/>
                <a:lumOff val="80000"/>
              </a:schemeClr>
            </a:solidFill>
            <a:ln>
              <a:noFill/>
            </a:ln>
            <a:effectLst/>
          </c:spPr>
          <c:invertIfNegative val="0"/>
          <c:cat>
            <c:strRef>
              <c:f>'2021'!$M$6:$M$17</c:f>
              <c:strCache>
                <c:ptCount val="12"/>
                <c:pt idx="0">
                  <c:v>2011</c:v>
                </c:pt>
                <c:pt idx="1">
                  <c:v>2012</c:v>
                </c:pt>
                <c:pt idx="2">
                  <c:v>2013</c:v>
                </c:pt>
                <c:pt idx="3">
                  <c:v>2014</c:v>
                </c:pt>
                <c:pt idx="4">
                  <c:v>2015</c:v>
                </c:pt>
                <c:pt idx="5">
                  <c:v>2016</c:v>
                </c:pt>
                <c:pt idx="6">
                  <c:v>2017</c:v>
                </c:pt>
                <c:pt idx="7">
                  <c:v>2018</c:v>
                </c:pt>
                <c:pt idx="8">
                  <c:v>2019</c:v>
                </c:pt>
                <c:pt idx="9">
                  <c:v>2020</c:v>
                </c:pt>
                <c:pt idx="10">
                  <c:v>2021</c:v>
                </c:pt>
                <c:pt idx="11">
                  <c:v>2022   1-3 cet.</c:v>
                </c:pt>
              </c:strCache>
            </c:strRef>
          </c:cat>
          <c:val>
            <c:numRef>
              <c:f>'2021'!$Q$6:$Q$17</c:f>
              <c:numCache>
                <c:formatCode>0</c:formatCode>
                <c:ptCount val="12"/>
                <c:pt idx="0">
                  <c:v>-3283</c:v>
                </c:pt>
                <c:pt idx="1">
                  <c:v>-2083</c:v>
                </c:pt>
                <c:pt idx="2">
                  <c:v>-2830</c:v>
                </c:pt>
                <c:pt idx="3">
                  <c:v>-3287</c:v>
                </c:pt>
                <c:pt idx="4">
                  <c:v>-3873</c:v>
                </c:pt>
                <c:pt idx="5">
                  <c:v>-5101</c:v>
                </c:pt>
                <c:pt idx="6">
                  <c:v>-6230</c:v>
                </c:pt>
                <c:pt idx="7">
                  <c:v>-6395</c:v>
                </c:pt>
                <c:pt idx="8">
                  <c:v>-5833</c:v>
                </c:pt>
                <c:pt idx="9">
                  <c:v>-4926</c:v>
                </c:pt>
                <c:pt idx="10">
                  <c:v>-7543</c:v>
                </c:pt>
                <c:pt idx="11">
                  <c:v>-3476</c:v>
                </c:pt>
              </c:numCache>
            </c:numRef>
          </c:val>
          <c:extLst>
            <c:ext xmlns:c16="http://schemas.microsoft.com/office/drawing/2014/chart" uri="{C3380CC4-5D6E-409C-BE32-E72D297353CC}">
              <c16:uniqueId val="{0000000D-269E-4C33-A2AA-91B74DDDB5B6}"/>
            </c:ext>
          </c:extLst>
        </c:ser>
        <c:dLbls>
          <c:showLegendKey val="0"/>
          <c:showVal val="0"/>
          <c:showCatName val="0"/>
          <c:showSerName val="0"/>
          <c:showPercent val="0"/>
          <c:showBubbleSize val="0"/>
        </c:dLbls>
        <c:gapWidth val="20"/>
        <c:overlap val="85"/>
        <c:axId val="204283904"/>
        <c:axId val="333606824"/>
      </c:barChart>
      <c:catAx>
        <c:axId val="204283904"/>
        <c:scaling>
          <c:orientation val="minMax"/>
        </c:scaling>
        <c:delete val="0"/>
        <c:axPos val="b"/>
        <c:numFmt formatCode="General" sourceLinked="1"/>
        <c:majorTickMark val="none"/>
        <c:minorTickMark val="none"/>
        <c:tickLblPos val="nextTo"/>
        <c:spPr>
          <a:noFill/>
          <a:ln w="9525" cap="flat" cmpd="sng" algn="ctr">
            <a:solidFill>
              <a:schemeClr val="tx1"/>
            </a:solidFill>
            <a:round/>
          </a:ln>
          <a:effectLst/>
        </c:spPr>
        <c:txPr>
          <a:bodyPr rot="-60000000" spcFirstLastPara="1" vertOverflow="ellipsis" vert="horz" wrap="square" anchor="ctr" anchorCtr="1"/>
          <a:lstStyle/>
          <a:p>
            <a:pPr>
              <a:defRPr sz="850" b="0" i="0" u="none" strike="noStrike" kern="1200" baseline="0">
                <a:solidFill>
                  <a:sysClr val="windowText" lastClr="000000"/>
                </a:solidFill>
                <a:latin typeface="Times New Roman" panose="02020603050405020304" pitchFamily="18" charset="0"/>
                <a:ea typeface="+mn-ea"/>
                <a:cs typeface="+mn-cs"/>
              </a:defRPr>
            </a:pPr>
            <a:endParaRPr lang="lv-LV"/>
          </a:p>
        </c:txPr>
        <c:crossAx val="333606824"/>
        <c:crosses val="autoZero"/>
        <c:auto val="1"/>
        <c:lblAlgn val="ctr"/>
        <c:lblOffset val="100"/>
        <c:noMultiLvlLbl val="0"/>
      </c:catAx>
      <c:valAx>
        <c:axId val="333606824"/>
        <c:scaling>
          <c:orientation val="minMax"/>
          <c:max val="11000"/>
          <c:min val="-9000"/>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solidFill>
              <a:schemeClr val="tx1"/>
            </a:solid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mn-cs"/>
              </a:defRPr>
            </a:pPr>
            <a:endParaRPr lang="lv-LV"/>
          </a:p>
        </c:txPr>
        <c:crossAx val="204283904"/>
        <c:crosses val="autoZero"/>
        <c:crossBetween val="between"/>
      </c:valAx>
      <c:spPr>
        <a:noFill/>
        <a:ln>
          <a:noFill/>
        </a:ln>
        <a:effectLst/>
      </c:spPr>
    </c:plotArea>
    <c:legend>
      <c:legendPos val="r"/>
      <c:layout>
        <c:manualLayout>
          <c:xMode val="edge"/>
          <c:yMode val="edge"/>
          <c:x val="0.77709168853893262"/>
          <c:y val="0.20197070338274756"/>
          <c:w val="0.22290813648293964"/>
          <c:h val="0.65503834367072833"/>
        </c:manualLayout>
      </c:layout>
      <c:overlay val="0"/>
      <c:spPr>
        <a:noFill/>
        <a:ln>
          <a:noFill/>
        </a:ln>
        <a:effectLst/>
      </c:spPr>
      <c:txPr>
        <a:bodyPr rot="0" spcFirstLastPara="1" vertOverflow="ellipsis" vert="horz" wrap="square" anchor="ctr" anchorCtr="1"/>
        <a:lstStyle/>
        <a:p>
          <a:pPr>
            <a:defRPr sz="1000" b="0" i="0" u="none" strike="noStrike" kern="1200" baseline="0">
              <a:solidFill>
                <a:sysClr val="windowText" lastClr="000000"/>
              </a:solidFill>
              <a:latin typeface="Times New Roman" panose="02020603050405020304" pitchFamily="18" charset="0"/>
              <a:ea typeface="+mn-ea"/>
              <a:cs typeface="+mn-cs"/>
            </a:defRPr>
          </a:pPr>
          <a:endParaRPr lang="lv-LV"/>
        </a:p>
      </c:txPr>
    </c:legend>
    <c:plotVisOnly val="1"/>
    <c:dispBlanksAs val="gap"/>
    <c:showDLblsOverMax val="0"/>
  </c:chart>
  <c:spPr>
    <a:solidFill>
      <a:schemeClr val="bg1"/>
    </a:solidFill>
    <a:ln w="9525" cap="flat" cmpd="sng" algn="ctr">
      <a:solidFill>
        <a:schemeClr val="bg1">
          <a:lumMod val="75000"/>
        </a:schemeClr>
      </a:solidFill>
      <a:round/>
    </a:ln>
    <a:effectLst/>
  </c:spPr>
  <c:txPr>
    <a:bodyPr/>
    <a:lstStyle/>
    <a:p>
      <a:pPr>
        <a:defRPr sz="1100" baseline="0">
          <a:solidFill>
            <a:sysClr val="windowText" lastClr="000000"/>
          </a:solidFill>
          <a:latin typeface="Times New Roman" panose="02020603050405020304" pitchFamily="18" charset="0"/>
        </a:defRPr>
      </a:pPr>
      <a:endParaRPr lang="lv-LV"/>
    </a:p>
  </c:txPr>
  <c:externalData r:id="rId4">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7.4624816975598293E-2"/>
          <c:y val="3.36654170581972E-2"/>
          <c:w val="0.83347920888127303"/>
          <c:h val="0.625588940581282"/>
        </c:manualLayout>
      </c:layout>
      <c:barChart>
        <c:barDir val="col"/>
        <c:grouping val="clustered"/>
        <c:varyColors val="0"/>
        <c:ser>
          <c:idx val="0"/>
          <c:order val="0"/>
          <c:tx>
            <c:strRef>
              <c:f>Sheet1!$B$4</c:f>
              <c:strCache>
                <c:ptCount val="1"/>
                <c:pt idx="0">
                  <c:v>TUA pieteikumu skaits (kreisā ass)</c:v>
                </c:pt>
              </c:strCache>
            </c:strRef>
          </c:tx>
          <c:spPr>
            <a:solidFill>
              <a:srgbClr val="4472C4">
                <a:lumMod val="50000"/>
                <a:alpha val="98000"/>
              </a:srgbClr>
            </a:solidFill>
            <a:ln>
              <a:solidFill>
                <a:srgbClr val="4472C4">
                  <a:lumMod val="50000"/>
                </a:srgbClr>
              </a:solidFill>
            </a:ln>
            <a:effectLst/>
          </c:spPr>
          <c:invertIfNegative val="0"/>
          <c:cat>
            <c:numRef>
              <c:f>Sheet1!$C$3:$O$3</c:f>
              <c:numCache>
                <c:formatCode>0</c:formatCode>
                <c:ptCount val="13"/>
                <c:pt idx="0">
                  <c:v>2010</c:v>
                </c:pt>
                <c:pt idx="1">
                  <c:v>2011</c:v>
                </c:pt>
                <c:pt idx="2">
                  <c:v>2012</c:v>
                </c:pt>
                <c:pt idx="3">
                  <c:v>2013</c:v>
                </c:pt>
                <c:pt idx="4">
                  <c:v>2014</c:v>
                </c:pt>
                <c:pt idx="5">
                  <c:v>2015</c:v>
                </c:pt>
                <c:pt idx="6">
                  <c:v>2016</c:v>
                </c:pt>
                <c:pt idx="7" formatCode="General">
                  <c:v>2017</c:v>
                </c:pt>
                <c:pt idx="8" formatCode="General">
                  <c:v>2018</c:v>
                </c:pt>
                <c:pt idx="9" formatCode="General">
                  <c:v>2019</c:v>
                </c:pt>
                <c:pt idx="10" formatCode="General">
                  <c:v>2020</c:v>
                </c:pt>
                <c:pt idx="11" formatCode="General">
                  <c:v>2021</c:v>
                </c:pt>
                <c:pt idx="12" formatCode="General">
                  <c:v>2022</c:v>
                </c:pt>
              </c:numCache>
            </c:numRef>
          </c:cat>
          <c:val>
            <c:numRef>
              <c:f>Sheet1!$C$4:$O$4</c:f>
              <c:numCache>
                <c:formatCode>#,##0.00</c:formatCode>
                <c:ptCount val="13"/>
                <c:pt idx="0">
                  <c:v>7.9000000000000001E-2</c:v>
                </c:pt>
                <c:pt idx="1">
                  <c:v>0.66900000000000004</c:v>
                </c:pt>
                <c:pt idx="2">
                  <c:v>1.0129999999999999</c:v>
                </c:pt>
                <c:pt idx="3">
                  <c:v>1.556</c:v>
                </c:pt>
                <c:pt idx="4">
                  <c:v>2.25</c:v>
                </c:pt>
                <c:pt idx="5">
                  <c:v>0.27200000000000002</c:v>
                </c:pt>
                <c:pt idx="6">
                  <c:v>0.17799999999999999</c:v>
                </c:pt>
                <c:pt idx="7">
                  <c:v>0.1</c:v>
                </c:pt>
                <c:pt idx="8">
                  <c:v>9.9000000000000005E-2</c:v>
                </c:pt>
                <c:pt idx="9">
                  <c:v>0.1</c:v>
                </c:pt>
                <c:pt idx="10">
                  <c:v>7.0000000000000007E-2</c:v>
                </c:pt>
                <c:pt idx="11">
                  <c:v>0.15</c:v>
                </c:pt>
                <c:pt idx="12" formatCode="General">
                  <c:v>7.0000000000000007E-2</c:v>
                </c:pt>
              </c:numCache>
            </c:numRef>
          </c:val>
          <c:extLst>
            <c:ext xmlns:c16="http://schemas.microsoft.com/office/drawing/2014/chart" uri="{C3380CC4-5D6E-409C-BE32-E72D297353CC}">
              <c16:uniqueId val="{00000000-383E-48FA-B0AA-857709B9846F}"/>
            </c:ext>
          </c:extLst>
        </c:ser>
        <c:ser>
          <c:idx val="1"/>
          <c:order val="1"/>
          <c:tx>
            <c:strRef>
              <c:f>Sheet1!$B$5</c:f>
              <c:strCache>
                <c:ptCount val="1"/>
                <c:pt idx="0">
                  <c:v>Visu Zemesgrāmatā reģistrēto pirkuma līgumu skaits (kreisā ass)</c:v>
                </c:pt>
              </c:strCache>
            </c:strRef>
          </c:tx>
          <c:spPr>
            <a:solidFill>
              <a:srgbClr val="44546A">
                <a:lumMod val="40000"/>
                <a:lumOff val="60000"/>
              </a:srgbClr>
            </a:solidFill>
            <a:ln w="38100">
              <a:solidFill>
                <a:srgbClr val="44546A">
                  <a:lumMod val="40000"/>
                  <a:lumOff val="60000"/>
                </a:srgbClr>
              </a:solidFill>
            </a:ln>
            <a:effectLst/>
          </c:spPr>
          <c:invertIfNegative val="0"/>
          <c:cat>
            <c:numRef>
              <c:f>Sheet1!$C$3:$O$3</c:f>
              <c:numCache>
                <c:formatCode>0</c:formatCode>
                <c:ptCount val="13"/>
                <c:pt idx="0">
                  <c:v>2010</c:v>
                </c:pt>
                <c:pt idx="1">
                  <c:v>2011</c:v>
                </c:pt>
                <c:pt idx="2">
                  <c:v>2012</c:v>
                </c:pt>
                <c:pt idx="3">
                  <c:v>2013</c:v>
                </c:pt>
                <c:pt idx="4">
                  <c:v>2014</c:v>
                </c:pt>
                <c:pt idx="5">
                  <c:v>2015</c:v>
                </c:pt>
                <c:pt idx="6">
                  <c:v>2016</c:v>
                </c:pt>
                <c:pt idx="7" formatCode="General">
                  <c:v>2017</c:v>
                </c:pt>
                <c:pt idx="8" formatCode="General">
                  <c:v>2018</c:v>
                </c:pt>
                <c:pt idx="9" formatCode="General">
                  <c:v>2019</c:v>
                </c:pt>
                <c:pt idx="10" formatCode="General">
                  <c:v>2020</c:v>
                </c:pt>
                <c:pt idx="11" formatCode="General">
                  <c:v>2021</c:v>
                </c:pt>
                <c:pt idx="12" formatCode="General">
                  <c:v>2022</c:v>
                </c:pt>
              </c:numCache>
            </c:numRef>
          </c:cat>
          <c:val>
            <c:numRef>
              <c:f>Sheet1!$C$5:$O$5</c:f>
              <c:numCache>
                <c:formatCode>#,##0.00</c:formatCode>
                <c:ptCount val="13"/>
                <c:pt idx="0">
                  <c:v>36.603999999999999</c:v>
                </c:pt>
                <c:pt idx="1">
                  <c:v>42.051000000000002</c:v>
                </c:pt>
                <c:pt idx="2">
                  <c:v>43.941000000000003</c:v>
                </c:pt>
                <c:pt idx="3">
                  <c:v>49.140999999999998</c:v>
                </c:pt>
                <c:pt idx="4">
                  <c:v>49.972999999999999</c:v>
                </c:pt>
                <c:pt idx="5">
                  <c:v>48.396999999999998</c:v>
                </c:pt>
                <c:pt idx="6">
                  <c:v>52.152000000000001</c:v>
                </c:pt>
                <c:pt idx="7">
                  <c:v>52.64</c:v>
                </c:pt>
                <c:pt idx="8">
                  <c:v>49.09</c:v>
                </c:pt>
                <c:pt idx="9">
                  <c:v>49.9</c:v>
                </c:pt>
                <c:pt idx="10">
                  <c:v>51.39</c:v>
                </c:pt>
                <c:pt idx="11">
                  <c:v>56.5</c:v>
                </c:pt>
                <c:pt idx="12">
                  <c:v>52.75</c:v>
                </c:pt>
              </c:numCache>
            </c:numRef>
          </c:val>
          <c:extLst>
            <c:ext xmlns:c16="http://schemas.microsoft.com/office/drawing/2014/chart" uri="{C3380CC4-5D6E-409C-BE32-E72D297353CC}">
              <c16:uniqueId val="{00000001-383E-48FA-B0AA-857709B9846F}"/>
            </c:ext>
          </c:extLst>
        </c:ser>
        <c:dLbls>
          <c:showLegendKey val="0"/>
          <c:showVal val="0"/>
          <c:showCatName val="0"/>
          <c:showSerName val="0"/>
          <c:showPercent val="0"/>
          <c:showBubbleSize val="0"/>
        </c:dLbls>
        <c:gapWidth val="49"/>
        <c:axId val="481700152"/>
        <c:axId val="481700544"/>
      </c:barChart>
      <c:lineChart>
        <c:grouping val="standard"/>
        <c:varyColors val="0"/>
        <c:ser>
          <c:idx val="2"/>
          <c:order val="2"/>
          <c:tx>
            <c:strRef>
              <c:f>Sheet1!$B$6</c:f>
              <c:strCache>
                <c:ptCount val="1"/>
                <c:pt idx="0">
                  <c:v>TUA investīciju summa (labā ass)</c:v>
                </c:pt>
              </c:strCache>
            </c:strRef>
          </c:tx>
          <c:spPr>
            <a:ln w="38100" cap="rnd">
              <a:solidFill>
                <a:srgbClr val="E7E6E6">
                  <a:lumMod val="10000"/>
                </a:srgbClr>
              </a:solidFill>
              <a:round/>
            </a:ln>
            <a:effectLst/>
          </c:spPr>
          <c:marker>
            <c:symbol val="none"/>
          </c:marker>
          <c:cat>
            <c:numRef>
              <c:f>Sheet1!$C$3:$N$3</c:f>
              <c:numCache>
                <c:formatCode>0</c:formatCode>
                <c:ptCount val="12"/>
                <c:pt idx="0">
                  <c:v>2010</c:v>
                </c:pt>
                <c:pt idx="1">
                  <c:v>2011</c:v>
                </c:pt>
                <c:pt idx="2">
                  <c:v>2012</c:v>
                </c:pt>
                <c:pt idx="3">
                  <c:v>2013</c:v>
                </c:pt>
                <c:pt idx="4">
                  <c:v>2014</c:v>
                </c:pt>
                <c:pt idx="5">
                  <c:v>2015</c:v>
                </c:pt>
                <c:pt idx="6">
                  <c:v>2016</c:v>
                </c:pt>
                <c:pt idx="7" formatCode="General">
                  <c:v>2017</c:v>
                </c:pt>
                <c:pt idx="8" formatCode="General">
                  <c:v>2018</c:v>
                </c:pt>
                <c:pt idx="9" formatCode="General">
                  <c:v>2019</c:v>
                </c:pt>
                <c:pt idx="10" formatCode="General">
                  <c:v>2020</c:v>
                </c:pt>
                <c:pt idx="11" formatCode="General">
                  <c:v>2021</c:v>
                </c:pt>
              </c:numCache>
            </c:numRef>
          </c:cat>
          <c:val>
            <c:numRef>
              <c:f>Sheet1!$C$6:$O$6</c:f>
              <c:numCache>
                <c:formatCode>#,##0.00</c:formatCode>
                <c:ptCount val="13"/>
                <c:pt idx="0">
                  <c:v>15.9</c:v>
                </c:pt>
                <c:pt idx="1">
                  <c:v>138.1</c:v>
                </c:pt>
                <c:pt idx="2">
                  <c:v>207.7</c:v>
                </c:pt>
                <c:pt idx="3">
                  <c:v>296.60000000000002</c:v>
                </c:pt>
                <c:pt idx="4">
                  <c:v>397.3</c:v>
                </c:pt>
                <c:pt idx="5">
                  <c:v>72.8</c:v>
                </c:pt>
                <c:pt idx="6">
                  <c:v>50.7</c:v>
                </c:pt>
                <c:pt idx="7">
                  <c:v>28.3</c:v>
                </c:pt>
                <c:pt idx="8">
                  <c:v>28.2</c:v>
                </c:pt>
                <c:pt idx="9">
                  <c:v>30.1</c:v>
                </c:pt>
                <c:pt idx="10">
                  <c:v>23.8</c:v>
                </c:pt>
                <c:pt idx="11">
                  <c:v>31.09</c:v>
                </c:pt>
                <c:pt idx="12">
                  <c:v>23</c:v>
                </c:pt>
              </c:numCache>
            </c:numRef>
          </c:val>
          <c:smooth val="0"/>
          <c:extLst>
            <c:ext xmlns:c16="http://schemas.microsoft.com/office/drawing/2014/chart" uri="{C3380CC4-5D6E-409C-BE32-E72D297353CC}">
              <c16:uniqueId val="{00000002-383E-48FA-B0AA-857709B9846F}"/>
            </c:ext>
          </c:extLst>
        </c:ser>
        <c:ser>
          <c:idx val="3"/>
          <c:order val="3"/>
          <c:tx>
            <c:strRef>
              <c:f>Sheet1!$B$7</c:f>
              <c:strCache>
                <c:ptCount val="1"/>
                <c:pt idx="0">
                  <c:v>Nerezidentu ieguldījums nekustamajos īpašumos (labā ass)</c:v>
                </c:pt>
              </c:strCache>
            </c:strRef>
          </c:tx>
          <c:spPr>
            <a:ln w="38100" cap="rnd">
              <a:solidFill>
                <a:sysClr val="windowText" lastClr="000000">
                  <a:lumMod val="50000"/>
                  <a:lumOff val="50000"/>
                </a:sysClr>
              </a:solidFill>
              <a:round/>
            </a:ln>
            <a:effectLst/>
          </c:spPr>
          <c:marker>
            <c:symbol val="none"/>
          </c:marker>
          <c:cat>
            <c:numRef>
              <c:f>Sheet1!$C$3:$N$3</c:f>
              <c:numCache>
                <c:formatCode>0</c:formatCode>
                <c:ptCount val="12"/>
                <c:pt idx="0">
                  <c:v>2010</c:v>
                </c:pt>
                <c:pt idx="1">
                  <c:v>2011</c:v>
                </c:pt>
                <c:pt idx="2">
                  <c:v>2012</c:v>
                </c:pt>
                <c:pt idx="3">
                  <c:v>2013</c:v>
                </c:pt>
                <c:pt idx="4">
                  <c:v>2014</c:v>
                </c:pt>
                <c:pt idx="5">
                  <c:v>2015</c:v>
                </c:pt>
                <c:pt idx="6">
                  <c:v>2016</c:v>
                </c:pt>
                <c:pt idx="7" formatCode="General">
                  <c:v>2017</c:v>
                </c:pt>
                <c:pt idx="8" formatCode="General">
                  <c:v>2018</c:v>
                </c:pt>
                <c:pt idx="9" formatCode="General">
                  <c:v>2019</c:v>
                </c:pt>
                <c:pt idx="10" formatCode="General">
                  <c:v>2020</c:v>
                </c:pt>
                <c:pt idx="11" formatCode="General">
                  <c:v>2021</c:v>
                </c:pt>
              </c:numCache>
            </c:numRef>
          </c:cat>
          <c:val>
            <c:numRef>
              <c:f>Sheet1!$C$7:$O$7</c:f>
              <c:numCache>
                <c:formatCode>General</c:formatCode>
                <c:ptCount val="13"/>
                <c:pt idx="5" formatCode="#,##0.00">
                  <c:v>141</c:v>
                </c:pt>
                <c:pt idx="6" formatCode="#,##0.00">
                  <c:v>145</c:v>
                </c:pt>
                <c:pt idx="7" formatCode="#,##0.00">
                  <c:v>139</c:v>
                </c:pt>
                <c:pt idx="8" formatCode="#,##0.00">
                  <c:v>154</c:v>
                </c:pt>
                <c:pt idx="9" formatCode="#,##0.00">
                  <c:v>133</c:v>
                </c:pt>
                <c:pt idx="10" formatCode="#,##0.00">
                  <c:v>141</c:v>
                </c:pt>
                <c:pt idx="11" formatCode="#,##0.00">
                  <c:v>156</c:v>
                </c:pt>
                <c:pt idx="12" formatCode="#,##0.00">
                  <c:v>120</c:v>
                </c:pt>
              </c:numCache>
            </c:numRef>
          </c:val>
          <c:smooth val="0"/>
          <c:extLst>
            <c:ext xmlns:c16="http://schemas.microsoft.com/office/drawing/2014/chart" uri="{C3380CC4-5D6E-409C-BE32-E72D297353CC}">
              <c16:uniqueId val="{00000003-383E-48FA-B0AA-857709B9846F}"/>
            </c:ext>
          </c:extLst>
        </c:ser>
        <c:dLbls>
          <c:showLegendKey val="0"/>
          <c:showVal val="0"/>
          <c:showCatName val="0"/>
          <c:showSerName val="0"/>
          <c:showPercent val="0"/>
          <c:showBubbleSize val="0"/>
        </c:dLbls>
        <c:marker val="1"/>
        <c:smooth val="0"/>
        <c:axId val="481701328"/>
        <c:axId val="481700936"/>
      </c:lineChart>
      <c:catAx>
        <c:axId val="481700152"/>
        <c:scaling>
          <c:orientation val="minMax"/>
        </c:scaling>
        <c:delete val="0"/>
        <c:axPos val="b"/>
        <c:numFmt formatCode="0"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mn-cs"/>
              </a:defRPr>
            </a:pPr>
            <a:endParaRPr lang="lv-LV"/>
          </a:p>
        </c:txPr>
        <c:crossAx val="481700544"/>
        <c:crosses val="autoZero"/>
        <c:auto val="1"/>
        <c:lblAlgn val="ctr"/>
        <c:lblOffset val="100"/>
        <c:noMultiLvlLbl val="0"/>
      </c:catAx>
      <c:valAx>
        <c:axId val="481700544"/>
        <c:scaling>
          <c:orientation val="minMax"/>
        </c:scaling>
        <c:delete val="0"/>
        <c:axPos val="l"/>
        <c:majorGridlines>
          <c:spPr>
            <a:ln w="9525" cap="flat" cmpd="sng" algn="ctr">
              <a:solidFill>
                <a:sysClr val="window" lastClr="FFFFFF">
                  <a:lumMod val="75000"/>
                </a:sysClr>
              </a:solidFill>
              <a:round/>
            </a:ln>
            <a:effectLst/>
          </c:spPr>
        </c:majorGridlines>
        <c:numFmt formatCode="General"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mn-cs"/>
              </a:defRPr>
            </a:pPr>
            <a:endParaRPr lang="lv-LV"/>
          </a:p>
        </c:txPr>
        <c:crossAx val="481700152"/>
        <c:crosses val="autoZero"/>
        <c:crossBetween val="between"/>
        <c:minorUnit val="1"/>
      </c:valAx>
      <c:valAx>
        <c:axId val="481700936"/>
        <c:scaling>
          <c:orientation val="minMax"/>
        </c:scaling>
        <c:delete val="0"/>
        <c:axPos val="r"/>
        <c:numFmt formatCode="General" sourceLinked="0"/>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mn-cs"/>
              </a:defRPr>
            </a:pPr>
            <a:endParaRPr lang="lv-LV"/>
          </a:p>
        </c:txPr>
        <c:crossAx val="481701328"/>
        <c:crosses val="max"/>
        <c:crossBetween val="between"/>
        <c:majorUnit val="100"/>
      </c:valAx>
      <c:catAx>
        <c:axId val="481701328"/>
        <c:scaling>
          <c:orientation val="minMax"/>
        </c:scaling>
        <c:delete val="1"/>
        <c:axPos val="b"/>
        <c:numFmt formatCode="0" sourceLinked="1"/>
        <c:majorTickMark val="out"/>
        <c:minorTickMark val="none"/>
        <c:tickLblPos val="nextTo"/>
        <c:crossAx val="481700936"/>
        <c:crossesAt val="0"/>
        <c:auto val="1"/>
        <c:lblAlgn val="ctr"/>
        <c:lblOffset val="100"/>
        <c:noMultiLvlLbl val="0"/>
      </c:catAx>
      <c:spPr>
        <a:noFill/>
        <a:ln>
          <a:noFill/>
        </a:ln>
        <a:effectLst/>
      </c:spPr>
    </c:plotArea>
    <c:legend>
      <c:legendPos val="b"/>
      <c:layout>
        <c:manualLayout>
          <c:xMode val="edge"/>
          <c:yMode val="edge"/>
          <c:x val="2.66033844215069E-2"/>
          <c:y val="0.75554018063220196"/>
          <c:w val="0.930892161795838"/>
          <c:h val="0.24445981936779801"/>
        </c:manualLayout>
      </c:layout>
      <c:overlay val="0"/>
      <c:spPr>
        <a:noFill/>
        <a:ln>
          <a:noFill/>
        </a:ln>
        <a:effectLst/>
      </c:spPr>
      <c:txPr>
        <a:bodyPr rot="0" spcFirstLastPara="1" vertOverflow="ellipsis" vert="horz" wrap="square" anchor="ctr" anchorCtr="1"/>
        <a:lstStyle/>
        <a:p>
          <a:pPr>
            <a:defRPr sz="1000" b="0" i="0" u="none" strike="noStrike" kern="1200" baseline="0">
              <a:solidFill>
                <a:sysClr val="windowText" lastClr="000000"/>
              </a:solidFill>
              <a:latin typeface="Times New Roman" panose="02020603050405020304" pitchFamily="18" charset="0"/>
              <a:ea typeface="+mn-ea"/>
              <a:cs typeface="+mn-cs"/>
            </a:defRPr>
          </a:pPr>
          <a:endParaRPr lang="lv-LV"/>
        </a:p>
      </c:txPr>
    </c:legend>
    <c:plotVisOnly val="1"/>
    <c:dispBlanksAs val="gap"/>
    <c:showDLblsOverMax val="0"/>
  </c:chart>
  <c:spPr>
    <a:solidFill>
      <a:schemeClr val="bg1"/>
    </a:solidFill>
    <a:ln w="9525" cap="flat" cmpd="sng" algn="ctr">
      <a:solidFill>
        <a:sysClr val="window" lastClr="FFFFFF">
          <a:lumMod val="85000"/>
        </a:sysClr>
      </a:solidFill>
      <a:round/>
    </a:ln>
    <a:effectLst/>
  </c:spPr>
  <c:txPr>
    <a:bodyPr/>
    <a:lstStyle/>
    <a:p>
      <a:pPr>
        <a:defRPr/>
      </a:pPr>
      <a:endParaRPr lang="lv-LV"/>
    </a:p>
  </c:txPr>
  <c:externalData r:id="rId4">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3.7163401012772421E-2"/>
          <c:y val="2.3098272960354282E-2"/>
          <c:w val="0.93188149942795617"/>
          <c:h val="0.91055356569738499"/>
        </c:manualLayout>
      </c:layout>
      <c:barChart>
        <c:barDir val="col"/>
        <c:grouping val="stacked"/>
        <c:varyColors val="0"/>
        <c:ser>
          <c:idx val="2"/>
          <c:order val="2"/>
          <c:tx>
            <c:strRef>
              <c:f>'cet.'!$I$4</c:f>
              <c:strCache>
                <c:ptCount val="1"/>
                <c:pt idx="0">
                  <c:v>Iemaksātā summa pirmreizējo TUA saņemšanai (tūkst.euro) </c:v>
                </c:pt>
              </c:strCache>
            </c:strRef>
          </c:tx>
          <c:spPr>
            <a:solidFill>
              <a:srgbClr val="92D050"/>
            </a:solidFill>
            <a:ln>
              <a:noFill/>
            </a:ln>
            <a:effectLst/>
          </c:spPr>
          <c:invertIfNegative val="0"/>
          <c:dLbls>
            <c:dLbl>
              <c:idx val="6"/>
              <c:layout>
                <c:manualLayout>
                  <c:x val="-2.6705202545591829E-17"/>
                  <c:y val="-4.5858312775280879E-2"/>
                </c:manualLayout>
              </c:layout>
              <c:dLblPos val="ct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0-DD9C-4DAB-B592-189BCC533B20}"/>
                </c:ext>
              </c:extLst>
            </c:dLbl>
            <c:dLbl>
              <c:idx val="14"/>
              <c:layout>
                <c:manualLayout>
                  <c:x val="0"/>
                  <c:y val="-6.1030268212181632E-2"/>
                </c:manualLayout>
              </c:layout>
              <c:dLblPos val="ct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1-DD9C-4DAB-B592-189BCC533B20}"/>
                </c:ext>
              </c:extLst>
            </c:dLbl>
            <c:dLbl>
              <c:idx val="17"/>
              <c:layout>
                <c:manualLayout>
                  <c:x val="1.4566642388929353E-3"/>
                  <c:y val="-3.6215065391504174E-2"/>
                </c:manualLayout>
              </c:layout>
              <c:dLblPos val="ct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2-DD9C-4DAB-B592-189BCC533B20}"/>
                </c:ext>
              </c:extLst>
            </c:dLbl>
            <c:dLbl>
              <c:idx val="18"/>
              <c:layout>
                <c:manualLayout>
                  <c:x val="2.9133284777858705E-3"/>
                  <c:y val="-4.4527502731686541E-2"/>
                </c:manualLayout>
              </c:layout>
              <c:dLblPos val="ct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3-DD9C-4DAB-B592-189BCC533B20}"/>
                </c:ext>
              </c:extLst>
            </c:dLbl>
            <c:dLbl>
              <c:idx val="20"/>
              <c:layout>
                <c:manualLayout>
                  <c:x val="-1.0682081018236732E-16"/>
                  <c:y val="-4.3123021639462446E-2"/>
                </c:manualLayout>
              </c:layout>
              <c:dLblPos val="ct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4-DD9C-4DAB-B592-189BCC533B20}"/>
                </c:ext>
              </c:extLst>
            </c:dLbl>
            <c:dLbl>
              <c:idx val="21"/>
              <c:layout>
                <c:manualLayout>
                  <c:x val="0"/>
                  <c:y val="-5.2944701654782531E-2"/>
                </c:manualLayout>
              </c:layout>
              <c:dLblPos val="ct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5-DD9C-4DAB-B592-189BCC533B20}"/>
                </c:ext>
              </c:extLst>
            </c:dLbl>
            <c:dLbl>
              <c:idx val="25"/>
              <c:layout>
                <c:manualLayout>
                  <c:x val="1.4566642388928284E-3"/>
                  <c:y val="-3.613058024399321E-2"/>
                </c:manualLayout>
              </c:layout>
              <c:dLblPos val="ct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6-DD9C-4DAB-B592-189BCC533B20}"/>
                </c:ext>
              </c:extLst>
            </c:dLbl>
            <c:dLbl>
              <c:idx val="26"/>
              <c:layout>
                <c:manualLayout>
                  <c:x val="1.4566642388929353E-3"/>
                  <c:y val="-2.3584648485463027E-2"/>
                </c:manualLayout>
              </c:layout>
              <c:dLblPos val="ct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7-DD9C-4DAB-B592-189BCC533B20}"/>
                </c:ext>
              </c:extLst>
            </c:dLbl>
            <c:dLbl>
              <c:idx val="27"/>
              <c:layout>
                <c:manualLayout>
                  <c:x val="-1.4566642388929353E-3"/>
                  <c:y val="-2.6745068883556936E-2"/>
                </c:manualLayout>
              </c:layout>
              <c:dLblPos val="ct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8-DD9C-4DAB-B592-189BCC533B20}"/>
                </c:ext>
              </c:extLst>
            </c:dLbl>
            <c:dLbl>
              <c:idx val="28"/>
              <c:layout>
                <c:manualLayout>
                  <c:x val="1.4566642388930419E-3"/>
                  <c:y val="-2.4747164115215211E-2"/>
                </c:manualLayout>
              </c:layout>
              <c:dLblPos val="ct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9-DD9C-4DAB-B592-189BCC533B20}"/>
                </c:ext>
              </c:extLst>
            </c:dLbl>
            <c:dLbl>
              <c:idx val="77"/>
              <c:layout>
                <c:manualLayout>
                  <c:x val="0"/>
                  <c:y val="-7.0845471510966162E-3"/>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DD9C-4DAB-B592-189BCC533B20}"/>
                </c:ext>
              </c:extLst>
            </c:dLbl>
            <c:dLbl>
              <c:idx val="161"/>
              <c:layout>
                <c:manualLayout>
                  <c:x val="1.368524012370164E-3"/>
                  <c:y val="-2.392660257237586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B-DD9C-4DAB-B592-189BCC533B20}"/>
                </c:ext>
              </c:extLst>
            </c:dLbl>
            <c:dLbl>
              <c:idx val="195"/>
              <c:layout>
                <c:manualLayout>
                  <c:x val="6.8433215284125302E-3"/>
                  <c:y val="-1.8676473293235956E-3"/>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C-DD9C-4DAB-B592-189BCC533B20}"/>
                </c:ext>
              </c:extLst>
            </c:dLbl>
            <c:dLbl>
              <c:idx val="222"/>
              <c:layout>
                <c:manualLayout>
                  <c:x val="8.2111440742209836E-3"/>
                  <c:y val="-0.17134312307775587"/>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D-DD9C-4DAB-B592-189BCC533B20}"/>
                </c:ext>
              </c:extLst>
            </c:dLbl>
            <c:dLbl>
              <c:idx val="224"/>
              <c:layout>
                <c:manualLayout>
                  <c:x val="9.5796680865911487E-3"/>
                  <c:y val="-0.17351132150690621"/>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E-DD9C-4DAB-B592-189BCC533B20}"/>
                </c:ext>
              </c:extLst>
            </c:dLbl>
            <c:dLbl>
              <c:idx val="235"/>
              <c:layout>
                <c:manualLayout>
                  <c:x val="6.8426200618508203E-3"/>
                  <c:y val="-0.14417894333479703"/>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F-DD9C-4DAB-B592-189BCC533B20}"/>
                </c:ext>
              </c:extLst>
            </c:dLbl>
            <c:dLbl>
              <c:idx val="239"/>
              <c:layout>
                <c:manualLayout>
                  <c:x val="-2.0071453647617104E-16"/>
                  <c:y val="-0.11492521130391847"/>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0-DD9C-4DAB-B592-189BCC533B20}"/>
                </c:ext>
              </c:extLst>
            </c:dLbl>
            <c:dLbl>
              <c:idx val="266"/>
              <c:layout>
                <c:manualLayout>
                  <c:x val="9.5796680865911487E-3"/>
                  <c:y val="-2.2984910635442724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1-DD9C-4DAB-B592-189BCC533B20}"/>
                </c:ext>
              </c:extLst>
            </c:dLbl>
            <c:dLbl>
              <c:idx val="305"/>
              <c:layout>
                <c:manualLayout>
                  <c:x val="9.5796680865910481E-3"/>
                  <c:y val="-0.19432819824487479"/>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2-DD9C-4DAB-B592-189BCC533B20}"/>
                </c:ext>
              </c:extLst>
            </c:dLbl>
            <c:dLbl>
              <c:idx val="324"/>
              <c:layout>
                <c:manualLayout>
                  <c:x val="9.5796680865911487E-3"/>
                  <c:y val="-2.0893877562438426E-3"/>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3-DD9C-4DAB-B592-189BCC533B20}"/>
                </c:ext>
              </c:extLst>
            </c:dLbl>
            <c:dLbl>
              <c:idx val="325"/>
              <c:layout>
                <c:manualLayout>
                  <c:x val="8.2111440742209836E-3"/>
                  <c:y val="-4.1789400441635928E-3"/>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4-DD9C-4DAB-B592-189BCC533B20}"/>
                </c:ext>
              </c:extLst>
            </c:dLbl>
            <c:dLbl>
              <c:idx val="327"/>
              <c:layout>
                <c:manualLayout>
                  <c:x val="9.5796680865910481E-3"/>
                  <c:y val="-0.19014909366903499"/>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5-DD9C-4DAB-B592-189BCC533B20}"/>
                </c:ext>
              </c:extLst>
            </c:dLbl>
            <c:dLbl>
              <c:idx val="328"/>
              <c:layout>
                <c:manualLayout>
                  <c:x val="6.8426200618510206E-3"/>
                  <c:y val="6.2688213954359244E-3"/>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6-DD9C-4DAB-B592-189BCC533B20}"/>
                </c:ext>
              </c:extLst>
            </c:dLbl>
            <c:dLbl>
              <c:idx val="330"/>
              <c:layout>
                <c:manualLayout>
                  <c:x val="9.5796680865911487E-3"/>
                  <c:y val="-8.3580446200033996E-3"/>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7-DD9C-4DAB-B592-189BCC533B20}"/>
                </c:ext>
              </c:extLst>
            </c:dLbl>
            <c:dLbl>
              <c:idx val="333"/>
              <c:layout>
                <c:manualLayout>
                  <c:x val="2.737048024740328E-3"/>
                  <c:y val="2.0897168195961177E-3"/>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8-DD9C-4DAB-B592-189BCC533B20}"/>
                </c:ext>
              </c:extLst>
            </c:dLbl>
            <c:dLbl>
              <c:idx val="334"/>
              <c:layout>
                <c:manualLayout>
                  <c:x val="1.5053764136071804E-2"/>
                  <c:y val="-8.5352452352860549E-3"/>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9-DD9C-4DAB-B592-189BCC533B20}"/>
                </c:ext>
              </c:extLst>
            </c:dLbl>
            <c:dLbl>
              <c:idx val="336"/>
              <c:layout>
                <c:manualLayout>
                  <c:x val="1.2310030542445657E-2"/>
                  <c:y val="-0.19019028586894549"/>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A-DD9C-4DAB-B592-189BCC533B20}"/>
                </c:ext>
              </c:extLst>
            </c:dLbl>
            <c:dLbl>
              <c:idx val="337"/>
              <c:layout>
                <c:manualLayout>
                  <c:x val="1.3675213675213675E-2"/>
                  <c:y val="-0.18623521825030087"/>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B-DD9C-4DAB-B592-189BCC533B20}"/>
                </c:ext>
              </c:extLst>
            </c:dLbl>
            <c:dLbl>
              <c:idx val="339"/>
              <c:layout>
                <c:manualLayout>
                  <c:x val="8.2111440742209836E-3"/>
                  <c:y val="-0.1859454001081482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C-DD9C-4DAB-B592-189BCC533B20}"/>
                </c:ext>
              </c:extLst>
            </c:dLbl>
            <c:dLbl>
              <c:idx val="343"/>
              <c:layout>
                <c:manualLayout>
                  <c:x val="9.5796680865911487E-3"/>
                  <c:y val="-0.1887270463915160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D-DD9C-4DAB-B592-189BCC533B20}"/>
                </c:ext>
              </c:extLst>
            </c:dLbl>
            <c:dLbl>
              <c:idx val="345"/>
              <c:layout>
                <c:manualLayout>
                  <c:x val="1.3679890560875513E-2"/>
                  <c:y val="-0.19247332862097874"/>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E-DD9C-4DAB-B592-189BCC533B20}"/>
                </c:ext>
              </c:extLst>
            </c:dLbl>
            <c:dLbl>
              <c:idx val="346"/>
              <c:layout>
                <c:manualLayout>
                  <c:x val="1.094017094017094E-2"/>
                  <c:y val="-0.17555054444485518"/>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F-DD9C-4DAB-B592-189BCC533B20}"/>
                </c:ext>
              </c:extLst>
            </c:dLbl>
            <c:dLbl>
              <c:idx val="347"/>
              <c:layout>
                <c:manualLayout>
                  <c:x val="1.3685240123703648E-3"/>
                  <c:y val="-0.19224801817311049"/>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20-DD9C-4DAB-B592-189BCC533B20}"/>
                </c:ext>
              </c:extLst>
            </c:dLbl>
            <c:dLbl>
              <c:idx val="534"/>
              <c:layout>
                <c:manualLayout>
                  <c:x val="0"/>
                  <c:y val="5.0298407534738908E-3"/>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21-DD9C-4DAB-B592-189BCC533B20}"/>
                </c:ext>
              </c:extLst>
            </c:dLbl>
            <c:dLbl>
              <c:idx val="555"/>
              <c:layout>
                <c:manualLayout>
                  <c:x val="2.7335352311730265E-3"/>
                  <c:y val="-5.0375135033003657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22-DD9C-4DAB-B592-189BCC533B20}"/>
                </c:ext>
              </c:extLst>
            </c:dLbl>
            <c:dLbl>
              <c:idx val="556"/>
              <c:layout>
                <c:manualLayout>
                  <c:x val="0"/>
                  <c:y val="-3.6087741012798213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23-DD9C-4DAB-B592-189BCC533B20}"/>
                </c:ext>
              </c:extLst>
            </c:dLbl>
            <c:dLbl>
              <c:idx val="558"/>
              <c:layout>
                <c:manualLayout>
                  <c:x val="4.1025641025641026E-3"/>
                  <c:y val="-3.161731544120365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24-DD9C-4DAB-B592-189BCC533B20}"/>
                </c:ext>
              </c:extLst>
            </c:dLbl>
            <c:dLbl>
              <c:idx val="560"/>
              <c:layout>
                <c:manualLayout>
                  <c:x val="1.3679890560875513E-3"/>
                  <c:y val="-4.1022471356007582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25-DD9C-4DAB-B592-189BCC533B20}"/>
                </c:ext>
              </c:extLst>
            </c:dLbl>
            <c:dLbl>
              <c:idx val="561"/>
              <c:layout>
                <c:manualLayout>
                  <c:x val="-2.0063607712775693E-16"/>
                  <c:y val="-3.0323344237502672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26-DD9C-4DAB-B592-189BCC533B20}"/>
                </c:ext>
              </c:extLst>
            </c:dLbl>
            <c:dLbl>
              <c:idx val="563"/>
              <c:layout>
                <c:manualLayout>
                  <c:x val="-2.0056748359711497E-16"/>
                  <c:y val="-2.3431296440057668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27-DD9C-4DAB-B592-189BCC533B20}"/>
                </c:ext>
              </c:extLst>
            </c:dLbl>
            <c:dLbl>
              <c:idx val="564"/>
              <c:layout>
                <c:manualLayout>
                  <c:x val="1.3679890560875513E-3"/>
                  <c:y val="-2.3267305574277121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28-DD9C-4DAB-B592-189BCC533B20}"/>
                </c:ext>
              </c:extLst>
            </c:dLbl>
            <c:dLbl>
              <c:idx val="565"/>
              <c:layout>
                <c:manualLayout>
                  <c:x val="-2.0063607712775693E-16"/>
                  <c:y val="-1.8933144839149804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29-DD9C-4DAB-B592-189BCC533B20}"/>
                </c:ext>
              </c:extLst>
            </c:dLbl>
            <c:dLbl>
              <c:idx val="579"/>
              <c:layout>
                <c:manualLayout>
                  <c:x val="4.1043645248875181E-3"/>
                  <c:y val="-4.9458149713745216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2A-DD9C-4DAB-B592-189BCC533B20}"/>
                </c:ext>
              </c:extLst>
            </c:dLbl>
            <c:dLbl>
              <c:idx val="580"/>
              <c:layout>
                <c:manualLayout>
                  <c:x val="0"/>
                  <c:y val="-4.6248577750099197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2B-DD9C-4DAB-B592-189BCC533B20}"/>
                </c:ext>
              </c:extLst>
            </c:dLbl>
            <c:dLbl>
              <c:idx val="582"/>
              <c:layout>
                <c:manualLayout>
                  <c:x val="0"/>
                  <c:y val="-3.1649433695527251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2C-DD9C-4DAB-B592-189BCC533B20}"/>
                </c:ext>
              </c:extLst>
            </c:dLbl>
            <c:dLbl>
              <c:idx val="584"/>
              <c:layout>
                <c:manualLayout>
                  <c:x val="8.2098064521965858E-3"/>
                  <c:y val="-3.3741832903060875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2D-DD9C-4DAB-B592-189BCC533B20}"/>
                </c:ext>
              </c:extLst>
            </c:dLbl>
            <c:dLbl>
              <c:idx val="587"/>
              <c:layout>
                <c:manualLayout>
                  <c:x val="1.3679890560875513E-2"/>
                  <c:y val="-3.3492841056663322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2E-DD9C-4DAB-B592-189BCC533B20}"/>
                </c:ext>
              </c:extLst>
            </c:dLbl>
            <c:dLbl>
              <c:idx val="588"/>
              <c:layout>
                <c:manualLayout>
                  <c:x val="1.2307692307692106E-2"/>
                  <c:y val="-4.8095161813693478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2F-DD9C-4DAB-B592-189BCC533B20}"/>
                </c:ext>
              </c:extLst>
            </c:dLbl>
            <c:dLbl>
              <c:idx val="589"/>
              <c:layout>
                <c:manualLayout>
                  <c:x val="2.4623803009575923E-2"/>
                  <c:y val="-3.9755889073364782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30-DD9C-4DAB-B592-189BCC533B20}"/>
                </c:ext>
              </c:extLst>
            </c:dLbl>
            <c:dLbl>
              <c:idx val="591"/>
              <c:layout>
                <c:manualLayout>
                  <c:x val="2.8727770177838577E-2"/>
                  <c:y val="2.2333273059030462E-3"/>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31-DD9C-4DAB-B592-189BCC533B20}"/>
                </c:ext>
              </c:extLst>
            </c:dLbl>
            <c:dLbl>
              <c:idx val="610"/>
              <c:layout>
                <c:manualLayout>
                  <c:x val="0"/>
                  <c:y val="-0.18536402939194188"/>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32-DD9C-4DAB-B592-189BCC533B20}"/>
                </c:ext>
              </c:extLst>
            </c:dLbl>
            <c:dLbl>
              <c:idx val="616"/>
              <c:layout>
                <c:manualLayout>
                  <c:x val="2.0519835841313068E-2"/>
                  <c:y val="-1.4174050268768596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33-DD9C-4DAB-B592-189BCC533B20}"/>
                </c:ext>
              </c:extLst>
            </c:dLbl>
            <c:dLbl>
              <c:idx val="620"/>
              <c:layout>
                <c:manualLayout>
                  <c:x val="1.3679890560874509E-3"/>
                  <c:y val="-0.14525454933999654"/>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34-DD9C-4DAB-B592-189BCC533B20}"/>
                </c:ext>
              </c:extLst>
            </c:dLbl>
            <c:dLbl>
              <c:idx val="621"/>
              <c:layout>
                <c:manualLayout>
                  <c:x val="2.0520051272660683E-2"/>
                  <c:y val="-2.7840316933243469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35-DD9C-4DAB-B592-189BCC533B20}"/>
                </c:ext>
              </c:extLst>
            </c:dLbl>
            <c:dLbl>
              <c:idx val="622"/>
              <c:layout>
                <c:manualLayout>
                  <c:x val="2.8724646423300852E-2"/>
                  <c:y val="-1.8643170647510549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36-DD9C-4DAB-B592-189BCC533B20}"/>
                </c:ext>
              </c:extLst>
            </c:dLbl>
            <c:dLbl>
              <c:idx val="623"/>
              <c:layout>
                <c:manualLayout>
                  <c:x val="2.1914107521785294E-2"/>
                  <c:y val="-4.2873604786875547E-2"/>
                </c:manualLayout>
              </c:layout>
              <c:spPr>
                <a:noFill/>
                <a:ln>
                  <a:noFill/>
                </a:ln>
                <a:effectLst/>
              </c:spPr>
              <c:txPr>
                <a:bodyPr rot="0" spcFirstLastPara="1" vertOverflow="ellipsis" vert="horz" wrap="square" lIns="38100" tIns="19050" rIns="38100" bIns="19050" anchor="ctr" anchorCtr="1">
                  <a:noAutofit/>
                </a:bodyPr>
                <a:lstStyle/>
                <a:p>
                  <a:pPr>
                    <a:defRPr sz="1050" b="1" i="0" u="none" strike="noStrike" kern="1200" baseline="0">
                      <a:solidFill>
                        <a:srgbClr val="000099"/>
                      </a:solidFill>
                      <a:latin typeface="Times New Roman" panose="02020603050405020304" pitchFamily="18" charset="0"/>
                      <a:ea typeface="+mn-ea"/>
                      <a:cs typeface="Times New Roman" panose="02020603050405020304" pitchFamily="18" charset="0"/>
                    </a:defRPr>
                  </a:pPr>
                  <a:endParaRPr lang="lv-LV"/>
                </a:p>
              </c:txPr>
              <c:dLblPos val="ctr"/>
              <c:showLegendKey val="0"/>
              <c:showVal val="1"/>
              <c:showCatName val="0"/>
              <c:showSerName val="0"/>
              <c:showPercent val="0"/>
              <c:showBubbleSize val="0"/>
              <c:extLst>
                <c:ext xmlns:c15="http://schemas.microsoft.com/office/drawing/2012/chart" uri="{CE6537A1-D6FC-4f65-9D91-7224C49458BB}">
                  <c15:layout>
                    <c:manualLayout>
                      <c:w val="4.1039671682626538E-2"/>
                      <c:h val="3.7160751565762005E-2"/>
                    </c:manualLayout>
                  </c15:layout>
                </c:ext>
                <c:ext xmlns:c16="http://schemas.microsoft.com/office/drawing/2014/chart" uri="{C3380CC4-5D6E-409C-BE32-E72D297353CC}">
                  <c16:uniqueId val="{00000037-DD9C-4DAB-B592-189BCC533B20}"/>
                </c:ext>
              </c:extLst>
            </c:dLbl>
            <c:dLbl>
              <c:idx val="624"/>
              <c:layout>
                <c:manualLayout>
                  <c:x val="1.3665887523292512E-3"/>
                  <c:y val="-0.18565663373497945"/>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38-DD9C-4DAB-B592-189BCC533B20}"/>
                </c:ext>
              </c:extLst>
            </c:dLbl>
            <c:dLbl>
              <c:idx val="625"/>
              <c:layout>
                <c:manualLayout>
                  <c:x val="4.1025668645044543E-3"/>
                  <c:y val="-0.14096690940772277"/>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39-DD9C-4DAB-B592-189BCC533B20}"/>
                </c:ext>
              </c:extLst>
            </c:dLbl>
            <c:dLbl>
              <c:idx val="626"/>
              <c:layout>
                <c:manualLayout>
                  <c:x val="4.1039671682626538E-3"/>
                  <c:y val="-0.14117074614107475"/>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3A-DD9C-4DAB-B592-189BCC533B20}"/>
                </c:ext>
              </c:extLst>
            </c:dLbl>
            <c:spPr>
              <a:noFill/>
              <a:ln>
                <a:noFill/>
              </a:ln>
              <a:effectLst/>
            </c:spPr>
            <c:txPr>
              <a:bodyPr rot="0" spcFirstLastPara="1" vertOverflow="ellipsis" vert="horz" wrap="square" lIns="38100" tIns="19050" rIns="38100" bIns="19050" anchor="ctr" anchorCtr="1">
                <a:spAutoFit/>
              </a:bodyPr>
              <a:lstStyle/>
              <a:p>
                <a:pPr>
                  <a:defRPr sz="1050" b="1" i="0" u="none" strike="noStrike" kern="1200" baseline="0">
                    <a:solidFill>
                      <a:srgbClr val="000099"/>
                    </a:solidFill>
                    <a:latin typeface="Times New Roman" panose="02020603050405020304" pitchFamily="18" charset="0"/>
                    <a:ea typeface="+mn-ea"/>
                    <a:cs typeface="Times New Roman" panose="02020603050405020304" pitchFamily="18" charset="0"/>
                  </a:defRPr>
                </a:pPr>
                <a:endParaRPr lang="lv-LV"/>
              </a:p>
            </c:txPr>
            <c:dLblPos val="in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'cet.'!$F$10:$F$38</c:f>
              <c:strCache>
                <c:ptCount val="29"/>
                <c:pt idx="0">
                  <c:v>2016. I.</c:v>
                </c:pt>
                <c:pt idx="1">
                  <c:v>2016. II.</c:v>
                </c:pt>
                <c:pt idx="2">
                  <c:v>2016. III.</c:v>
                </c:pt>
                <c:pt idx="3">
                  <c:v>2016. IV.</c:v>
                </c:pt>
                <c:pt idx="4">
                  <c:v>2017. I.</c:v>
                </c:pt>
                <c:pt idx="5">
                  <c:v>2017. II.</c:v>
                </c:pt>
                <c:pt idx="6">
                  <c:v>2017. III.</c:v>
                </c:pt>
                <c:pt idx="7">
                  <c:v>2017. IV.</c:v>
                </c:pt>
                <c:pt idx="8">
                  <c:v>2018. I</c:v>
                </c:pt>
                <c:pt idx="9">
                  <c:v>2018. II</c:v>
                </c:pt>
                <c:pt idx="10">
                  <c:v>2018. III</c:v>
                </c:pt>
                <c:pt idx="11">
                  <c:v>2018. IV</c:v>
                </c:pt>
                <c:pt idx="12">
                  <c:v>2019. I</c:v>
                </c:pt>
                <c:pt idx="13">
                  <c:v>2019. II</c:v>
                </c:pt>
                <c:pt idx="14">
                  <c:v>2019. III</c:v>
                </c:pt>
                <c:pt idx="15">
                  <c:v>2019. IV</c:v>
                </c:pt>
                <c:pt idx="16">
                  <c:v>2020. I</c:v>
                </c:pt>
                <c:pt idx="17">
                  <c:v>2020. II</c:v>
                </c:pt>
                <c:pt idx="18">
                  <c:v>2020. III</c:v>
                </c:pt>
                <c:pt idx="19">
                  <c:v>2020. IV</c:v>
                </c:pt>
                <c:pt idx="20">
                  <c:v>2021. I</c:v>
                </c:pt>
                <c:pt idx="21">
                  <c:v>2021. II</c:v>
                </c:pt>
                <c:pt idx="22">
                  <c:v>2021. III</c:v>
                </c:pt>
                <c:pt idx="23">
                  <c:v>2021. IV</c:v>
                </c:pt>
                <c:pt idx="24">
                  <c:v>2022. I</c:v>
                </c:pt>
                <c:pt idx="25">
                  <c:v>2022. II</c:v>
                </c:pt>
                <c:pt idx="26">
                  <c:v>2022. III</c:v>
                </c:pt>
                <c:pt idx="27">
                  <c:v>2022. IV</c:v>
                </c:pt>
                <c:pt idx="28">
                  <c:v>2023. I*</c:v>
                </c:pt>
              </c:strCache>
              <c:extLst/>
            </c:strRef>
          </c:cat>
          <c:val>
            <c:numRef>
              <c:f>'cet.'!$I$10:$I$38</c:f>
              <c:numCache>
                <c:formatCode>0</c:formatCode>
                <c:ptCount val="29"/>
                <c:pt idx="0">
                  <c:v>500.08251999999999</c:v>
                </c:pt>
                <c:pt idx="1">
                  <c:v>533.1404</c:v>
                </c:pt>
                <c:pt idx="2">
                  <c:v>976.66382999999996</c:v>
                </c:pt>
                <c:pt idx="3">
                  <c:v>678.9325</c:v>
                </c:pt>
                <c:pt idx="4">
                  <c:v>541.52499999999998</c:v>
                </c:pt>
                <c:pt idx="5">
                  <c:v>551.00805000000003</c:v>
                </c:pt>
                <c:pt idx="6">
                  <c:v>377.32049999999998</c:v>
                </c:pt>
                <c:pt idx="7">
                  <c:v>580.68815999999993</c:v>
                </c:pt>
                <c:pt idx="8">
                  <c:v>580.94547999999998</c:v>
                </c:pt>
                <c:pt idx="9">
                  <c:v>610.72932000000003</c:v>
                </c:pt>
                <c:pt idx="10">
                  <c:v>600.89212999999995</c:v>
                </c:pt>
                <c:pt idx="11">
                  <c:v>568.27031000000011</c:v>
                </c:pt>
                <c:pt idx="12">
                  <c:v>621.33850000000007</c:v>
                </c:pt>
                <c:pt idx="13">
                  <c:v>620.41890000000001</c:v>
                </c:pt>
                <c:pt idx="14">
                  <c:v>382.38</c:v>
                </c:pt>
                <c:pt idx="15">
                  <c:v>611.97045000000003</c:v>
                </c:pt>
                <c:pt idx="16">
                  <c:v>483.8442</c:v>
                </c:pt>
                <c:pt idx="17">
                  <c:v>86.830000000000041</c:v>
                </c:pt>
                <c:pt idx="18">
                  <c:v>336.09500000000003</c:v>
                </c:pt>
                <c:pt idx="19">
                  <c:v>457.23494999999997</c:v>
                </c:pt>
                <c:pt idx="20">
                  <c:v>361.33299999999997</c:v>
                </c:pt>
                <c:pt idx="21">
                  <c:v>335.12148999999999</c:v>
                </c:pt>
                <c:pt idx="22">
                  <c:v>1144.3451700000001</c:v>
                </c:pt>
                <c:pt idx="23">
                  <c:v>737.02550000000008</c:v>
                </c:pt>
                <c:pt idx="24">
                  <c:v>1118.7837100000002</c:v>
                </c:pt>
                <c:pt idx="25">
                  <c:v>220.12285999999995</c:v>
                </c:pt>
                <c:pt idx="26">
                  <c:v>96.625</c:v>
                </c:pt>
                <c:pt idx="27">
                  <c:v>81.649999999999977</c:v>
                </c:pt>
                <c:pt idx="28">
                  <c:v>53.25</c:v>
                </c:pt>
              </c:numCache>
            </c:numRef>
          </c:val>
          <c:extLst>
            <c:ext xmlns:c16="http://schemas.microsoft.com/office/drawing/2014/chart" uri="{C3380CC4-5D6E-409C-BE32-E72D297353CC}">
              <c16:uniqueId val="{0000003B-DD9C-4DAB-B592-189BCC533B20}"/>
            </c:ext>
          </c:extLst>
        </c:ser>
        <c:ser>
          <c:idx val="3"/>
          <c:order val="3"/>
          <c:tx>
            <c:strRef>
              <c:f>'cet.'!$J$4</c:f>
              <c:strCache>
                <c:ptCount val="1"/>
                <c:pt idx="0">
                  <c:v>Iemaksātā summa atkārtoto TUA saņemšanai un reģistrēšanai (tūkst.euro) </c:v>
                </c:pt>
              </c:strCache>
            </c:strRef>
          </c:tx>
          <c:spPr>
            <a:solidFill>
              <a:srgbClr val="FFC000"/>
            </a:solidFill>
            <a:ln>
              <a:noFill/>
            </a:ln>
            <a:effectLst/>
          </c:spPr>
          <c:invertIfNegative val="0"/>
          <c:dLbls>
            <c:dLbl>
              <c:idx val="8"/>
              <c:layout>
                <c:manualLayout>
                  <c:x val="-1.4566642388929886E-3"/>
                  <c:y val="-3.55414371486827E-2"/>
                </c:manualLayout>
              </c:layout>
              <c:dLblPos val="ct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3C-DD9C-4DAB-B592-189BCC533B20}"/>
                </c:ext>
              </c:extLst>
            </c:dLbl>
            <c:dLbl>
              <c:idx val="9"/>
              <c:layout>
                <c:manualLayout>
                  <c:x val="-1.4566642388929353E-3"/>
                  <c:y val="-5.4408885584580895E-2"/>
                </c:manualLayout>
              </c:layout>
              <c:dLblPos val="ct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3D-DD9C-4DAB-B592-189BCC533B20}"/>
                </c:ext>
              </c:extLst>
            </c:dLbl>
            <c:dLbl>
              <c:idx val="10"/>
              <c:layout>
                <c:manualLayout>
                  <c:x val="-1.4566642388929353E-3"/>
                  <c:y val="-6.7507688148423506E-2"/>
                </c:manualLayout>
              </c:layout>
              <c:dLblPos val="ct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3E-DD9C-4DAB-B592-189BCC533B20}"/>
                </c:ext>
              </c:extLst>
            </c:dLbl>
            <c:dLbl>
              <c:idx val="11"/>
              <c:layout>
                <c:manualLayout>
                  <c:x val="2.9133284777858167E-3"/>
                  <c:y val="-9.1009428542462231E-2"/>
                </c:manualLayout>
              </c:layout>
              <c:dLblPos val="ct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3F-DD9C-4DAB-B592-189BCC533B20}"/>
                </c:ext>
              </c:extLst>
            </c:dLbl>
            <c:dLbl>
              <c:idx val="12"/>
              <c:layout>
                <c:manualLayout>
                  <c:x val="-4.3699927166788053E-3"/>
                  <c:y val="-9.5262974102486117E-2"/>
                </c:manualLayout>
              </c:layout>
              <c:dLblPos val="ct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40-DD9C-4DAB-B592-189BCC533B20}"/>
                </c:ext>
              </c:extLst>
            </c:dLbl>
            <c:dLbl>
              <c:idx val="13"/>
              <c:layout>
                <c:manualLayout>
                  <c:x val="1.544752281055856E-3"/>
                  <c:y val="-0.10746871233370507"/>
                </c:manualLayout>
              </c:layout>
              <c:dLblPos val="ct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41-DD9C-4DAB-B592-189BCC533B20}"/>
                </c:ext>
              </c:extLst>
            </c:dLbl>
            <c:dLbl>
              <c:idx val="14"/>
              <c:layout>
                <c:manualLayout>
                  <c:x val="1.4566642388929353E-3"/>
                  <c:y val="-0.13823549953251563"/>
                </c:manualLayout>
              </c:layout>
              <c:dLblPos val="ct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42-DD9C-4DAB-B592-189BCC533B20}"/>
                </c:ext>
              </c:extLst>
            </c:dLbl>
            <c:dLbl>
              <c:idx val="15"/>
              <c:layout>
                <c:manualLayout>
                  <c:x val="-1.2803734565954201E-3"/>
                  <c:y val="-0.13905984927849685"/>
                </c:manualLayout>
              </c:layout>
              <c:dLblPos val="ct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43-DD9C-4DAB-B592-189BCC533B20}"/>
                </c:ext>
              </c:extLst>
            </c:dLbl>
            <c:dLbl>
              <c:idx val="16"/>
              <c:layout>
                <c:manualLayout>
                  <c:x val="-1.368524012370164E-3"/>
                  <c:y val="-8.7689993066873598E-2"/>
                </c:manualLayout>
              </c:layout>
              <c:dLblPos val="ct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44-DD9C-4DAB-B592-189BCC533B20}"/>
                </c:ext>
              </c:extLst>
            </c:dLbl>
            <c:dLbl>
              <c:idx val="17"/>
              <c:layout>
                <c:manualLayout>
                  <c:x val="-2.5605175172477073E-3"/>
                  <c:y val="-8.194203192412107E-2"/>
                </c:manualLayout>
              </c:layout>
              <c:dLblPos val="ct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45-DD9C-4DAB-B592-189BCC533B20}"/>
                </c:ext>
              </c:extLst>
            </c:dLbl>
            <c:dLbl>
              <c:idx val="18"/>
              <c:layout>
                <c:manualLayout>
                  <c:x val="6.8818782939823713E-7"/>
                  <c:y val="-0.13483739425275704"/>
                </c:manualLayout>
              </c:layout>
              <c:dLblPos val="ct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46-DD9C-4DAB-B592-189BCC533B20}"/>
                </c:ext>
              </c:extLst>
            </c:dLbl>
            <c:dLbl>
              <c:idx val="19"/>
              <c:layout>
                <c:manualLayout>
                  <c:x val="-8.8088042163081174E-5"/>
                  <c:y val="-6.3412974665720531E-2"/>
                </c:manualLayout>
              </c:layout>
              <c:dLblPos val="ct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47-DD9C-4DAB-B592-189BCC533B20}"/>
                </c:ext>
              </c:extLst>
            </c:dLbl>
            <c:dLbl>
              <c:idx val="20"/>
              <c:layout>
                <c:manualLayout>
                  <c:x val="-1.4566642388929353E-3"/>
                  <c:y val="-3.450598718078695E-2"/>
                </c:manualLayout>
              </c:layout>
              <c:dLblPos val="ct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48-DD9C-4DAB-B592-189BCC533B20}"/>
                </c:ext>
              </c:extLst>
            </c:dLbl>
            <c:dLbl>
              <c:idx val="21"/>
              <c:layout>
                <c:manualLayout>
                  <c:x val="1.3652912784826753E-3"/>
                  <c:y val="-9.1917769864591048E-2"/>
                </c:manualLayout>
              </c:layout>
              <c:dLblPos val="ct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49-DD9C-4DAB-B592-189BCC533B20}"/>
                </c:ext>
              </c:extLst>
            </c:dLbl>
            <c:dLbl>
              <c:idx val="22"/>
              <c:layout>
                <c:manualLayout>
                  <c:x val="1.1565225868980508E-2"/>
                  <c:y val="-0.1610498687664042"/>
                </c:manualLayout>
              </c:layout>
              <c:dLblPos val="ct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4A-DD9C-4DAB-B592-189BCC533B20}"/>
                </c:ext>
              </c:extLst>
            </c:dLbl>
            <c:dLbl>
              <c:idx val="23"/>
              <c:layout>
                <c:manualLayout>
                  <c:x val="4.1027464429291569E-3"/>
                  <c:y val="-0.14958399513365556"/>
                </c:manualLayout>
              </c:layout>
              <c:dLblPos val="ct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4B-DD9C-4DAB-B592-189BCC533B20}"/>
                </c:ext>
              </c:extLst>
            </c:dLbl>
            <c:dLbl>
              <c:idx val="24"/>
              <c:layout>
                <c:manualLayout>
                  <c:x val="1.4566642388929353E-3"/>
                  <c:y val="-0.13826861771033985"/>
                </c:manualLayout>
              </c:layout>
              <c:dLblPos val="ct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4C-DD9C-4DAB-B592-189BCC533B20}"/>
                </c:ext>
              </c:extLst>
            </c:dLbl>
            <c:dLbl>
              <c:idx val="25"/>
              <c:layout>
                <c:manualLayout>
                  <c:x val="-2.6369063663119803E-4"/>
                  <c:y val="-0.11730345938517342"/>
                </c:manualLayout>
              </c:layout>
              <c:dLblPos val="ct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4D-DD9C-4DAB-B592-189BCC533B20}"/>
                </c:ext>
              </c:extLst>
            </c:dLbl>
            <c:dLbl>
              <c:idx val="26"/>
              <c:layout>
                <c:manualLayout>
                  <c:x val="1.2793411748513227E-3"/>
                  <c:y val="-0.19482072251698157"/>
                </c:manualLayout>
              </c:layout>
              <c:dLblPos val="ct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4E-DD9C-4DAB-B592-189BCC533B20}"/>
                </c:ext>
              </c:extLst>
            </c:dLbl>
            <c:dLbl>
              <c:idx val="27"/>
              <c:layout>
                <c:manualLayout>
                  <c:x val="9.2779189200028317E-4"/>
                  <c:y val="-7.0834375316819409E-2"/>
                </c:manualLayout>
              </c:layout>
              <c:dLblPos val="ct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4F-DD9C-4DAB-B592-189BCC533B20}"/>
                </c:ext>
              </c:extLst>
            </c:dLbl>
            <c:dLbl>
              <c:idx val="28"/>
              <c:layout>
                <c:manualLayout>
                  <c:x val="4.1050404023604842E-3"/>
                  <c:y val="-3.5233235330562114E-2"/>
                </c:manualLayout>
              </c:layout>
              <c:dLblPos val="ct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50-DD9C-4DAB-B592-189BCC533B20}"/>
                </c:ext>
              </c:extLst>
            </c:dLbl>
            <c:dLbl>
              <c:idx val="29"/>
              <c:layout>
                <c:manualLayout>
                  <c:x val="3.2327338875889337E-6"/>
                  <c:y val="-0.11713037944111807"/>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51-DD9C-4DAB-B592-189BCC533B20}"/>
                </c:ext>
              </c:extLst>
            </c:dLbl>
            <c:dLbl>
              <c:idx val="30"/>
              <c:layout>
                <c:manualLayout>
                  <c:x val="2.7374790559253266E-3"/>
                  <c:y val="-0.18835284073225786"/>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52-DD9C-4DAB-B592-189BCC533B20}"/>
                </c:ext>
              </c:extLst>
            </c:dLbl>
            <c:dLbl>
              <c:idx val="31"/>
              <c:layout>
                <c:manualLayout>
                  <c:x val="-1.0775779624961921E-7"/>
                  <c:y val="-7.412214238705063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53-DD9C-4DAB-B592-189BCC533B20}"/>
                </c:ext>
              </c:extLst>
            </c:dLbl>
            <c:dLbl>
              <c:idx val="32"/>
              <c:layout>
                <c:manualLayout>
                  <c:x val="4.1029858500005014E-3"/>
                  <c:y val="-4.1201711234377651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54-DD9C-4DAB-B592-189BCC533B20}"/>
                </c:ext>
              </c:extLst>
            </c:dLbl>
            <c:dLbl>
              <c:idx val="33"/>
              <c:layout>
                <c:manualLayout>
                  <c:x val="9.6982016624657288E-7"/>
                  <c:y val="-3.359697408569292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55-DD9C-4DAB-B592-189BCC533B20}"/>
                </c:ext>
              </c:extLst>
            </c:dLbl>
            <c:dLbl>
              <c:idx val="34"/>
              <c:layout>
                <c:manualLayout>
                  <c:x val="4.1054975002452849E-3"/>
                  <c:y val="-3.5462635228703042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56-DD9C-4DAB-B592-189BCC533B20}"/>
                </c:ext>
              </c:extLst>
            </c:dLbl>
            <c:dLbl>
              <c:idx val="35"/>
              <c:layout>
                <c:manualLayout>
                  <c:x val="8.2108838546181336E-3"/>
                  <c:y val="-2.2650993039644053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57-DD9C-4DAB-B592-189BCC533B20}"/>
                </c:ext>
              </c:extLst>
            </c:dLbl>
            <c:dLbl>
              <c:idx val="36"/>
              <c:layout>
                <c:manualLayout>
                  <c:x val="2.7370480247401272E-3"/>
                  <c:y val="-7.0959406930791877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58-DD9C-4DAB-B592-189BCC533B20}"/>
                </c:ext>
              </c:extLst>
            </c:dLbl>
            <c:dLbl>
              <c:idx val="37"/>
              <c:layout>
                <c:manualLayout>
                  <c:x val="6.8426200618508203E-3"/>
                  <c:y val="-2.6108638491462159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59-DD9C-4DAB-B592-189BCC533B20}"/>
                </c:ext>
              </c:extLst>
            </c:dLbl>
            <c:dLbl>
              <c:idx val="38"/>
              <c:layout>
                <c:manualLayout>
                  <c:x val="1.3634593959464319E-3"/>
                  <c:y val="-0.11908029425503108"/>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5A-DD9C-4DAB-B592-189BCC533B20}"/>
                </c:ext>
              </c:extLst>
            </c:dLbl>
            <c:dLbl>
              <c:idx val="39"/>
              <c:layout>
                <c:manualLayout>
                  <c:x val="9.5777284462586539E-3"/>
                  <c:y val="-0.20481116946318415"/>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5B-DD9C-4DAB-B592-189BCC533B20}"/>
                </c:ext>
              </c:extLst>
            </c:dLbl>
            <c:dLbl>
              <c:idx val="40"/>
              <c:layout>
                <c:manualLayout>
                  <c:x val="1.3685240123699632E-3"/>
                  <c:y val="-6.9010672676240989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5C-DD9C-4DAB-B592-189BCC533B20}"/>
                </c:ext>
              </c:extLst>
            </c:dLbl>
            <c:dLbl>
              <c:idx val="41"/>
              <c:layout>
                <c:manualLayout>
                  <c:x val="1.0946252458628819E-2"/>
                  <c:y val="-5.7684970212362831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5D-DD9C-4DAB-B592-189BCC533B20}"/>
                </c:ext>
              </c:extLst>
            </c:dLbl>
            <c:dLbl>
              <c:idx val="42"/>
              <c:layout>
                <c:manualLayout>
                  <c:x val="4.1055720371104918E-3"/>
                  <c:y val="-6.7006676859952444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5E-DD9C-4DAB-B592-189BCC533B20}"/>
                </c:ext>
              </c:extLst>
            </c:dLbl>
            <c:dLbl>
              <c:idx val="43"/>
              <c:layout>
                <c:manualLayout>
                  <c:x val="2.7370480247401272E-3"/>
                  <c:y val="-6.5997110494702332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5F-DD9C-4DAB-B592-189BCC533B20}"/>
                </c:ext>
              </c:extLst>
            </c:dLbl>
            <c:dLbl>
              <c:idx val="44"/>
              <c:layout>
                <c:manualLayout>
                  <c:x val="8.2111440742209836E-3"/>
                  <c:y val="-5.3491715912368606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60-DD9C-4DAB-B592-189BCC533B20}"/>
                </c:ext>
              </c:extLst>
            </c:dLbl>
            <c:dLbl>
              <c:idx val="45"/>
              <c:layout>
                <c:manualLayout>
                  <c:x val="2.7350006266115851E-3"/>
                  <c:y val="-7.6292680133803734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61-DD9C-4DAB-B592-189BCC533B20}"/>
                </c:ext>
              </c:extLst>
            </c:dLbl>
            <c:dLbl>
              <c:idx val="46"/>
              <c:layout>
                <c:manualLayout>
                  <c:x val="1.3685240123699632E-3"/>
                  <c:y val="-6.9010014549536133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62-DD9C-4DAB-B592-189BCC533B20}"/>
                </c:ext>
              </c:extLst>
            </c:dLbl>
            <c:dLbl>
              <c:idx val="47"/>
              <c:layout>
                <c:manualLayout>
                  <c:x val="6.8426200618508203E-3"/>
                  <c:y val="-5.3491715912368454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63-DD9C-4DAB-B592-189BCC533B20}"/>
                </c:ext>
              </c:extLst>
            </c:dLbl>
            <c:dLbl>
              <c:idx val="48"/>
              <c:layout>
                <c:manualLayout>
                  <c:x val="1.3685240123699632E-3"/>
                  <c:y val="-8.2582726115471294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64-DD9C-4DAB-B592-189BCC533B20}"/>
                </c:ext>
              </c:extLst>
            </c:dLbl>
            <c:dLbl>
              <c:idx val="49"/>
              <c:layout>
                <c:manualLayout>
                  <c:x val="8.210174254054738E-3"/>
                  <c:y val="-6.0558022342414593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65-DD9C-4DAB-B592-189BCC533B20}"/>
                </c:ext>
              </c:extLst>
            </c:dLbl>
            <c:dLbl>
              <c:idx val="50"/>
              <c:layout>
                <c:manualLayout>
                  <c:x val="-2.0071453647617104E-16"/>
                  <c:y val="-7.9463534597803143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66-DD9C-4DAB-B592-189BCC533B20}"/>
                </c:ext>
              </c:extLst>
            </c:dLbl>
            <c:dLbl>
              <c:idx val="51"/>
              <c:layout>
                <c:manualLayout>
                  <c:x val="4.1046022169442453E-3"/>
                  <c:y val="-8.0460761087337351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67-DD9C-4DAB-B592-189BCC533B20}"/>
                </c:ext>
              </c:extLst>
            </c:dLbl>
            <c:dLbl>
              <c:idx val="52"/>
              <c:layout>
                <c:manualLayout>
                  <c:x val="-2.0056748359711497E-16"/>
                  <c:y val="-7.9506661139686532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68-DD9C-4DAB-B592-189BCC533B20}"/>
                </c:ext>
              </c:extLst>
            </c:dLbl>
            <c:dLbl>
              <c:idx val="53"/>
              <c:layout>
                <c:manualLayout>
                  <c:x val="-2.0458981088902347E-6"/>
                  <c:y val="-5.2445277801427791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69-DD9C-4DAB-B592-189BCC533B20}"/>
                </c:ext>
              </c:extLst>
            </c:dLbl>
            <c:dLbl>
              <c:idx val="54"/>
              <c:layout>
                <c:manualLayout>
                  <c:x val="4.1055720371104918E-3"/>
                  <c:y val="-3.4742740233983563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6A-DD9C-4DAB-B592-189BCC533B20}"/>
                </c:ext>
              </c:extLst>
            </c:dLbl>
            <c:dLbl>
              <c:idx val="55"/>
              <c:layout>
                <c:manualLayout>
                  <c:x val="8.2111440742209836E-3"/>
                  <c:y val="-6.080485098545918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6B-DD9C-4DAB-B592-189BCC533B20}"/>
                </c:ext>
              </c:extLst>
            </c:dLbl>
            <c:dLbl>
              <c:idx val="56"/>
              <c:layout>
                <c:manualLayout>
                  <c:x val="4.1055720371104918E-3"/>
                  <c:y val="-7.4301024193231424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6C-DD9C-4DAB-B592-189BCC533B20}"/>
                </c:ext>
              </c:extLst>
            </c:dLbl>
            <c:dLbl>
              <c:idx val="57"/>
              <c:layout>
                <c:manualLayout>
                  <c:x val="4.1055720371104918E-3"/>
                  <c:y val="-7.6425292664832362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6D-DD9C-4DAB-B592-189BCC533B20}"/>
                </c:ext>
              </c:extLst>
            </c:dLbl>
            <c:dLbl>
              <c:idx val="58"/>
              <c:layout>
                <c:manualLayout>
                  <c:x val="1.3685240123699632E-3"/>
                  <c:y val="-6.4948879185541875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6E-DD9C-4DAB-B592-189BCC533B20}"/>
                </c:ext>
              </c:extLst>
            </c:dLbl>
            <c:dLbl>
              <c:idx val="59"/>
              <c:layout>
                <c:manualLayout>
                  <c:x val="4.1055720371104918E-3"/>
                  <c:y val="-7.6475145762725252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6F-DD9C-4DAB-B592-189BCC533B20}"/>
                </c:ext>
              </c:extLst>
            </c:dLbl>
            <c:dLbl>
              <c:idx val="60"/>
              <c:layout>
                <c:manualLayout>
                  <c:x val="6.842620061850619E-3"/>
                  <c:y val="-0.21211127540513047"/>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70-DD9C-4DAB-B592-189BCC533B20}"/>
                </c:ext>
              </c:extLst>
            </c:dLbl>
            <c:dLbl>
              <c:idx val="61"/>
              <c:layout>
                <c:manualLayout>
                  <c:x val="5.474096049480656E-3"/>
                  <c:y val="-7.3176943781336087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71-DD9C-4DAB-B592-189BCC533B20}"/>
                </c:ext>
              </c:extLst>
            </c:dLbl>
            <c:dLbl>
              <c:idx val="62"/>
              <c:layout>
                <c:manualLayout>
                  <c:x val="5.4731262293142083E-3"/>
                  <c:y val="-6.3926150286194625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72-DD9C-4DAB-B592-189BCC533B20}"/>
                </c:ext>
              </c:extLst>
            </c:dLbl>
            <c:dLbl>
              <c:idx val="63"/>
              <c:layout>
                <c:manualLayout>
                  <c:x val="4.1055720371104918E-3"/>
                  <c:y val="-0.2121155275563417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73-DD9C-4DAB-B592-189BCC533B20}"/>
                </c:ext>
              </c:extLst>
            </c:dLbl>
            <c:dLbl>
              <c:idx val="64"/>
              <c:layout>
                <c:manualLayout>
                  <c:x val="2.7370480247401272E-3"/>
                  <c:y val="-7.2076565917394683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74-DD9C-4DAB-B592-189BCC533B20}"/>
                </c:ext>
              </c:extLst>
            </c:dLbl>
            <c:dLbl>
              <c:idx val="65"/>
              <c:layout>
                <c:manualLayout>
                  <c:x val="4.1076194352392351E-3"/>
                  <c:y val="-7.4759391574993589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75-DD9C-4DAB-B592-189BCC533B20}"/>
                </c:ext>
              </c:extLst>
            </c:dLbl>
            <c:dLbl>
              <c:idx val="66"/>
              <c:layout>
                <c:manualLayout>
                  <c:x val="1.3694938325362097E-3"/>
                  <c:y val="-0.20698331665256348"/>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76-DD9C-4DAB-B592-189BCC533B20}"/>
                </c:ext>
              </c:extLst>
            </c:dLbl>
            <c:dLbl>
              <c:idx val="67"/>
              <c:layout>
                <c:manualLayout>
                  <c:x val="6.8445597021833133E-3"/>
                  <c:y val="-7.0086709838681621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77-DD9C-4DAB-B592-189BCC533B20}"/>
                </c:ext>
              </c:extLst>
            </c:dLbl>
            <c:dLbl>
              <c:idx val="68"/>
              <c:layout>
                <c:manualLayout>
                  <c:x val="6.842620061850619E-3"/>
                  <c:y val="-7.4208063796170259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78-DD9C-4DAB-B592-189BCC533B20}"/>
                </c:ext>
              </c:extLst>
            </c:dLbl>
            <c:dLbl>
              <c:idx val="69"/>
              <c:layout>
                <c:manualLayout>
                  <c:x val="2.7380178449063737E-3"/>
                  <c:y val="-7.2101062854702094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79-DD9C-4DAB-B592-189BCC533B20}"/>
                </c:ext>
              </c:extLst>
            </c:dLbl>
            <c:dLbl>
              <c:idx val="70"/>
              <c:layout>
                <c:manualLayout>
                  <c:x val="4.1006151784829092E-3"/>
                  <c:y val="-0.20412589503175216"/>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7A-DD9C-4DAB-B592-189BCC533B20}"/>
                </c:ext>
              </c:extLst>
            </c:dLbl>
            <c:dLbl>
              <c:idx val="71"/>
              <c:layout>
                <c:manualLayout>
                  <c:x val="6.8405726637220769E-3"/>
                  <c:y val="-6.1696581541816467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7B-DD9C-4DAB-B592-189BCC533B20}"/>
                </c:ext>
              </c:extLst>
            </c:dLbl>
            <c:dLbl>
              <c:idx val="72"/>
              <c:layout>
                <c:manualLayout>
                  <c:x val="2.7389876650726203E-3"/>
                  <c:y val="-5.7513692737423731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7C-DD9C-4DAB-B592-189BCC533B20}"/>
                </c:ext>
              </c:extLst>
            </c:dLbl>
            <c:dLbl>
              <c:idx val="73"/>
              <c:layout>
                <c:manualLayout>
                  <c:x val="4.1035246389817493E-3"/>
                  <c:y val="-5.6840922713384014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7D-DD9C-4DAB-B592-189BCC533B20}"/>
                </c:ext>
              </c:extLst>
            </c:dLbl>
            <c:dLbl>
              <c:idx val="74"/>
              <c:layout>
                <c:manualLayout>
                  <c:x val="2.7390954228690709E-3"/>
                  <c:y val="-6.2958704030055324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7E-DD9C-4DAB-B592-189BCC533B20}"/>
                </c:ext>
              </c:extLst>
            </c:dLbl>
            <c:dLbl>
              <c:idx val="75"/>
              <c:layout>
                <c:manualLayout>
                  <c:x val="1.3664766142414211E-3"/>
                  <c:y val="-5.9511271818339921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7F-DD9C-4DAB-B592-189BCC533B20}"/>
                </c:ext>
              </c:extLst>
            </c:dLbl>
            <c:dLbl>
              <c:idx val="76"/>
              <c:layout>
                <c:manualLayout>
                  <c:x val="5.4700854700852697E-3"/>
                  <c:y val="-5.5642985297622578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80-DD9C-4DAB-B592-189BCC533B20}"/>
                </c:ext>
              </c:extLst>
            </c:dLbl>
            <c:dLbl>
              <c:idx val="77"/>
              <c:layout>
                <c:manualLayout>
                  <c:x val="0"/>
                  <c:y val="-0.13062498837995046"/>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81-DD9C-4DAB-B592-189BCC533B20}"/>
                </c:ext>
              </c:extLst>
            </c:dLbl>
            <c:dLbl>
              <c:idx val="78"/>
              <c:layout>
                <c:manualLayout>
                  <c:x val="2.7389876650726203E-3"/>
                  <c:y val="-0.20910083932543994"/>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82-DD9C-4DAB-B592-189BCC533B20}"/>
                </c:ext>
              </c:extLst>
            </c:dLbl>
            <c:dLbl>
              <c:idx val="79"/>
              <c:layout>
                <c:manualLayout>
                  <c:x val="6.8457450379420587E-3"/>
                  <c:y val="-5.7549725174514635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83-DD9C-4DAB-B592-189BCC533B20}"/>
                </c:ext>
              </c:extLst>
            </c:dLbl>
            <c:dLbl>
              <c:idx val="80"/>
              <c:layout>
                <c:manualLayout>
                  <c:x val="2.7340308064453386E-3"/>
                  <c:y val="-5.2252463327123515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84-DD9C-4DAB-B592-189BCC533B20}"/>
                </c:ext>
              </c:extLst>
            </c:dLbl>
            <c:dLbl>
              <c:idx val="81"/>
              <c:layout>
                <c:manualLayout>
                  <c:x val="6.842620061850619E-3"/>
                  <c:y val="-2.2046750349738992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85-DD9C-4DAB-B592-189BCC533B20}"/>
                </c:ext>
              </c:extLst>
            </c:dLbl>
            <c:dLbl>
              <c:idx val="82"/>
              <c:layout>
                <c:manualLayout>
                  <c:x val="-1.3664766142415215E-3"/>
                  <c:y val="-0.13159968453205836"/>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86-DD9C-4DAB-B592-189BCC533B20}"/>
                </c:ext>
              </c:extLst>
            </c:dLbl>
            <c:dLbl>
              <c:idx val="83"/>
              <c:layout>
                <c:manualLayout>
                  <c:x val="8.2090966760920408E-3"/>
                  <c:y val="-0.21000385867864843"/>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87-DD9C-4DAB-B592-189BCC533B20}"/>
                </c:ext>
              </c:extLst>
            </c:dLbl>
            <c:dLbl>
              <c:idx val="84"/>
              <c:layout>
                <c:manualLayout>
                  <c:x val="5.4660142147619347E-3"/>
                  <c:y val="-0.10862451669926623"/>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88-DD9C-4DAB-B592-189BCC533B20}"/>
                </c:ext>
              </c:extLst>
            </c:dLbl>
            <c:dLbl>
              <c:idx val="85"/>
              <c:layout>
                <c:manualLayout>
                  <c:x val="4.1056867891512555E-3"/>
                  <c:y val="-0.12637049986407187"/>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89-DD9C-4DAB-B592-189BCC533B20}"/>
                </c:ext>
              </c:extLst>
            </c:dLbl>
            <c:dLbl>
              <c:idx val="86"/>
              <c:layout>
                <c:manualLayout>
                  <c:x val="2.7380577427820519E-3"/>
                  <c:y val="-0.19548613154234631"/>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8A-DD9C-4DAB-B592-189BCC533B20}"/>
                </c:ext>
              </c:extLst>
            </c:dLbl>
            <c:dLbl>
              <c:idx val="87"/>
              <c:layout>
                <c:manualLayout>
                  <c:x val="9.5797563766067701E-3"/>
                  <c:y val="-7.7524443244959731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8B-DD9C-4DAB-B592-189BCC533B20}"/>
                </c:ext>
              </c:extLst>
            </c:dLbl>
            <c:dLbl>
              <c:idx val="88"/>
              <c:layout>
                <c:manualLayout>
                  <c:x val="9.5746034701674164E-3"/>
                  <c:y val="-0.11285426640468645"/>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8C-DD9C-4DAB-B592-189BCC533B20}"/>
                </c:ext>
              </c:extLst>
            </c:dLbl>
            <c:dLbl>
              <c:idx val="89"/>
              <c:layout>
                <c:manualLayout>
                  <c:x val="1.3695672656302577E-3"/>
                  <c:y val="-8.1842779879248956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8D-DD9C-4DAB-B592-189BCC533B20}"/>
                </c:ext>
              </c:extLst>
            </c:dLbl>
            <c:dLbl>
              <c:idx val="90"/>
              <c:layout>
                <c:manualLayout>
                  <c:x val="5.4731004778248871E-3"/>
                  <c:y val="-0.10884858123493818"/>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8E-DD9C-4DAB-B592-189BCC533B20}"/>
                </c:ext>
              </c:extLst>
            </c:dLbl>
            <c:dLbl>
              <c:idx val="91"/>
              <c:layout>
                <c:manualLayout>
                  <c:x val="6.8436368530856717E-3"/>
                  <c:y val="-8.9953574024332961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8F-DD9C-4DAB-B592-189BCC533B20}"/>
                </c:ext>
              </c:extLst>
            </c:dLbl>
            <c:dLbl>
              <c:idx val="92"/>
              <c:layout>
                <c:manualLayout>
                  <c:x val="4.1055720371102914E-3"/>
                  <c:y val="-8.0717408427900011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90-DD9C-4DAB-B592-189BCC533B20}"/>
                </c:ext>
              </c:extLst>
            </c:dLbl>
            <c:dLbl>
              <c:idx val="93"/>
              <c:layout>
                <c:manualLayout>
                  <c:x val="5.4750658696467022E-3"/>
                  <c:y val="-8.8794784082613334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91-DD9C-4DAB-B592-189BCC533B20}"/>
                </c:ext>
              </c:extLst>
            </c:dLbl>
            <c:dLbl>
              <c:idx val="94"/>
              <c:layout>
                <c:manualLayout>
                  <c:x val="5.4731262293144095E-3"/>
                  <c:y val="-9.2883508185018629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92-DD9C-4DAB-B592-189BCC533B20}"/>
                </c:ext>
              </c:extLst>
            </c:dLbl>
            <c:dLbl>
              <c:idx val="95"/>
              <c:layout>
                <c:manualLayout>
                  <c:x val="8.2111440742207824E-3"/>
                  <c:y val="-7.6720462491960573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93-DD9C-4DAB-B592-189BCC533B20}"/>
                </c:ext>
              </c:extLst>
            </c:dLbl>
            <c:dLbl>
              <c:idx val="96"/>
              <c:layout>
                <c:manualLayout>
                  <c:x val="4.1055720371102914E-3"/>
                  <c:y val="-7.5345838389594508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94-DD9C-4DAB-B592-189BCC533B20}"/>
                </c:ext>
              </c:extLst>
            </c:dLbl>
            <c:dLbl>
              <c:idx val="97"/>
              <c:layout>
                <c:manualLayout>
                  <c:x val="2.7370886331516252E-3"/>
                  <c:y val="-6.7097531677973762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95-DD9C-4DAB-B592-189BCC533B20}"/>
                </c:ext>
              </c:extLst>
            </c:dLbl>
            <c:dLbl>
              <c:idx val="98"/>
              <c:layout>
                <c:manualLayout>
                  <c:x val="4.1055720371105924E-3"/>
                  <c:y val="-0.1484679550703480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96-DD9C-4DAB-B592-189BCC533B20}"/>
                </c:ext>
              </c:extLst>
            </c:dLbl>
            <c:dLbl>
              <c:idx val="99"/>
              <c:layout>
                <c:manualLayout>
                  <c:x val="2.7370480247401272E-3"/>
                  <c:y val="-8.1636619008341113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97-DD9C-4DAB-B592-189BCC533B20}"/>
                </c:ext>
              </c:extLst>
            </c:dLbl>
            <c:dLbl>
              <c:idx val="100"/>
              <c:layout>
                <c:manualLayout>
                  <c:x val="4.1055720371104918E-3"/>
                  <c:y val="-0.20906497142002525"/>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98-DD9C-4DAB-B592-189BCC533B20}"/>
                </c:ext>
              </c:extLst>
            </c:dLbl>
            <c:dLbl>
              <c:idx val="101"/>
              <c:layout>
                <c:manualLayout>
                  <c:x val="4.1055720371104918E-3"/>
                  <c:y val="-0.12867907224536534"/>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99-DD9C-4DAB-B592-189BCC533B20}"/>
                </c:ext>
              </c:extLst>
            </c:dLbl>
            <c:dLbl>
              <c:idx val="102"/>
              <c:layout>
                <c:manualLayout>
                  <c:x val="4.1055720371104918E-3"/>
                  <c:y val="-0.19969637324471445"/>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9A-DD9C-4DAB-B592-189BCC533B20}"/>
                </c:ext>
              </c:extLst>
            </c:dLbl>
            <c:dLbl>
              <c:idx val="103"/>
              <c:layout>
                <c:manualLayout>
                  <c:x val="-1.368524012370164E-3"/>
                  <c:y val="-0.13056526338148469"/>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9B-DD9C-4DAB-B592-189BCC533B20}"/>
                </c:ext>
              </c:extLst>
            </c:dLbl>
            <c:dLbl>
              <c:idx val="104"/>
              <c:layout>
                <c:manualLayout>
                  <c:x val="5.474096049480656E-3"/>
                  <c:y val="-0.20005752027400456"/>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9C-DD9C-4DAB-B592-189BCC533B20}"/>
                </c:ext>
              </c:extLst>
            </c:dLbl>
            <c:dLbl>
              <c:idx val="105"/>
              <c:layout>
                <c:manualLayout>
                  <c:x val="2.7370480247401272E-3"/>
                  <c:y val="-0.19754660236330016"/>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9D-DD9C-4DAB-B592-189BCC533B20}"/>
                </c:ext>
              </c:extLst>
            </c:dLbl>
            <c:dLbl>
              <c:idx val="106"/>
              <c:layout>
                <c:manualLayout>
                  <c:x val="0"/>
                  <c:y val="-0.19443810540458586"/>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9E-DD9C-4DAB-B592-189BCC533B20}"/>
                </c:ext>
              </c:extLst>
            </c:dLbl>
            <c:dLbl>
              <c:idx val="107"/>
              <c:layout>
                <c:manualLayout>
                  <c:x val="5.474096049480656E-3"/>
                  <c:y val="-0.19652765769250585"/>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9F-DD9C-4DAB-B592-189BCC533B20}"/>
                </c:ext>
              </c:extLst>
            </c:dLbl>
            <c:dLbl>
              <c:idx val="108"/>
              <c:layout>
                <c:manualLayout>
                  <c:x val="1.368524012370164E-3"/>
                  <c:y val="-0.18509698401920291"/>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A0-DD9C-4DAB-B592-189BCC533B20}"/>
                </c:ext>
              </c:extLst>
            </c:dLbl>
            <c:dLbl>
              <c:idx val="109"/>
              <c:layout>
                <c:manualLayout>
                  <c:x val="2.7370480247401272E-3"/>
                  <c:y val="-0.18089040265343531"/>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A1-DD9C-4DAB-B592-189BCC533B20}"/>
                </c:ext>
              </c:extLst>
            </c:dLbl>
            <c:dLbl>
              <c:idx val="110"/>
              <c:layout>
                <c:manualLayout>
                  <c:x val="1.368524012370164E-3"/>
                  <c:y val="-0.17653541371572257"/>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A2-DD9C-4DAB-B592-189BCC533B20}"/>
                </c:ext>
              </c:extLst>
            </c:dLbl>
            <c:dLbl>
              <c:idx val="111"/>
              <c:layout>
                <c:manualLayout>
                  <c:x val="0"/>
                  <c:y val="-0.17978853401782907"/>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A3-DD9C-4DAB-B592-189BCC533B20}"/>
                </c:ext>
              </c:extLst>
            </c:dLbl>
            <c:dLbl>
              <c:idx val="112"/>
              <c:layout>
                <c:manualLayout>
                  <c:x val="5.474096049480656E-3"/>
                  <c:y val="-0.17881022867105964"/>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A4-DD9C-4DAB-B592-189BCC533B20}"/>
                </c:ext>
              </c:extLst>
            </c:dLbl>
            <c:dLbl>
              <c:idx val="113"/>
              <c:layout>
                <c:manualLayout>
                  <c:x val="1.368524012370164E-3"/>
                  <c:y val="-0.1662408312666783"/>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A5-DD9C-4DAB-B592-189BCC533B20}"/>
                </c:ext>
              </c:extLst>
            </c:dLbl>
            <c:dLbl>
              <c:idx val="114"/>
              <c:layout>
                <c:manualLayout>
                  <c:x val="2.7370480247401272E-3"/>
                  <c:y val="-0.17140005103772596"/>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A6-DD9C-4DAB-B592-189BCC533B20}"/>
                </c:ext>
              </c:extLst>
            </c:dLbl>
            <c:dLbl>
              <c:idx val="115"/>
              <c:layout>
                <c:manualLayout>
                  <c:x val="2.7370480247401272E-3"/>
                  <c:y val="-0.15790318857452554"/>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A7-DD9C-4DAB-B592-189BCC533B20}"/>
                </c:ext>
              </c:extLst>
            </c:dLbl>
            <c:dLbl>
              <c:idx val="116"/>
              <c:layout>
                <c:manualLayout>
                  <c:x val="1.368524012370164E-3"/>
                  <c:y val="-0.1568075721426154"/>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A8-DD9C-4DAB-B592-189BCC533B20}"/>
                </c:ext>
              </c:extLst>
            </c:dLbl>
            <c:dLbl>
              <c:idx val="117"/>
              <c:layout>
                <c:manualLayout>
                  <c:x val="-1.368524012370164E-3"/>
                  <c:y val="-0.14843521326678144"/>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A9-DD9C-4DAB-B592-189BCC533B20}"/>
                </c:ext>
              </c:extLst>
            </c:dLbl>
            <c:dLbl>
              <c:idx val="118"/>
              <c:layout>
                <c:manualLayout>
                  <c:x val="1.368524012370164E-3"/>
                  <c:y val="-0.14745230103307794"/>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AA-DD9C-4DAB-B592-189BCC533B20}"/>
                </c:ext>
              </c:extLst>
            </c:dLbl>
            <c:dLbl>
              <c:idx val="119"/>
              <c:layout>
                <c:manualLayout>
                  <c:x val="0"/>
                  <c:y val="-0.1454272451622339"/>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AB-DD9C-4DAB-B592-189BCC533B20}"/>
                </c:ext>
              </c:extLst>
            </c:dLbl>
            <c:dLbl>
              <c:idx val="120"/>
              <c:layout>
                <c:manualLayout>
                  <c:x val="4.1055720371104918E-3"/>
                  <c:y val="-0.14315555630874516"/>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AC-DD9C-4DAB-B592-189BCC533B20}"/>
                </c:ext>
              </c:extLst>
            </c:dLbl>
            <c:dLbl>
              <c:idx val="121"/>
              <c:layout>
                <c:manualLayout>
                  <c:x val="2.7370480247401272E-3"/>
                  <c:y val="-0.13377873154962341"/>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AD-DD9C-4DAB-B592-189BCC533B20}"/>
                </c:ext>
              </c:extLst>
            </c:dLbl>
            <c:dLbl>
              <c:idx val="122"/>
              <c:layout>
                <c:manualLayout>
                  <c:x val="1.3685240123700636E-3"/>
                  <c:y val="-0.13494772910912514"/>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AE-DD9C-4DAB-B592-189BCC533B20}"/>
                </c:ext>
              </c:extLst>
            </c:dLbl>
            <c:dLbl>
              <c:idx val="123"/>
              <c:layout>
                <c:manualLayout>
                  <c:x val="4.1055720371104918E-3"/>
                  <c:y val="-0.13499198813002675"/>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AF-DD9C-4DAB-B592-189BCC533B20}"/>
                </c:ext>
              </c:extLst>
            </c:dLbl>
            <c:dLbl>
              <c:idx val="124"/>
              <c:layout>
                <c:manualLayout>
                  <c:x val="4.1055720371104918E-3"/>
                  <c:y val="-0.12637529971501477"/>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B0-DD9C-4DAB-B592-189BCC533B20}"/>
                </c:ext>
              </c:extLst>
            </c:dLbl>
            <c:dLbl>
              <c:idx val="125"/>
              <c:layout>
                <c:manualLayout>
                  <c:x val="1.368524012370164E-3"/>
                  <c:y val="-0.1185649810451283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B1-DD9C-4DAB-B592-189BCC533B20}"/>
                </c:ext>
              </c:extLst>
            </c:dLbl>
            <c:dLbl>
              <c:idx val="126"/>
              <c:layout>
                <c:manualLayout>
                  <c:x val="4.1055720371103912E-3"/>
                  <c:y val="-0.15154841194904703"/>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B2-DD9C-4DAB-B592-189BCC533B20}"/>
                </c:ext>
              </c:extLst>
            </c:dLbl>
            <c:dLbl>
              <c:idx val="127"/>
              <c:layout>
                <c:manualLayout>
                  <c:x val="1.3685240123702644E-3"/>
                  <c:y val="-0.14545163392105709"/>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B3-DD9C-4DAB-B592-189BCC533B20}"/>
                </c:ext>
              </c:extLst>
            </c:dLbl>
            <c:dLbl>
              <c:idx val="128"/>
              <c:layout>
                <c:manualLayout>
                  <c:x val="2.7370480247402274E-3"/>
                  <c:y val="-0.13298285724056305"/>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B4-DD9C-4DAB-B592-189BCC533B20}"/>
                </c:ext>
              </c:extLst>
            </c:dLbl>
            <c:dLbl>
              <c:idx val="129"/>
              <c:layout>
                <c:manualLayout>
                  <c:x val="5.474096049480656E-3"/>
                  <c:y val="-0.11329077223388886"/>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B5-DD9C-4DAB-B592-189BCC533B20}"/>
                </c:ext>
              </c:extLst>
            </c:dLbl>
            <c:dLbl>
              <c:idx val="130"/>
              <c:layout>
                <c:manualLayout>
                  <c:x val="2.7370480247402274E-3"/>
                  <c:y val="-0.1316162917291407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B6-DD9C-4DAB-B592-189BCC533B20}"/>
                </c:ext>
              </c:extLst>
            </c:dLbl>
            <c:dLbl>
              <c:idx val="131"/>
              <c:layout>
                <c:manualLayout>
                  <c:x val="1.368524012370164E-3"/>
                  <c:y val="-0.11489987342578156"/>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B7-DD9C-4DAB-B592-189BCC533B20}"/>
                </c:ext>
              </c:extLst>
            </c:dLbl>
            <c:dLbl>
              <c:idx val="132"/>
              <c:layout>
                <c:manualLayout>
                  <c:x val="2.7370480247401272E-3"/>
                  <c:y val="-0.11207173844333627"/>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B8-DD9C-4DAB-B592-189BCC533B20}"/>
                </c:ext>
              </c:extLst>
            </c:dLbl>
            <c:dLbl>
              <c:idx val="133"/>
              <c:layout>
                <c:manualLayout>
                  <c:x val="2.7370480247402274E-3"/>
                  <c:y val="-0.13052659843757436"/>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B9-DD9C-4DAB-B592-189BCC533B20}"/>
                </c:ext>
              </c:extLst>
            </c:dLbl>
            <c:dLbl>
              <c:idx val="134"/>
              <c:layout>
                <c:manualLayout>
                  <c:x val="4.1055720371104918E-3"/>
                  <c:y val="-0.1037801646205233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BA-DD9C-4DAB-B592-189BCC533B20}"/>
                </c:ext>
              </c:extLst>
            </c:dLbl>
            <c:dLbl>
              <c:idx val="135"/>
              <c:layout>
                <c:manualLayout>
                  <c:x val="5.474096049480656E-3"/>
                  <c:y val="-0.10330828777314109"/>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BB-DD9C-4DAB-B592-189BCC533B20}"/>
                </c:ext>
              </c:extLst>
            </c:dLbl>
            <c:dLbl>
              <c:idx val="136"/>
              <c:layout>
                <c:manualLayout>
                  <c:x val="3.1931867762649661E-3"/>
                  <c:y val="-0.13164278132901128"/>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BC-DD9C-4DAB-B592-189BCC533B20}"/>
                </c:ext>
              </c:extLst>
            </c:dLbl>
            <c:dLbl>
              <c:idx val="137"/>
              <c:layout>
                <c:manualLayout>
                  <c:x val="4.1055720371104918E-3"/>
                  <c:y val="-9.6168764747179808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BD-DD9C-4DAB-B592-189BCC533B20}"/>
                </c:ext>
              </c:extLst>
            </c:dLbl>
            <c:dLbl>
              <c:idx val="138"/>
              <c:layout>
                <c:manualLayout>
                  <c:x val="1.8246627638948021E-3"/>
                  <c:y val="-9.8189378262765969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BE-DD9C-4DAB-B592-189BCC533B20}"/>
                </c:ext>
              </c:extLst>
            </c:dLbl>
            <c:dLbl>
              <c:idx val="139"/>
              <c:layout>
                <c:manualLayout>
                  <c:x val="3.1931867762649661E-3"/>
                  <c:y val="-9.3616220322393237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BF-DD9C-4DAB-B592-189BCC533B20}"/>
                </c:ext>
              </c:extLst>
            </c:dLbl>
            <c:dLbl>
              <c:idx val="140"/>
              <c:layout>
                <c:manualLayout>
                  <c:x val="3.1931867762649661E-3"/>
                  <c:y val="-8.9831169111086365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C0-DD9C-4DAB-B592-189BCC533B20}"/>
                </c:ext>
              </c:extLst>
            </c:dLbl>
            <c:dLbl>
              <c:idx val="141"/>
              <c:layout>
                <c:manualLayout>
                  <c:x val="5.474096049480656E-3"/>
                  <c:y val="-7.9637444579561512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C1-DD9C-4DAB-B592-189BCC533B20}"/>
                </c:ext>
              </c:extLst>
            </c:dLbl>
            <c:dLbl>
              <c:idx val="142"/>
              <c:layout>
                <c:manualLayout>
                  <c:x val="-1.368524012370164E-3"/>
                  <c:y val="-8.7490706016939854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C2-DD9C-4DAB-B592-189BCC533B20}"/>
                </c:ext>
              </c:extLst>
            </c:dLbl>
            <c:dLbl>
              <c:idx val="143"/>
              <c:layout>
                <c:manualLayout>
                  <c:x val="4.5613875152463812E-4"/>
                  <c:y val="-7.957574520098136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C3-DD9C-4DAB-B592-189BCC533B20}"/>
                </c:ext>
              </c:extLst>
            </c:dLbl>
            <c:dLbl>
              <c:idx val="144"/>
              <c:layout>
                <c:manualLayout>
                  <c:x val="4.5617107886349291E-3"/>
                  <c:y val="-8.427773144382962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C4-DD9C-4DAB-B592-189BCC533B20}"/>
                </c:ext>
              </c:extLst>
            </c:dLbl>
            <c:dLbl>
              <c:idx val="145"/>
              <c:layout>
                <c:manualLayout>
                  <c:x val="4.5617465440459616E-4"/>
                  <c:y val="-0.12192586290826614"/>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C5-DD9C-4DAB-B592-189BCC533B20}"/>
                </c:ext>
              </c:extLst>
            </c:dLbl>
            <c:dLbl>
              <c:idx val="146"/>
              <c:layout>
                <c:manualLayout>
                  <c:x val="-4.5617465440473E-4"/>
                  <c:y val="-6.5373586700400776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C6-DD9C-4DAB-B592-189BCC533B20}"/>
                </c:ext>
              </c:extLst>
            </c:dLbl>
            <c:dLbl>
              <c:idx val="147"/>
              <c:layout>
                <c:manualLayout>
                  <c:x val="2.7370480247401272E-3"/>
                  <c:y val="-4.62248453690174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C7-DD9C-4DAB-B592-189BCC533B20}"/>
                </c:ext>
              </c:extLst>
            </c:dLbl>
            <c:dLbl>
              <c:idx val="148"/>
              <c:layout>
                <c:manualLayout>
                  <c:x val="5.474096049480656E-3"/>
                  <c:y val="-5.2369190876025276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C8-DD9C-4DAB-B592-189BCC533B20}"/>
                </c:ext>
              </c:extLst>
            </c:dLbl>
            <c:dLbl>
              <c:idx val="149"/>
              <c:layout>
                <c:manualLayout>
                  <c:x val="4.1055720371104918E-3"/>
                  <c:y val="-0.11978136372737949"/>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C9-DD9C-4DAB-B592-189BCC533B20}"/>
                </c:ext>
              </c:extLst>
            </c:dLbl>
            <c:dLbl>
              <c:idx val="150"/>
              <c:layout>
                <c:manualLayout>
                  <c:x val="4.1055720371104918E-3"/>
                  <c:y val="-4.1820167865087972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CA-DD9C-4DAB-B592-189BCC533B20}"/>
                </c:ext>
              </c:extLst>
            </c:dLbl>
            <c:dLbl>
              <c:idx val="151"/>
              <c:layout>
                <c:manualLayout>
                  <c:x val="6.8426200618508203E-3"/>
                  <c:y val="-3.8288824498503335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CB-DD9C-4DAB-B592-189BCC533B20}"/>
                </c:ext>
              </c:extLst>
            </c:dLbl>
            <c:dLbl>
              <c:idx val="152"/>
              <c:layout>
                <c:manualLayout>
                  <c:x val="6.8426200618508203E-3"/>
                  <c:y val="-0.11713914953905628"/>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CC-DD9C-4DAB-B592-189BCC533B20}"/>
                </c:ext>
              </c:extLst>
            </c:dLbl>
            <c:dLbl>
              <c:idx val="153"/>
              <c:layout>
                <c:manualLayout>
                  <c:x val="8.2111440742209836E-3"/>
                  <c:y val="-0.10305885775200058"/>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CD-DD9C-4DAB-B592-189BCC533B20}"/>
                </c:ext>
              </c:extLst>
            </c:dLbl>
            <c:dLbl>
              <c:idx val="154"/>
              <c:layout>
                <c:manualLayout>
                  <c:x val="4.1055720371104918E-3"/>
                  <c:y val="-0.12766127929630469"/>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CE-DD9C-4DAB-B592-189BCC533B20}"/>
                </c:ext>
              </c:extLst>
            </c:dLbl>
            <c:dLbl>
              <c:idx val="155"/>
              <c:layout>
                <c:manualLayout>
                  <c:x val="4.1055720371104918E-3"/>
                  <c:y val="-7.1158962772569348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CF-DD9C-4DAB-B592-189BCC533B20}"/>
                </c:ext>
              </c:extLst>
            </c:dLbl>
            <c:dLbl>
              <c:idx val="156"/>
              <c:layout>
                <c:manualLayout>
                  <c:x val="1.3685240123700636E-3"/>
                  <c:y val="-0.13233694047095884"/>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D0-DD9C-4DAB-B592-189BCC533B20}"/>
                </c:ext>
              </c:extLst>
            </c:dLbl>
            <c:dLbl>
              <c:idx val="157"/>
              <c:layout>
                <c:manualLayout>
                  <c:x val="1.3671231610189189E-3"/>
                  <c:y val="-8.1600965603501524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D1-DD9C-4DAB-B592-189BCC533B20}"/>
                </c:ext>
              </c:extLst>
            </c:dLbl>
            <c:dLbl>
              <c:idx val="158"/>
              <c:layout>
                <c:manualLayout>
                  <c:x val="6.8415424838881231E-3"/>
                  <c:y val="-0.14182383692146755"/>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D2-DD9C-4DAB-B592-189BCC533B20}"/>
                </c:ext>
              </c:extLst>
            </c:dLbl>
            <c:dLbl>
              <c:idx val="159"/>
              <c:layout>
                <c:manualLayout>
                  <c:x val="-2.1551559249923842E-7"/>
                  <c:y val="-0.12354732926424553"/>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D3-DD9C-4DAB-B592-189BCC533B20}"/>
                </c:ext>
              </c:extLst>
            </c:dLbl>
            <c:dLbl>
              <c:idx val="160"/>
              <c:layout>
                <c:manualLayout>
                  <c:x val="5.475173627443152E-3"/>
                  <c:y val="-0.10866379383391225"/>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D4-DD9C-4DAB-B592-189BCC533B20}"/>
                </c:ext>
              </c:extLst>
            </c:dLbl>
            <c:dLbl>
              <c:idx val="161"/>
              <c:layout>
                <c:manualLayout>
                  <c:x val="4.1055720371104918E-3"/>
                  <c:y val="-0.10844596855218011"/>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D5-DD9C-4DAB-B592-189BCC533B20}"/>
                </c:ext>
              </c:extLst>
            </c:dLbl>
            <c:dLbl>
              <c:idx val="162"/>
              <c:layout>
                <c:manualLayout>
                  <c:x val="1.370786926091406E-3"/>
                  <c:y val="-0.1114912706896526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D6-DD9C-4DAB-B592-189BCC533B20}"/>
                </c:ext>
              </c:extLst>
            </c:dLbl>
            <c:dLbl>
              <c:idx val="163"/>
              <c:layout>
                <c:manualLayout>
                  <c:x val="1.3690628013512114E-3"/>
                  <c:y val="-0.1027044565214351"/>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D7-DD9C-4DAB-B592-189BCC533B20}"/>
                </c:ext>
              </c:extLst>
            </c:dLbl>
            <c:dLbl>
              <c:idx val="164"/>
              <c:layout>
                <c:manualLayout>
                  <c:x val="4.1040634279629973E-3"/>
                  <c:y val="-0.11058453662203635"/>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D8-DD9C-4DAB-B592-189BCC533B20}"/>
                </c:ext>
              </c:extLst>
            </c:dLbl>
            <c:dLbl>
              <c:idx val="165"/>
              <c:layout>
                <c:manualLayout>
                  <c:x val="4.1046022169442453E-3"/>
                  <c:y val="-0.10854236945686613"/>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D9-DD9C-4DAB-B592-189BCC533B20}"/>
                </c:ext>
              </c:extLst>
            </c:dLbl>
            <c:dLbl>
              <c:idx val="166"/>
              <c:layout>
                <c:manualLayout>
                  <c:x val="1.3662610986489221E-3"/>
                  <c:y val="-0.1090695289474563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DA-DD9C-4DAB-B592-189BCC533B20}"/>
                </c:ext>
              </c:extLst>
            </c:dLbl>
            <c:dLbl>
              <c:idx val="167"/>
              <c:layout>
                <c:manualLayout>
                  <c:x val="2.7374790559253266E-3"/>
                  <c:y val="-0.10039525444576937"/>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DB-DD9C-4DAB-B592-189BCC533B20}"/>
                </c:ext>
              </c:extLst>
            </c:dLbl>
            <c:dLbl>
              <c:idx val="168"/>
              <c:layout>
                <c:manualLayout>
                  <c:x val="1.3705813533085387E-3"/>
                  <c:y val="-0.1108262779227401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DC-DD9C-4DAB-B592-189BCC533B20}"/>
                </c:ext>
              </c:extLst>
            </c:dLbl>
            <c:dLbl>
              <c:idx val="169"/>
              <c:layout>
                <c:manualLayout>
                  <c:x val="4.1053341870670125E-3"/>
                  <c:y val="-9.8922225516322917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DD-DD9C-4DAB-B592-189BCC533B20}"/>
                </c:ext>
              </c:extLst>
            </c:dLbl>
            <c:dLbl>
              <c:idx val="170"/>
              <c:layout>
                <c:manualLayout>
                  <c:x val="2.7359704467778316E-3"/>
                  <c:y val="-0.1566258543306886"/>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DE-DD9C-4DAB-B592-189BCC533B20}"/>
                </c:ext>
              </c:extLst>
            </c:dLbl>
            <c:dLbl>
              <c:idx val="171"/>
              <c:layout>
                <c:manualLayout>
                  <c:x val="2.737048024740328E-3"/>
                  <c:y val="-0.14279198992896378"/>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DF-DD9C-4DAB-B592-189BCC533B20}"/>
                </c:ext>
              </c:extLst>
            </c:dLbl>
            <c:dLbl>
              <c:idx val="172"/>
              <c:layout>
                <c:manualLayout>
                  <c:x val="2.737048024740328E-3"/>
                  <c:y val="-9.4381273949249903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E0-DD9C-4DAB-B592-189BCC533B20}"/>
                </c:ext>
              </c:extLst>
            </c:dLbl>
            <c:dLbl>
              <c:idx val="173"/>
              <c:layout>
                <c:manualLayout>
                  <c:x val="8.2111440742209836E-3"/>
                  <c:y val="-0.14218251597561443"/>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E1-DD9C-4DAB-B592-189BCC533B20}"/>
                </c:ext>
              </c:extLst>
            </c:dLbl>
            <c:dLbl>
              <c:idx val="174"/>
              <c:layout>
                <c:manualLayout>
                  <c:x val="1.368524012370164E-3"/>
                  <c:y val="-9.197732029562386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E2-DD9C-4DAB-B592-189BCC533B20}"/>
                </c:ext>
              </c:extLst>
            </c:dLbl>
            <c:dLbl>
              <c:idx val="175"/>
              <c:layout>
                <c:manualLayout>
                  <c:x val="6.9991251091607626E-6"/>
                  <c:y val="-0.1510715312900014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E3-DD9C-4DAB-B592-189BCC533B20}"/>
                </c:ext>
              </c:extLst>
            </c:dLbl>
            <c:dLbl>
              <c:idx val="176"/>
              <c:layout>
                <c:manualLayout>
                  <c:x val="6.8426200618508203E-3"/>
                  <c:y val="-8.5630839949014922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E4-DD9C-4DAB-B592-189BCC533B20}"/>
                </c:ext>
              </c:extLst>
            </c:dLbl>
            <c:dLbl>
              <c:idx val="177"/>
              <c:layout>
                <c:manualLayout>
                  <c:x val="3.9841173699441414E-6"/>
                  <c:y val="-8.0140267930867343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E5-DD9C-4DAB-B592-189BCC533B20}"/>
                </c:ext>
              </c:extLst>
            </c:dLbl>
            <c:dLbl>
              <c:idx val="178"/>
              <c:layout>
                <c:manualLayout>
                  <c:x val="4.1055720371104918E-3"/>
                  <c:y val="-7.5491175923686774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E6-DD9C-4DAB-B592-189BCC533B20}"/>
                </c:ext>
              </c:extLst>
            </c:dLbl>
            <c:dLbl>
              <c:idx val="179"/>
              <c:layout>
                <c:manualLayout>
                  <c:x val="2.7370480247402274E-3"/>
                  <c:y val="-0.1441842051311055"/>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E7-DD9C-4DAB-B592-189BCC533B20}"/>
                </c:ext>
              </c:extLst>
            </c:dLbl>
            <c:dLbl>
              <c:idx val="180"/>
              <c:layout>
                <c:manualLayout>
                  <c:x val="5.474096049480656E-3"/>
                  <c:y val="-7.5907788266887724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E8-DD9C-4DAB-B592-189BCC533B20}"/>
                </c:ext>
              </c:extLst>
            </c:dLbl>
            <c:dLbl>
              <c:idx val="181"/>
              <c:layout>
                <c:manualLayout>
                  <c:x val="4.1055720371104918E-3"/>
                  <c:y val="-7.3417814337218917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E9-DD9C-4DAB-B592-189BCC533B20}"/>
                </c:ext>
              </c:extLst>
            </c:dLbl>
            <c:dLbl>
              <c:idx val="182"/>
              <c:layout>
                <c:manualLayout>
                  <c:x val="6.8426200618508203E-3"/>
                  <c:y val="-6.040681685645765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EA-DD9C-4DAB-B592-189BCC533B20}"/>
                </c:ext>
              </c:extLst>
            </c:dLbl>
            <c:dLbl>
              <c:idx val="183"/>
              <c:layout>
                <c:manualLayout>
                  <c:x val="4.1055720371104918E-3"/>
                  <c:y val="-0.15464365153704673"/>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EB-DD9C-4DAB-B592-189BCC533B20}"/>
                </c:ext>
              </c:extLst>
            </c:dLbl>
            <c:dLbl>
              <c:idx val="184"/>
              <c:layout>
                <c:manualLayout>
                  <c:x val="1.368524012370164E-3"/>
                  <c:y val="-1.8738019009002831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EC-DD9C-4DAB-B592-189BCC533B20}"/>
                </c:ext>
              </c:extLst>
            </c:dLbl>
            <c:dLbl>
              <c:idx val="185"/>
              <c:layout>
                <c:manualLayout>
                  <c:x val="5.474096049480656E-3"/>
                  <c:y val="-1.9350405907871803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ED-DD9C-4DAB-B592-189BCC533B20}"/>
                </c:ext>
              </c:extLst>
            </c:dLbl>
            <c:dLbl>
              <c:idx val="186"/>
              <c:layout>
                <c:manualLayout>
                  <c:x val="4.1055720371102914E-3"/>
                  <c:y val="-0.1527985777966008"/>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EE-DD9C-4DAB-B592-189BCC533B20}"/>
                </c:ext>
              </c:extLst>
            </c:dLbl>
            <c:dLbl>
              <c:idx val="187"/>
              <c:layout>
                <c:manualLayout>
                  <c:x val="8.2111440742207824E-3"/>
                  <c:y val="-1.4799602722152284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EF-DD9C-4DAB-B592-189BCC533B20}"/>
                </c:ext>
              </c:extLst>
            </c:dLbl>
            <c:dLbl>
              <c:idx val="188"/>
              <c:layout>
                <c:manualLayout>
                  <c:x val="6.8441286709982141E-3"/>
                  <c:y val="-0.15669223543758926"/>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F0-DD9C-4DAB-B592-189BCC533B20}"/>
                </c:ext>
              </c:extLst>
            </c:dLbl>
            <c:dLbl>
              <c:idx val="189"/>
              <c:layout>
                <c:manualLayout>
                  <c:x val="1.3685240123702644E-3"/>
                  <c:y val="-0.15054960983780968"/>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F1-DD9C-4DAB-B592-189BCC533B20}"/>
                </c:ext>
              </c:extLst>
            </c:dLbl>
            <c:dLbl>
              <c:idx val="190"/>
              <c:layout>
                <c:manualLayout>
                  <c:x val="6.8426200618508203E-3"/>
                  <c:y val="-1.2665812966642683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F2-DD9C-4DAB-B592-189BCC533B20}"/>
                </c:ext>
              </c:extLst>
            </c:dLbl>
            <c:dLbl>
              <c:idx val="191"/>
              <c:layout>
                <c:manualLayout>
                  <c:x val="8.2096354650732888E-3"/>
                  <c:y val="-1.2516253672964007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F3-DD9C-4DAB-B592-189BCC533B20}"/>
                </c:ext>
              </c:extLst>
            </c:dLbl>
            <c:dLbl>
              <c:idx val="192"/>
              <c:layout>
                <c:manualLayout>
                  <c:x val="4.1055720371102914E-3"/>
                  <c:y val="-0.14418322115837873"/>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F4-DD9C-4DAB-B592-189BCC533B20}"/>
                </c:ext>
              </c:extLst>
            </c:dLbl>
            <c:dLbl>
              <c:idx val="193"/>
              <c:layout>
                <c:manualLayout>
                  <c:x val="5.474096049480656E-3"/>
                  <c:y val="-1.4640522144565099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F5-DD9C-4DAB-B592-189BCC533B20}"/>
                </c:ext>
              </c:extLst>
            </c:dLbl>
            <c:dLbl>
              <c:idx val="194"/>
              <c:layout>
                <c:manualLayout>
                  <c:x val="4.1055720371104918E-3"/>
                  <c:y val="-0.14416776423358377"/>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F6-DD9C-4DAB-B592-189BCC533B20}"/>
                </c:ext>
              </c:extLst>
            </c:dLbl>
            <c:dLbl>
              <c:idx val="195"/>
              <c:layout>
                <c:manualLayout>
                  <c:x val="2.7363162378995793E-3"/>
                  <c:y val="-9.6869999132854559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F7-DD9C-4DAB-B592-189BCC533B20}"/>
                </c:ext>
              </c:extLst>
            </c:dLbl>
            <c:dLbl>
              <c:idx val="196"/>
              <c:layout>
                <c:manualLayout>
                  <c:x val="2.737048024740328E-3"/>
                  <c:y val="-8.5973234547652544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F8-DD9C-4DAB-B592-189BCC533B20}"/>
                </c:ext>
              </c:extLst>
            </c:dLbl>
            <c:dLbl>
              <c:idx val="197"/>
              <c:layout>
                <c:manualLayout>
                  <c:x val="4.1055720371102914E-3"/>
                  <c:y val="-0.14595604996958633"/>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F9-DD9C-4DAB-B592-189BCC533B20}"/>
                </c:ext>
              </c:extLst>
            </c:dLbl>
            <c:dLbl>
              <c:idx val="198"/>
              <c:layout>
                <c:manualLayout>
                  <c:x val="5.474096049480656E-3"/>
                  <c:y val="-9.4132191659000858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FA-DD9C-4DAB-B592-189BCC533B20}"/>
                </c:ext>
              </c:extLst>
            </c:dLbl>
            <c:dLbl>
              <c:idx val="199"/>
              <c:layout>
                <c:manualLayout>
                  <c:x val="1.3685240123702644E-3"/>
                  <c:y val="-0.1511417593405044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FB-DD9C-4DAB-B592-189BCC533B20}"/>
                </c:ext>
              </c:extLst>
            </c:dLbl>
            <c:dLbl>
              <c:idx val="200"/>
              <c:layout>
                <c:manualLayout>
                  <c:x val="4.1055720371102914E-3"/>
                  <c:y val="-6.4954473262533313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FC-DD9C-4DAB-B592-189BCC533B20}"/>
                </c:ext>
              </c:extLst>
            </c:dLbl>
            <c:dLbl>
              <c:idx val="201"/>
              <c:layout>
                <c:manualLayout>
                  <c:x val="2.737048024740328E-3"/>
                  <c:y val="-0.11674443804781851"/>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FD-DD9C-4DAB-B592-189BCC533B20}"/>
                </c:ext>
              </c:extLst>
            </c:dLbl>
            <c:dLbl>
              <c:idx val="202"/>
              <c:layout>
                <c:manualLayout>
                  <c:x val="2.7370480247402274E-3"/>
                  <c:y val="-0.1588756267475647"/>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FE-DD9C-4DAB-B592-189BCC533B20}"/>
                </c:ext>
              </c:extLst>
            </c:dLbl>
            <c:dLbl>
              <c:idx val="203"/>
              <c:layout>
                <c:manualLayout>
                  <c:x val="1.3687320363347502E-3"/>
                  <c:y val="-4.2429479131360637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FF-DD9C-4DAB-B592-189BCC533B20}"/>
                </c:ext>
              </c:extLst>
            </c:dLbl>
            <c:dLbl>
              <c:idx val="204"/>
              <c:layout>
                <c:manualLayout>
                  <c:x val="4.1055720371102914E-3"/>
                  <c:y val="-5.0461553536576956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100-DD9C-4DAB-B592-189BCC533B20}"/>
                </c:ext>
              </c:extLst>
            </c:dLbl>
            <c:dLbl>
              <c:idx val="205"/>
              <c:layout>
                <c:manualLayout>
                  <c:x val="-1.368524012370164E-3"/>
                  <c:y val="-5.6147421698141305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101-DD9C-4DAB-B592-189BCC533B20}"/>
                </c:ext>
              </c:extLst>
            </c:dLbl>
            <c:dLbl>
              <c:idx val="206"/>
              <c:layout>
                <c:manualLayout>
                  <c:x val="4.1055720371102914E-3"/>
                  <c:y val="-6.27359281404615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102-DD9C-4DAB-B592-189BCC533B20}"/>
                </c:ext>
              </c:extLst>
            </c:dLbl>
            <c:dLbl>
              <c:idx val="207"/>
              <c:layout>
                <c:manualLayout>
                  <c:x val="0"/>
                  <c:y val="-5.7094795089782623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103-DD9C-4DAB-B592-189BCC533B20}"/>
                </c:ext>
              </c:extLst>
            </c:dLbl>
            <c:dLbl>
              <c:idx val="208"/>
              <c:layout>
                <c:manualLayout>
                  <c:x val="2.737048024740328E-3"/>
                  <c:y val="-5.4377718988781736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104-DD9C-4DAB-B592-189BCC533B20}"/>
                </c:ext>
              </c:extLst>
            </c:dLbl>
            <c:dLbl>
              <c:idx val="209"/>
              <c:layout>
                <c:manualLayout>
                  <c:x val="0"/>
                  <c:y val="-4.8109062125022028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105-DD9C-4DAB-B592-189BCC533B20}"/>
                </c:ext>
              </c:extLst>
            </c:dLbl>
            <c:dLbl>
              <c:idx val="210"/>
              <c:layout>
                <c:manualLayout>
                  <c:x val="0"/>
                  <c:y val="-0.13858733431865869"/>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106-DD9C-4DAB-B592-189BCC533B20}"/>
                </c:ext>
              </c:extLst>
            </c:dLbl>
            <c:dLbl>
              <c:idx val="211"/>
              <c:layout>
                <c:manualLayout>
                  <c:x val="4.1055720371102914E-3"/>
                  <c:y val="-0.13814490864131884"/>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107-DD9C-4DAB-B592-189BCC533B20}"/>
                </c:ext>
              </c:extLst>
            </c:dLbl>
            <c:dLbl>
              <c:idx val="212"/>
              <c:layout>
                <c:manualLayout>
                  <c:x val="1.3685240123700636E-3"/>
                  <c:y val="-0.14181906550285739"/>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108-DD9C-4DAB-B592-189BCC533B20}"/>
                </c:ext>
              </c:extLst>
            </c:dLbl>
            <c:dLbl>
              <c:idx val="213"/>
              <c:layout>
                <c:manualLayout>
                  <c:x val="4.1055720371102914E-3"/>
                  <c:y val="-0.1339041046868987"/>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109-DD9C-4DAB-B592-189BCC533B20}"/>
                </c:ext>
              </c:extLst>
            </c:dLbl>
            <c:dLbl>
              <c:idx val="214"/>
              <c:layout>
                <c:manualLayout>
                  <c:x val="5.474096049480656E-3"/>
                  <c:y val="-0.12751204906597835"/>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10A-DD9C-4DAB-B592-189BCC533B20}"/>
                </c:ext>
              </c:extLst>
            </c:dLbl>
            <c:dLbl>
              <c:idx val="215"/>
              <c:layout>
                <c:manualLayout>
                  <c:x val="2.7370480247401272E-3"/>
                  <c:y val="-0.13022912516697913"/>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10B-DD9C-4DAB-B592-189BCC533B20}"/>
                </c:ext>
              </c:extLst>
            </c:dLbl>
            <c:dLbl>
              <c:idx val="216"/>
              <c:layout>
                <c:manualLayout>
                  <c:x val="0"/>
                  <c:y val="-0.1318762517775591"/>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10C-DD9C-4DAB-B592-189BCC533B20}"/>
                </c:ext>
              </c:extLst>
            </c:dLbl>
            <c:dLbl>
              <c:idx val="217"/>
              <c:layout>
                <c:manualLayout>
                  <c:x val="-1.368524012370164E-3"/>
                  <c:y val="-0.12719219948741806"/>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10D-DD9C-4DAB-B592-189BCC533B20}"/>
                </c:ext>
              </c:extLst>
            </c:dLbl>
            <c:dLbl>
              <c:idx val="218"/>
              <c:layout>
                <c:manualLayout>
                  <c:x val="2.7370480247401272E-3"/>
                  <c:y val="-0.12345634324729918"/>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10E-DD9C-4DAB-B592-189BCC533B20}"/>
                </c:ext>
              </c:extLst>
            </c:dLbl>
            <c:dLbl>
              <c:idx val="219"/>
              <c:layout>
                <c:manualLayout>
                  <c:x val="-2.7370480247405288E-3"/>
                  <c:y val="-0.15049712423309733"/>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10F-DD9C-4DAB-B592-189BCC533B20}"/>
                </c:ext>
              </c:extLst>
            </c:dLbl>
            <c:dLbl>
              <c:idx val="220"/>
              <c:layout>
                <c:manualLayout>
                  <c:x val="2.7370480247401272E-3"/>
                  <c:y val="-0.11560225915153979"/>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110-DD9C-4DAB-B592-189BCC533B20}"/>
                </c:ext>
              </c:extLst>
            </c:dLbl>
            <c:dLbl>
              <c:idx val="221"/>
              <c:layout>
                <c:manualLayout>
                  <c:x val="-1.3685240123703648E-3"/>
                  <c:y val="-0.15258667652101723"/>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111-DD9C-4DAB-B592-189BCC533B20}"/>
                </c:ext>
              </c:extLst>
            </c:dLbl>
            <c:dLbl>
              <c:idx val="222"/>
              <c:layout>
                <c:manualLayout>
                  <c:x val="2.7370480247401272E-3"/>
                  <c:y val="-0.10306494542402034"/>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112-DD9C-4DAB-B592-189BCC533B20}"/>
                </c:ext>
              </c:extLst>
            </c:dLbl>
            <c:dLbl>
              <c:idx val="223"/>
              <c:layout>
                <c:manualLayout>
                  <c:x val="2.737048024740328E-3"/>
                  <c:y val="-0.15904043152051789"/>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113-DD9C-4DAB-B592-189BCC533B20}"/>
                </c:ext>
              </c:extLst>
            </c:dLbl>
            <c:dLbl>
              <c:idx val="224"/>
              <c:layout>
                <c:manualLayout>
                  <c:x val="0"/>
                  <c:y val="-0.1146548857598986"/>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114-DD9C-4DAB-B592-189BCC533B20}"/>
                </c:ext>
              </c:extLst>
            </c:dLbl>
            <c:dLbl>
              <c:idx val="225"/>
              <c:layout>
                <c:manualLayout>
                  <c:x val="4.1055720371102914E-3"/>
                  <c:y val="-0.11079563076261921"/>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115-DD9C-4DAB-B592-189BCC533B20}"/>
                </c:ext>
              </c:extLst>
            </c:dLbl>
            <c:dLbl>
              <c:idx val="226"/>
              <c:layout>
                <c:manualLayout>
                  <c:x val="4.1055720371104918E-3"/>
                  <c:y val="-4.0378376786423316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116-DD9C-4DAB-B592-189BCC533B20}"/>
                </c:ext>
              </c:extLst>
            </c:dLbl>
            <c:dLbl>
              <c:idx val="227"/>
              <c:layout>
                <c:manualLayout>
                  <c:x val="5.4740960494805554E-3"/>
                  <c:y val="-0.1609448856726968"/>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117-DD9C-4DAB-B592-189BCC533B20}"/>
                </c:ext>
              </c:extLst>
            </c:dLbl>
            <c:dLbl>
              <c:idx val="228"/>
              <c:layout>
                <c:manualLayout>
                  <c:x val="4.1055720371102914E-3"/>
                  <c:y val="-0.10306494542402031"/>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118-DD9C-4DAB-B592-189BCC533B20}"/>
                </c:ext>
              </c:extLst>
            </c:dLbl>
            <c:dLbl>
              <c:idx val="229"/>
              <c:layout>
                <c:manualLayout>
                  <c:x val="2.7370480247401272E-3"/>
                  <c:y val="-0.10471207203460035"/>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119-DD9C-4DAB-B592-189BCC533B20}"/>
                </c:ext>
              </c:extLst>
            </c:dLbl>
            <c:dLbl>
              <c:idx val="230"/>
              <c:layout>
                <c:manualLayout>
                  <c:x val="0"/>
                  <c:y val="-0.10870607847469931"/>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11A-DD9C-4DAB-B592-189BCC533B20}"/>
                </c:ext>
              </c:extLst>
            </c:dLbl>
            <c:dLbl>
              <c:idx val="231"/>
              <c:layout>
                <c:manualLayout>
                  <c:x val="2.7370480247402274E-3"/>
                  <c:y val="-0.11351270686361993"/>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11B-DD9C-4DAB-B592-189BCC533B20}"/>
                </c:ext>
              </c:extLst>
            </c:dLbl>
            <c:dLbl>
              <c:idx val="232"/>
              <c:layout>
                <c:manualLayout>
                  <c:x val="4.1055720371103912E-3"/>
                  <c:y val="-7.1279235427881824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11C-DD9C-4DAB-B592-189BCC533B20}"/>
                </c:ext>
              </c:extLst>
            </c:dLbl>
            <c:dLbl>
              <c:idx val="233"/>
              <c:layout>
                <c:manualLayout>
                  <c:x val="2.737048024740328E-3"/>
                  <c:y val="-0.1484075719451774"/>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11D-DD9C-4DAB-B592-189BCC533B20}"/>
                </c:ext>
              </c:extLst>
            </c:dLbl>
            <c:dLbl>
              <c:idx val="234"/>
              <c:layout>
                <c:manualLayout>
                  <c:x val="2.7370480247401272E-3"/>
                  <c:y val="-9.6796288560260638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11E-DD9C-4DAB-B592-189BCC533B20}"/>
                </c:ext>
              </c:extLst>
            </c:dLbl>
            <c:dLbl>
              <c:idx val="235"/>
              <c:layout>
                <c:manualLayout>
                  <c:x val="0"/>
                  <c:y val="-9.844341517084064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11F-DD9C-4DAB-B592-189BCC533B20}"/>
                </c:ext>
              </c:extLst>
            </c:dLbl>
            <c:dLbl>
              <c:idx val="236"/>
              <c:layout>
                <c:manualLayout>
                  <c:x val="4.1055720371102914E-3"/>
                  <c:y val="-0.14631801965725749"/>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120-DD9C-4DAB-B592-189BCC533B20}"/>
                </c:ext>
              </c:extLst>
            </c:dLbl>
            <c:dLbl>
              <c:idx val="237"/>
              <c:layout>
                <c:manualLayout>
                  <c:x val="1.368524012370164E-3"/>
                  <c:y val="-9.4706736272340733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121-DD9C-4DAB-B592-189BCC533B20}"/>
                </c:ext>
              </c:extLst>
            </c:dLbl>
            <c:dLbl>
              <c:idx val="238"/>
              <c:layout>
                <c:manualLayout>
                  <c:x val="1.3685240123702644E-3"/>
                  <c:y val="-0.11307028118627997"/>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122-DD9C-4DAB-B592-189BCC533B20}"/>
                </c:ext>
              </c:extLst>
            </c:dLbl>
            <c:dLbl>
              <c:idx val="239"/>
              <c:layout>
                <c:manualLayout>
                  <c:x val="6.8426200618508203E-3"/>
                  <c:y val="-0.15226682694245688"/>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123-DD9C-4DAB-B592-189BCC533B20}"/>
                </c:ext>
              </c:extLst>
            </c:dLbl>
            <c:dLbl>
              <c:idx val="240"/>
              <c:layout>
                <c:manualLayout>
                  <c:x val="5.4740960494805554E-3"/>
                  <c:y val="-0.14853097070233809"/>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124-DD9C-4DAB-B592-189BCC533B20}"/>
                </c:ext>
              </c:extLst>
            </c:dLbl>
            <c:dLbl>
              <c:idx val="241"/>
              <c:layout>
                <c:manualLayout>
                  <c:x val="2.7370480247401272E-3"/>
                  <c:y val="-8.0795089453404384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125-DD9C-4DAB-B592-189BCC533B20}"/>
                </c:ext>
              </c:extLst>
            </c:dLbl>
            <c:dLbl>
              <c:idx val="242"/>
              <c:layout>
                <c:manualLayout>
                  <c:x val="1.3685240123700636E-3"/>
                  <c:y val="-0.15136799039529886"/>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126-DD9C-4DAB-B592-189BCC533B20}"/>
                </c:ext>
              </c:extLst>
            </c:dLbl>
            <c:dLbl>
              <c:idx val="243"/>
              <c:layout>
                <c:manualLayout>
                  <c:x val="5.474096049480656E-3"/>
                  <c:y val="-7.7314421843093714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127-DD9C-4DAB-B592-189BCC533B20}"/>
                </c:ext>
              </c:extLst>
            </c:dLbl>
            <c:dLbl>
              <c:idx val="244"/>
              <c:layout>
                <c:manualLayout>
                  <c:x val="6.8426200618508203E-3"/>
                  <c:y val="-8.0503374791476748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128-DD9C-4DAB-B592-189BCC533B20}"/>
                </c:ext>
              </c:extLst>
            </c:dLbl>
            <c:dLbl>
              <c:idx val="245"/>
              <c:layout>
                <c:manualLayout>
                  <c:x val="1.3685240123700636E-3"/>
                  <c:y val="-0.14422846736933759"/>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129-DD9C-4DAB-B592-189BCC533B20}"/>
                </c:ext>
              </c:extLst>
            </c:dLbl>
            <c:dLbl>
              <c:idx val="246"/>
              <c:layout>
                <c:manualLayout>
                  <c:x val="0"/>
                  <c:y val="-8.00798702569014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12A-DD9C-4DAB-B592-189BCC533B20}"/>
                </c:ext>
              </c:extLst>
            </c:dLbl>
            <c:dLbl>
              <c:idx val="247"/>
              <c:layout>
                <c:manualLayout>
                  <c:x val="2.7370480247402274E-3"/>
                  <c:y val="-9.8258317035099713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12B-DD9C-4DAB-B592-189BCC533B20}"/>
                </c:ext>
              </c:extLst>
            </c:dLbl>
            <c:dLbl>
              <c:idx val="248"/>
              <c:layout>
                <c:manualLayout>
                  <c:x val="1.3685240123700636E-3"/>
                  <c:y val="-0.14694554347033831"/>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12C-DD9C-4DAB-B592-189BCC533B20}"/>
                </c:ext>
              </c:extLst>
            </c:dLbl>
            <c:dLbl>
              <c:idx val="249"/>
              <c:layout>
                <c:manualLayout>
                  <c:x val="2.7370480247401272E-3"/>
                  <c:y val="-6.7100130852042167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12D-DD9C-4DAB-B592-189BCC533B20}"/>
                </c:ext>
              </c:extLst>
            </c:dLbl>
            <c:dLbl>
              <c:idx val="250"/>
              <c:layout>
                <c:manualLayout>
                  <c:x val="1.779081216081203E-2"/>
                  <c:y val="-0.13795981050557787"/>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12E-DD9C-4DAB-B592-189BCC533B20}"/>
                </c:ext>
              </c:extLst>
            </c:dLbl>
            <c:dLbl>
              <c:idx val="251"/>
              <c:layout>
                <c:manualLayout>
                  <c:x val="0"/>
                  <c:y val="-0.14631801965725749"/>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12F-DD9C-4DAB-B592-189BCC533B20}"/>
                </c:ext>
              </c:extLst>
            </c:dLbl>
            <c:dLbl>
              <c:idx val="252"/>
              <c:layout>
                <c:manualLayout>
                  <c:x val="5.474096049480656E-3"/>
                  <c:y val="-6.0646375852541526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130-DD9C-4DAB-B592-189BCC533B20}"/>
                </c:ext>
              </c:extLst>
            </c:dLbl>
            <c:dLbl>
              <c:idx val="253"/>
              <c:layout>
                <c:manualLayout>
                  <c:x val="6.8426200618508203E-3"/>
                  <c:y val="-9.6168764747179808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131-DD9C-4DAB-B592-189BCC533B20}"/>
                </c:ext>
              </c:extLst>
            </c:dLbl>
            <c:dLbl>
              <c:idx val="254"/>
              <c:layout>
                <c:manualLayout>
                  <c:x val="4.1055720371104918E-3"/>
                  <c:y val="-7.736279415590068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132-DD9C-4DAB-B592-189BCC533B20}"/>
                </c:ext>
              </c:extLst>
            </c:dLbl>
            <c:dLbl>
              <c:idx val="255"/>
              <c:layout>
                <c:manualLayout>
                  <c:x val="6.8426200618508203E-3"/>
                  <c:y val="-5.6467271276701717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133-DD9C-4DAB-B592-189BCC533B20}"/>
                </c:ext>
              </c:extLst>
            </c:dLbl>
            <c:dLbl>
              <c:idx val="256"/>
              <c:layout>
                <c:manualLayout>
                  <c:x val="-1.0035726823808552E-16"/>
                  <c:y val="-6.5453004241462082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134-DD9C-4DAB-B592-189BCC533B20}"/>
                </c:ext>
              </c:extLst>
            </c:dLbl>
            <c:dLbl>
              <c:idx val="257"/>
              <c:layout>
                <c:manualLayout>
                  <c:x val="4.1055720371104918E-3"/>
                  <c:y val="-4.3929957549182296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135-DD9C-4DAB-B592-189BCC533B20}"/>
                </c:ext>
              </c:extLst>
            </c:dLbl>
            <c:dLbl>
              <c:idx val="258"/>
              <c:layout>
                <c:manualLayout>
                  <c:x val="4.1055720371104918E-3"/>
                  <c:y val="-0.13378070592973806"/>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136-DD9C-4DAB-B592-189BCC533B20}"/>
                </c:ext>
              </c:extLst>
            </c:dLbl>
            <c:dLbl>
              <c:idx val="259"/>
              <c:layout>
                <c:manualLayout>
                  <c:x val="1.0948192098961111E-2"/>
                  <c:y val="-0.1504971242330973"/>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137-DD9C-4DAB-B592-189BCC533B20}"/>
                </c:ext>
              </c:extLst>
            </c:dLbl>
            <c:dLbl>
              <c:idx val="260"/>
              <c:layout>
                <c:manualLayout>
                  <c:x val="1.0948192098961312E-2"/>
                  <c:y val="-5.6467271276701717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138-DD9C-4DAB-B592-189BCC533B20}"/>
                </c:ext>
              </c:extLst>
            </c:dLbl>
            <c:dLbl>
              <c:idx val="261"/>
              <c:layout>
                <c:manualLayout>
                  <c:x val="5.474096049480656E-3"/>
                  <c:y val="-5.0198614412941933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139-DD9C-4DAB-B592-189BCC533B20}"/>
                </c:ext>
              </c:extLst>
            </c:dLbl>
            <c:dLbl>
              <c:idx val="262"/>
              <c:layout>
                <c:manualLayout>
                  <c:x val="0"/>
                  <c:y val="-5.082613822602268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13A-DD9C-4DAB-B592-189BCC533B20}"/>
                </c:ext>
              </c:extLst>
            </c:dLbl>
            <c:dLbl>
              <c:idx val="263"/>
              <c:layout>
                <c:manualLayout>
                  <c:x val="1.368524012370164E-3"/>
                  <c:y val="-4.6019509837102124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13B-DD9C-4DAB-B592-189BCC533B20}"/>
                </c:ext>
              </c:extLst>
            </c:dLbl>
            <c:dLbl>
              <c:idx val="264"/>
              <c:layout>
                <c:manualLayout>
                  <c:x val="0"/>
                  <c:y val="-0.12396046830321945"/>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13C-DD9C-4DAB-B592-189BCC533B20}"/>
                </c:ext>
              </c:extLst>
            </c:dLbl>
            <c:dLbl>
              <c:idx val="265"/>
              <c:layout>
                <c:manualLayout>
                  <c:x val="4.1055720371102914E-3"/>
                  <c:y val="-0.1630344379606167"/>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13D-DD9C-4DAB-B592-189BCC533B20}"/>
                </c:ext>
              </c:extLst>
            </c:dLbl>
            <c:dLbl>
              <c:idx val="266"/>
              <c:layout>
                <c:manualLayout>
                  <c:x val="6.8426200618508203E-3"/>
                  <c:y val="-5.8556823564621545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13E-DD9C-4DAB-B592-189BCC533B20}"/>
                </c:ext>
              </c:extLst>
            </c:dLbl>
            <c:dLbl>
              <c:idx val="267"/>
              <c:layout>
                <c:manualLayout>
                  <c:x val="4.1055720371102914E-3"/>
                  <c:y val="-5.2915690513942661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13F-DD9C-4DAB-B592-189BCC533B20}"/>
                </c:ext>
              </c:extLst>
            </c:dLbl>
            <c:dLbl>
              <c:idx val="268"/>
              <c:layout>
                <c:manualLayout>
                  <c:x val="6.8426200618508203E-3"/>
                  <c:y val="-5.8741921700362479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140-DD9C-4DAB-B592-189BCC533B20}"/>
                </c:ext>
              </c:extLst>
            </c:dLbl>
            <c:dLbl>
              <c:idx val="269"/>
              <c:layout>
                <c:manualLayout>
                  <c:x val="2.737048024740328E-3"/>
                  <c:y val="-3.975085297334241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141-DD9C-4DAB-B592-189BCC533B20}"/>
                </c:ext>
              </c:extLst>
            </c:dLbl>
            <c:dLbl>
              <c:idx val="270"/>
              <c:layout>
                <c:manualLayout>
                  <c:x val="8.2111440742209836E-3"/>
                  <c:y val="-5.9184347377702368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142-DD9C-4DAB-B592-189BCC533B20}"/>
                </c:ext>
              </c:extLst>
            </c:dLbl>
            <c:dLbl>
              <c:idx val="271"/>
              <c:layout>
                <c:manualLayout>
                  <c:x val="2.7370480247402274E-3"/>
                  <c:y val="-0.11933893805003976"/>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143-DD9C-4DAB-B592-189BCC533B20}"/>
                </c:ext>
              </c:extLst>
            </c:dLbl>
            <c:dLbl>
              <c:idx val="272"/>
              <c:layout>
                <c:manualLayout>
                  <c:x val="9.5796680865909475E-3"/>
                  <c:y val="-0.1484075719451774"/>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144-DD9C-4DAB-B592-189BCC533B20}"/>
                </c:ext>
              </c:extLst>
            </c:dLbl>
            <c:dLbl>
              <c:idx val="273"/>
              <c:layout>
                <c:manualLayout>
                  <c:x val="5.4740960494804548E-3"/>
                  <c:y val="-3.4109719922663533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145-DD9C-4DAB-B592-189BCC533B20}"/>
                </c:ext>
              </c:extLst>
            </c:dLbl>
            <c:dLbl>
              <c:idx val="274"/>
              <c:layout>
                <c:manualLayout>
                  <c:x val="2.737048024740328E-3"/>
                  <c:y val="-6.9189683139962002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146-DD9C-4DAB-B592-189BCC533B20}"/>
                </c:ext>
              </c:extLst>
            </c:dLbl>
            <c:dLbl>
              <c:idx val="275"/>
              <c:layout>
                <c:manualLayout>
                  <c:x val="-2.0071453647617104E-16"/>
                  <c:y val="-5.2288166700861831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147-DD9C-4DAB-B592-189BCC533B20}"/>
                </c:ext>
              </c:extLst>
            </c:dLbl>
            <c:dLbl>
              <c:idx val="276"/>
              <c:layout>
                <c:manualLayout>
                  <c:x val="5.4740960494805554E-3"/>
                  <c:y val="-0.16784106634953735"/>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148-DD9C-4DAB-B592-189BCC533B20}"/>
                </c:ext>
              </c:extLst>
            </c:dLbl>
            <c:dLbl>
              <c:idx val="277"/>
              <c:layout>
                <c:manualLayout>
                  <c:x val="8.2111440742207824E-3"/>
                  <c:y val="-8.799565373124113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149-DD9C-4DAB-B592-189BCC533B20}"/>
                </c:ext>
              </c:extLst>
            </c:dLbl>
            <c:dLbl>
              <c:idx val="278"/>
              <c:layout>
                <c:manualLayout>
                  <c:x val="5.474096049480656E-3"/>
                  <c:y val="-0.16271458838205638"/>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14A-DD9C-4DAB-B592-189BCC533B20}"/>
                </c:ext>
              </c:extLst>
            </c:dLbl>
            <c:dLbl>
              <c:idx val="279"/>
              <c:layout>
                <c:manualLayout>
                  <c:x val="1.5053764136071804E-2"/>
                  <c:y val="-0.19019861770357546"/>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14B-DD9C-4DAB-B592-189BCC533B20}"/>
                </c:ext>
              </c:extLst>
            </c:dLbl>
            <c:dLbl>
              <c:idx val="280"/>
              <c:layout>
                <c:manualLayout>
                  <c:x val="6.8426200618508203E-3"/>
                  <c:y val="-0.15321420033409811"/>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14C-DD9C-4DAB-B592-189BCC533B20}"/>
                </c:ext>
              </c:extLst>
            </c:dLbl>
            <c:dLbl>
              <c:idx val="281"/>
              <c:layout>
                <c:manualLayout>
                  <c:x val="8.2111440742209836E-3"/>
                  <c:y val="-0.1484075719451774"/>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14D-DD9C-4DAB-B592-189BCC533B20}"/>
                </c:ext>
              </c:extLst>
            </c:dLbl>
            <c:dLbl>
              <c:idx val="282"/>
              <c:layout>
                <c:manualLayout>
                  <c:x val="1.368524012370164E-3"/>
                  <c:y val="-0.11497473533845894"/>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14E-DD9C-4DAB-B592-189BCC533B20}"/>
                </c:ext>
              </c:extLst>
            </c:dLbl>
            <c:dLbl>
              <c:idx val="283"/>
              <c:layout>
                <c:manualLayout>
                  <c:x val="1.0948192098961211E-2"/>
                  <c:y val="-0.15258667652101721"/>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14F-DD9C-4DAB-B592-189BCC533B20}"/>
                </c:ext>
              </c:extLst>
            </c:dLbl>
            <c:dLbl>
              <c:idx val="284"/>
              <c:layout>
                <c:manualLayout>
                  <c:x val="5.474096049480656E-3"/>
                  <c:y val="-5.7094795089782546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150-DD9C-4DAB-B592-189BCC533B20}"/>
                </c:ext>
              </c:extLst>
            </c:dLbl>
            <c:dLbl>
              <c:idx val="285"/>
              <c:layout>
                <c:manualLayout>
                  <c:x val="1.368524012370164E-3"/>
                  <c:y val="-0.12751204906597827"/>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151-DD9C-4DAB-B592-189BCC533B20}"/>
                </c:ext>
              </c:extLst>
            </c:dLbl>
            <c:dLbl>
              <c:idx val="286"/>
              <c:layout>
                <c:manualLayout>
                  <c:x val="2.7370480247402274E-3"/>
                  <c:y val="-7.1721661105221796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152-DD9C-4DAB-B592-189BCC533B20}"/>
                </c:ext>
              </c:extLst>
            </c:dLbl>
            <c:dLbl>
              <c:idx val="287"/>
              <c:layout>
                <c:manualLayout>
                  <c:x val="5.474096049480656E-3"/>
                  <c:y val="-4.3929957549182296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153-DD9C-4DAB-B592-189BCC533B20}"/>
                </c:ext>
              </c:extLst>
            </c:dLbl>
            <c:dLbl>
              <c:idx val="288"/>
              <c:layout>
                <c:manualLayout>
                  <c:x val="5.4740960494805554E-3"/>
                  <c:y val="-0.1128851830505391"/>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154-DD9C-4DAB-B592-189BCC533B20}"/>
                </c:ext>
              </c:extLst>
            </c:dLbl>
            <c:dLbl>
              <c:idx val="289"/>
              <c:layout>
                <c:manualLayout>
                  <c:x val="8.2111440742209836E-3"/>
                  <c:y val="-0.19019861770357546"/>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155-DD9C-4DAB-B592-189BCC533B20}"/>
                </c:ext>
              </c:extLst>
            </c:dLbl>
            <c:dLbl>
              <c:idx val="290"/>
              <c:layout>
                <c:manualLayout>
                  <c:x val="5.474096049480656E-3"/>
                  <c:y val="-0.13440822974281896"/>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156-DD9C-4DAB-B592-189BCC533B20}"/>
                </c:ext>
              </c:extLst>
            </c:dLbl>
            <c:dLbl>
              <c:idx val="291"/>
              <c:layout>
                <c:manualLayout>
                  <c:x val="0"/>
                  <c:y val="-3.9750852973342493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157-DD9C-4DAB-B592-189BCC533B20}"/>
                </c:ext>
              </c:extLst>
            </c:dLbl>
            <c:dLbl>
              <c:idx val="292"/>
              <c:layout>
                <c:manualLayout>
                  <c:x val="1.368524012370164E-3"/>
                  <c:y val="-0.11915383991429881"/>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158-DD9C-4DAB-B592-189BCC533B20}"/>
                </c:ext>
              </c:extLst>
            </c:dLbl>
            <c:dLbl>
              <c:idx val="293"/>
              <c:layout>
                <c:manualLayout>
                  <c:x val="8.2111440742209836E-3"/>
                  <c:y val="-0.16930309482437644"/>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159-DD9C-4DAB-B592-189BCC533B20}"/>
                </c:ext>
              </c:extLst>
            </c:dLbl>
            <c:dLbl>
              <c:idx val="294"/>
              <c:layout>
                <c:manualLayout>
                  <c:x val="6.8426200618508203E-3"/>
                  <c:y val="-5.4377718988781812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15A-DD9C-4DAB-B592-189BCC533B20}"/>
                </c:ext>
              </c:extLst>
            </c:dLbl>
            <c:dLbl>
              <c:idx val="295"/>
              <c:layout>
                <c:manualLayout>
                  <c:x val="6.8426200618507196E-3"/>
                  <c:y val="-0.1734821994002162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15B-DD9C-4DAB-B592-189BCC533B20}"/>
                </c:ext>
              </c:extLst>
            </c:dLbl>
            <c:dLbl>
              <c:idx val="296"/>
              <c:layout>
                <c:manualLayout>
                  <c:x val="1.368524012370164E-3"/>
                  <c:y val="-0.12396046830321945"/>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15C-DD9C-4DAB-B592-189BCC533B20}"/>
                </c:ext>
              </c:extLst>
            </c:dLbl>
            <c:dLbl>
              <c:idx val="297"/>
              <c:layout>
                <c:manualLayout>
                  <c:x val="5.474096049480656E-3"/>
                  <c:y val="-0.14213891508141768"/>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15D-DD9C-4DAB-B592-189BCC533B20}"/>
                </c:ext>
              </c:extLst>
            </c:dLbl>
            <c:dLbl>
              <c:idx val="298"/>
              <c:layout>
                <c:manualLayout>
                  <c:x val="8.2111440742209836E-3"/>
                  <c:y val="-5.4377718988781812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15E-DD9C-4DAB-B592-189BCC533B20}"/>
                </c:ext>
              </c:extLst>
            </c:dLbl>
            <c:dLbl>
              <c:idx val="299"/>
              <c:layout>
                <c:manualLayout>
                  <c:x val="8.2111440742209836E-3"/>
                  <c:y val="-0.18601951312773565"/>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15F-DD9C-4DAB-B592-189BCC533B20}"/>
                </c:ext>
              </c:extLst>
            </c:dLbl>
            <c:dLbl>
              <c:idx val="300"/>
              <c:layout>
                <c:manualLayout>
                  <c:x val="8.2111440742209836E-3"/>
                  <c:y val="-4.8109062125021952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160-DD9C-4DAB-B592-189BCC533B20}"/>
                </c:ext>
              </c:extLst>
            </c:dLbl>
            <c:dLbl>
              <c:idx val="301"/>
              <c:layout>
                <c:manualLayout>
                  <c:x val="6.8426200618507196E-3"/>
                  <c:y val="-0.18246793236497666"/>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161-DD9C-4DAB-B592-189BCC533B20}"/>
                </c:ext>
              </c:extLst>
            </c:dLbl>
            <c:dLbl>
              <c:idx val="302"/>
              <c:layout>
                <c:manualLayout>
                  <c:x val="2.737048024740328E-3"/>
                  <c:y val="-5.0198614412942009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162-DD9C-4DAB-B592-189BCC533B20}"/>
                </c:ext>
              </c:extLst>
            </c:dLbl>
            <c:dLbl>
              <c:idx val="303"/>
              <c:layout>
                <c:manualLayout>
                  <c:x val="9.5796680865911487E-3"/>
                  <c:y val="-5.646727127670164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163-DD9C-4DAB-B592-189BCC533B20}"/>
                </c:ext>
              </c:extLst>
            </c:dLbl>
            <c:dLbl>
              <c:idx val="304"/>
              <c:layout>
                <c:manualLayout>
                  <c:x val="5.474096049480656E-3"/>
                  <c:y val="-5.2288166700861831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164-DD9C-4DAB-B592-189BCC533B20}"/>
                </c:ext>
              </c:extLst>
            </c:dLbl>
            <c:dLbl>
              <c:idx val="305"/>
              <c:layout>
                <c:manualLayout>
                  <c:x val="1.0948192098961211E-2"/>
                  <c:y val="-0.19019861770357546"/>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165-DD9C-4DAB-B592-189BCC533B20}"/>
                </c:ext>
              </c:extLst>
            </c:dLbl>
            <c:dLbl>
              <c:idx val="306"/>
              <c:layout>
                <c:manualLayout>
                  <c:x val="8.2111440742209836E-3"/>
                  <c:y val="-5.2288166700861907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166-DD9C-4DAB-B592-189BCC533B20}"/>
                </c:ext>
              </c:extLst>
            </c:dLbl>
            <c:dLbl>
              <c:idx val="307"/>
              <c:layout>
                <c:manualLayout>
                  <c:x val="2.737048024740328E-3"/>
                  <c:y val="-0.12187091601529955"/>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167-DD9C-4DAB-B592-189BCC533B20}"/>
                </c:ext>
              </c:extLst>
            </c:dLbl>
            <c:dLbl>
              <c:idx val="308"/>
              <c:layout>
                <c:manualLayout>
                  <c:x val="2.737048024740328E-3"/>
                  <c:y val="-0.11915383991429875"/>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168-DD9C-4DAB-B592-189BCC533B20}"/>
                </c:ext>
              </c:extLst>
            </c:dLbl>
            <c:dLbl>
              <c:idx val="309"/>
              <c:layout>
                <c:manualLayout>
                  <c:x val="2.737048024740328E-3"/>
                  <c:y val="-0.10243742161093951"/>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169-DD9C-4DAB-B592-189BCC533B20}"/>
                </c:ext>
              </c:extLst>
            </c:dLbl>
            <c:dLbl>
              <c:idx val="310"/>
              <c:layout>
                <c:manualLayout>
                  <c:x val="6.8426200618508203E-3"/>
                  <c:y val="-8.363145101966038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16A-DD9C-4DAB-B592-189BCC533B20}"/>
                </c:ext>
              </c:extLst>
            </c:dLbl>
            <c:dLbl>
              <c:idx val="311"/>
              <c:layout>
                <c:manualLayout>
                  <c:x val="5.4740960494805554E-3"/>
                  <c:y val="-0.17975085626397594"/>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16B-DD9C-4DAB-B592-189BCC533B20}"/>
                </c:ext>
              </c:extLst>
            </c:dLbl>
            <c:dLbl>
              <c:idx val="312"/>
              <c:layout>
                <c:manualLayout>
                  <c:x val="4.1055720371104918E-3"/>
                  <c:y val="-0.12187091601529955"/>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16C-DD9C-4DAB-B592-189BCC533B20}"/>
                </c:ext>
              </c:extLst>
            </c:dLbl>
            <c:dLbl>
              <c:idx val="313"/>
              <c:layout>
                <c:manualLayout>
                  <c:x val="1.0948192098961513E-2"/>
                  <c:y val="-0.10452697389885941"/>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16D-DD9C-4DAB-B592-189BCC533B20}"/>
                </c:ext>
              </c:extLst>
            </c:dLbl>
            <c:dLbl>
              <c:idx val="314"/>
              <c:layout>
                <c:manualLayout>
                  <c:x val="6.8426200618508203E-3"/>
                  <c:y val="-8.1541898731740406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16E-DD9C-4DAB-B592-189BCC533B20}"/>
                </c:ext>
              </c:extLst>
            </c:dLbl>
            <c:dLbl>
              <c:idx val="315"/>
              <c:layout>
                <c:manualLayout>
                  <c:x val="4.1055720371104918E-3"/>
                  <c:y val="-8.7810555595500273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16F-DD9C-4DAB-B592-189BCC533B20}"/>
                </c:ext>
              </c:extLst>
            </c:dLbl>
            <c:dLbl>
              <c:idx val="316"/>
              <c:layout>
                <c:manualLayout>
                  <c:x val="4.1055720371103912E-3"/>
                  <c:y val="-0.18184040855189584"/>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170-DD9C-4DAB-B592-189BCC533B20}"/>
                </c:ext>
              </c:extLst>
            </c:dLbl>
            <c:dLbl>
              <c:idx val="317"/>
              <c:layout>
                <c:manualLayout>
                  <c:x val="2.737048024740328E-3"/>
                  <c:y val="-8.1541898731740475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171-DD9C-4DAB-B592-189BCC533B20}"/>
                </c:ext>
              </c:extLst>
            </c:dLbl>
            <c:dLbl>
              <c:idx val="318"/>
              <c:layout>
                <c:manualLayout>
                  <c:x val="4.1055720371104918E-3"/>
                  <c:y val="-7.736279415590068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172-DD9C-4DAB-B592-189BCC533B20}"/>
                </c:ext>
              </c:extLst>
            </c:dLbl>
            <c:dLbl>
              <c:idx val="319"/>
              <c:layout>
                <c:manualLayout>
                  <c:x val="6.8426200618508203E-3"/>
                  <c:y val="-7.1094137292140966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173-DD9C-4DAB-B592-189BCC533B20}"/>
                </c:ext>
              </c:extLst>
            </c:dLbl>
            <c:dLbl>
              <c:idx val="320"/>
              <c:layout>
                <c:manualLayout>
                  <c:x val="2.737048024740328E-3"/>
                  <c:y val="-6.4825480428381252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174-DD9C-4DAB-B592-189BCC533B20}"/>
                </c:ext>
              </c:extLst>
            </c:dLbl>
            <c:dLbl>
              <c:idx val="321"/>
              <c:layout>
                <c:manualLayout>
                  <c:x val="4.1055720371104918E-3"/>
                  <c:y val="-7.5273241867980775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175-DD9C-4DAB-B592-189BCC533B20}"/>
                </c:ext>
              </c:extLst>
            </c:dLbl>
            <c:dLbl>
              <c:idx val="322"/>
              <c:layout>
                <c:manualLayout>
                  <c:x val="4.1055720371104918E-3"/>
                  <c:y val="-0.11702397736570637"/>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176-DD9C-4DAB-B592-189BCC533B20}"/>
                </c:ext>
              </c:extLst>
            </c:dLbl>
            <c:dLbl>
              <c:idx val="323"/>
              <c:layout>
                <c:manualLayout>
                  <c:x val="6.8426200618508203E-3"/>
                  <c:y val="-7.9375345619352347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177-DD9C-4DAB-B592-189BCC533B20}"/>
                </c:ext>
              </c:extLst>
            </c:dLbl>
            <c:dLbl>
              <c:idx val="324"/>
              <c:layout>
                <c:manualLayout>
                  <c:x val="2.737048024740328E-3"/>
                  <c:y val="-8.5611589742898023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178-DD9C-4DAB-B592-189BCC533B20}"/>
                </c:ext>
              </c:extLst>
            </c:dLbl>
            <c:dLbl>
              <c:idx val="325"/>
              <c:layout>
                <c:manualLayout>
                  <c:x val="5.473341744906708E-3"/>
                  <c:y val="-4.2561054003080363E-3"/>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179-DD9C-4DAB-B592-189BCC533B20}"/>
                </c:ext>
              </c:extLst>
            </c:dLbl>
            <c:dLbl>
              <c:idx val="326"/>
              <c:layout>
                <c:manualLayout>
                  <c:x val="2.7408195476090647E-3"/>
                  <c:y val="-6.6521472946797028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17A-DD9C-4DAB-B592-189BCC533B20}"/>
                </c:ext>
              </c:extLst>
            </c:dLbl>
            <c:dLbl>
              <c:idx val="327"/>
              <c:layout>
                <c:manualLayout>
                  <c:x val="1.0948192098961211E-2"/>
                  <c:y val="-0.18398409176129021"/>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17B-DD9C-4DAB-B592-189BCC533B20}"/>
                </c:ext>
              </c:extLst>
            </c:dLbl>
            <c:dLbl>
              <c:idx val="328"/>
              <c:layout>
                <c:manualLayout>
                  <c:x val="4.1055720371104918E-3"/>
                  <c:y val="-7.7579153310122453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17C-DD9C-4DAB-B592-189BCC533B20}"/>
                </c:ext>
              </c:extLst>
            </c:dLbl>
            <c:dLbl>
              <c:idx val="329"/>
              <c:layout>
                <c:manualLayout>
                  <c:x val="6.8426200618508203E-3"/>
                  <c:y val="-6.0646211320865388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17D-DD9C-4DAB-B592-189BCC533B20}"/>
                </c:ext>
              </c:extLst>
            </c:dLbl>
            <c:dLbl>
              <c:idx val="330"/>
              <c:layout>
                <c:manualLayout>
                  <c:x val="9.5789137820174002E-3"/>
                  <c:y val="-7.9138749068956529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17E-DD9C-4DAB-B592-189BCC533B20}"/>
                </c:ext>
              </c:extLst>
            </c:dLbl>
            <c:dLbl>
              <c:idx val="331"/>
              <c:layout>
                <c:manualLayout>
                  <c:x val="2.7362937201665808E-3"/>
                  <c:y val="-5.4573676215152807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17F-DD9C-4DAB-B592-189BCC533B20}"/>
                </c:ext>
              </c:extLst>
            </c:dLbl>
            <c:dLbl>
              <c:idx val="332"/>
              <c:layout>
                <c:manualLayout>
                  <c:x val="4.1036323967779988E-3"/>
                  <c:y val="-6.5016172641113465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180-DD9C-4DAB-B592-189BCC533B20}"/>
                </c:ext>
              </c:extLst>
            </c:dLbl>
            <c:dLbl>
              <c:idx val="333"/>
              <c:layout>
                <c:manualLayout>
                  <c:x val="4.1039556701667479E-3"/>
                  <c:y val="-4.6494348254656204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181-DD9C-4DAB-B592-189BCC533B20}"/>
                </c:ext>
              </c:extLst>
            </c:dLbl>
            <c:dLbl>
              <c:idx val="334"/>
              <c:layout>
                <c:manualLayout>
                  <c:x val="1.3647524895012266E-3"/>
                  <c:y val="-6.3263745757756396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182-DD9C-4DAB-B592-189BCC533B20}"/>
                </c:ext>
              </c:extLst>
            </c:dLbl>
            <c:dLbl>
              <c:idx val="335"/>
              <c:layout>
                <c:manualLayout>
                  <c:x val="-1.508609147494669E-6"/>
                  <c:y val="-5.6691198888029121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183-DD9C-4DAB-B592-189BCC533B20}"/>
                </c:ext>
              </c:extLst>
            </c:dLbl>
            <c:dLbl>
              <c:idx val="336"/>
              <c:layout>
                <c:manualLayout>
                  <c:x val="1.0944511056464485E-2"/>
                  <c:y val="-0.18439929813773948"/>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184-DD9C-4DAB-B592-189BCC533B20}"/>
                </c:ext>
              </c:extLst>
            </c:dLbl>
            <c:dLbl>
              <c:idx val="337"/>
              <c:layout>
                <c:manualLayout>
                  <c:x val="1.3678996406181696E-2"/>
                  <c:y val="-8.1922743910931031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185-DD9C-4DAB-B592-189BCC533B20}"/>
                </c:ext>
              </c:extLst>
            </c:dLbl>
            <c:dLbl>
              <c:idx val="338"/>
              <c:layout>
                <c:manualLayout>
                  <c:x val="2.7385566338878225E-3"/>
                  <c:y val="-0.1215358823410457"/>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186-DD9C-4DAB-B592-189BCC533B20}"/>
                </c:ext>
              </c:extLst>
            </c:dLbl>
            <c:dLbl>
              <c:idx val="339"/>
              <c:layout>
                <c:manualLayout>
                  <c:x val="1.508609147494669E-6"/>
                  <c:y val="-0.14244083070727068"/>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187-DD9C-4DAB-B592-189BCC533B20}"/>
                </c:ext>
              </c:extLst>
            </c:dLbl>
            <c:dLbl>
              <c:idx val="340"/>
              <c:layout>
                <c:manualLayout>
                  <c:x val="1.370751732956357E-3"/>
                  <c:y val="-6.1252531227023926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188-DD9C-4DAB-B592-189BCC533B20}"/>
                </c:ext>
              </c:extLst>
            </c:dLbl>
            <c:dLbl>
              <c:idx val="341"/>
              <c:layout>
                <c:manualLayout>
                  <c:x val="1.3713978060434753E-3"/>
                  <c:y val="-8.20953014675984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189-DD9C-4DAB-B592-189BCC533B20}"/>
                </c:ext>
              </c:extLst>
            </c:dLbl>
            <c:dLbl>
              <c:idx val="342"/>
              <c:layout>
                <c:manualLayout>
                  <c:x val="2.7350006266113843E-3"/>
                  <c:y val="-0.12704774067570204"/>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18A-DD9C-4DAB-B592-189BCC533B20}"/>
                </c:ext>
              </c:extLst>
            </c:dLbl>
            <c:dLbl>
              <c:idx val="343"/>
              <c:layout>
                <c:manualLayout>
                  <c:x val="6.8420812728695714E-3"/>
                  <c:y val="-0.13435623773313524"/>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18B-DD9C-4DAB-B592-189BCC533B20}"/>
                </c:ext>
              </c:extLst>
            </c:dLbl>
            <c:dLbl>
              <c:idx val="344"/>
              <c:layout>
                <c:manualLayout>
                  <c:x val="1.3712901271955387E-3"/>
                  <c:y val="-4.6533666859717729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18C-DD9C-4DAB-B592-189BCC533B20}"/>
                </c:ext>
              </c:extLst>
            </c:dLbl>
            <c:dLbl>
              <c:idx val="345"/>
              <c:layout>
                <c:manualLayout>
                  <c:x val="2.735042735042735E-3"/>
                  <c:y val="-0.13022743049137644"/>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18D-DD9C-4DAB-B592-189BCC533B20}"/>
                </c:ext>
              </c:extLst>
            </c:dLbl>
            <c:dLbl>
              <c:idx val="346"/>
              <c:layout>
                <c:manualLayout>
                  <c:x val="4.1040716064338111E-3"/>
                  <c:y val="-0.19114068487917885"/>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18E-DD9C-4DAB-B592-189BCC533B20}"/>
                </c:ext>
              </c:extLst>
            </c:dLbl>
            <c:dLbl>
              <c:idx val="347"/>
              <c:layout>
                <c:manualLayout>
                  <c:x val="-1.3675541922040177E-3"/>
                  <c:y val="-0.1328555443143858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18F-DD9C-4DAB-B592-189BCC533B20}"/>
                </c:ext>
              </c:extLst>
            </c:dLbl>
            <c:dLbl>
              <c:idx val="348"/>
              <c:layout>
                <c:manualLayout>
                  <c:x val="1.3692783169439113E-3"/>
                  <c:y val="-0.1180756638400673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190-DD9C-4DAB-B592-189BCC533B20}"/>
                </c:ext>
              </c:extLst>
            </c:dLbl>
            <c:dLbl>
              <c:idx val="349"/>
              <c:layout>
                <c:manualLayout>
                  <c:x val="2.7359704467778316E-3"/>
                  <c:y val="-5.3337385200079489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191-DD9C-4DAB-B592-189BCC533B20}"/>
                </c:ext>
              </c:extLst>
            </c:dLbl>
            <c:dLbl>
              <c:idx val="350"/>
              <c:layout>
                <c:manualLayout>
                  <c:x val="4.10611082609164E-3"/>
                  <c:y val="-0.13483650569600444"/>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192-DD9C-4DAB-B592-189BCC533B20}"/>
                </c:ext>
              </c:extLst>
            </c:dLbl>
            <c:dLbl>
              <c:idx val="351"/>
              <c:layout>
                <c:manualLayout>
                  <c:x val="-5.3878898124809603E-7"/>
                  <c:y val="-0.1869843268770555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193-DD9C-4DAB-B592-189BCC533B20}"/>
                </c:ext>
              </c:extLst>
            </c:dLbl>
            <c:dLbl>
              <c:idx val="352"/>
              <c:layout>
                <c:manualLayout>
                  <c:x val="4.1020257083249209E-3"/>
                  <c:y val="-0.13712370460734663"/>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194-DD9C-4DAB-B592-189BCC533B20}"/>
                </c:ext>
              </c:extLst>
            </c:dLbl>
            <c:dLbl>
              <c:idx val="353"/>
              <c:layout>
                <c:manualLayout>
                  <c:x val="-6.8334073625412207E-3"/>
                  <c:y val="-0.18325812559815"/>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195-DD9C-4DAB-B592-189BCC533B20}"/>
                </c:ext>
              </c:extLst>
            </c:dLbl>
            <c:dLbl>
              <c:idx val="354"/>
              <c:layout>
                <c:manualLayout>
                  <c:x val="2.7370480247402274E-3"/>
                  <c:y val="-0.14369785271354699"/>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196-DD9C-4DAB-B592-189BCC533B20}"/>
                </c:ext>
              </c:extLst>
            </c:dLbl>
            <c:dLbl>
              <c:idx val="355"/>
              <c:layout>
                <c:manualLayout>
                  <c:x val="4.1065418572767383E-3"/>
                  <c:y val="-0.1436419119436341"/>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197-DD9C-4DAB-B592-189BCC533B20}"/>
                </c:ext>
              </c:extLst>
            </c:dLbl>
            <c:dLbl>
              <c:idx val="356"/>
              <c:layout>
                <c:manualLayout>
                  <c:x val="2.7390954228689703E-3"/>
                  <c:y val="-9.9824361891775168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198-DD9C-4DAB-B592-189BCC533B20}"/>
                </c:ext>
              </c:extLst>
            </c:dLbl>
            <c:dLbl>
              <c:idx val="357"/>
              <c:layout>
                <c:manualLayout>
                  <c:x val="4.1055720371104918E-3"/>
                  <c:y val="-0.16490006482645894"/>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199-DD9C-4DAB-B592-189BCC533B20}"/>
                </c:ext>
              </c:extLst>
            </c:dLbl>
            <c:dLbl>
              <c:idx val="358"/>
              <c:layout>
                <c:manualLayout>
                  <c:x val="2.7350086711117336E-3"/>
                  <c:y val="-0.18154044679696876"/>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19A-DD9C-4DAB-B592-189BCC533B20}"/>
                </c:ext>
              </c:extLst>
            </c:dLbl>
            <c:dLbl>
              <c:idx val="359"/>
              <c:layout>
                <c:manualLayout>
                  <c:x val="1.368524012370164E-3"/>
                  <c:y val="-0.18769454719548703"/>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19B-DD9C-4DAB-B592-189BCC533B20}"/>
                </c:ext>
              </c:extLst>
            </c:dLbl>
            <c:dLbl>
              <c:idx val="360"/>
              <c:layout>
                <c:manualLayout>
                  <c:x val="2.7371557825365774E-3"/>
                  <c:y val="-0.20482696450410071"/>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19C-DD9C-4DAB-B592-189BCC533B20}"/>
                </c:ext>
              </c:extLst>
            </c:dLbl>
            <c:dLbl>
              <c:idx val="361"/>
              <c:layout>
                <c:manualLayout>
                  <c:x val="2.7389876650728211E-3"/>
                  <c:y val="-0.20079034435986237"/>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19D-DD9C-4DAB-B592-189BCC533B20}"/>
                </c:ext>
              </c:extLst>
            </c:dLbl>
            <c:dLbl>
              <c:idx val="362"/>
              <c:layout>
                <c:manualLayout>
                  <c:x val="1.508609147494669E-6"/>
                  <c:y val="-0.20283004354988937"/>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19E-DD9C-4DAB-B592-189BCC533B20}"/>
                </c:ext>
              </c:extLst>
            </c:dLbl>
            <c:dLbl>
              <c:idx val="363"/>
              <c:layout>
                <c:manualLayout>
                  <c:x val="1.5080194319075368E-6"/>
                  <c:y val="-0.19852859467723111"/>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19F-DD9C-4DAB-B592-189BCC533B20}"/>
                </c:ext>
              </c:extLst>
            </c:dLbl>
            <c:dLbl>
              <c:idx val="364"/>
              <c:layout>
                <c:manualLayout>
                  <c:x val="5.474069587455414E-3"/>
                  <c:y val="-0.19273239368096548"/>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1A0-DD9C-4DAB-B592-189BCC533B20}"/>
                </c:ext>
              </c:extLst>
            </c:dLbl>
            <c:dLbl>
              <c:idx val="365"/>
              <c:layout>
                <c:manualLayout>
                  <c:x val="4.1037401545742482E-3"/>
                  <c:y val="-0.19475746138811759"/>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1A1-DD9C-4DAB-B592-189BCC533B20}"/>
                </c:ext>
              </c:extLst>
            </c:dLbl>
            <c:dLbl>
              <c:idx val="366"/>
              <c:layout>
                <c:manualLayout>
                  <c:x val="6.8435898820170668E-3"/>
                  <c:y val="-0.19482804547721344"/>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1A2-DD9C-4DAB-B592-189BCC533B20}"/>
                </c:ext>
              </c:extLst>
            </c:dLbl>
            <c:dLbl>
              <c:idx val="367"/>
              <c:layout>
                <c:manualLayout>
                  <c:x val="2.7346855240906105E-3"/>
                  <c:y val="-0.19483405388522676"/>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1A3-DD9C-4DAB-B592-189BCC533B20}"/>
                </c:ext>
              </c:extLst>
            </c:dLbl>
            <c:dLbl>
              <c:idx val="368"/>
              <c:layout>
                <c:manualLayout>
                  <c:x val="2.7261053906722193E-3"/>
                  <c:y val="-0.11155997519089464"/>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1A4-DD9C-4DAB-B592-189BCC533B20}"/>
                </c:ext>
              </c:extLst>
            </c:dLbl>
            <c:dLbl>
              <c:idx val="369"/>
              <c:layout>
                <c:manualLayout>
                  <c:x val="4.1047176795208293E-3"/>
                  <c:y val="-0.19482902665335847"/>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1A5-DD9C-4DAB-B592-189BCC533B20}"/>
                </c:ext>
              </c:extLst>
            </c:dLbl>
            <c:dLbl>
              <c:idx val="370"/>
              <c:layout>
                <c:manualLayout>
                  <c:x val="2.7381256027027238E-3"/>
                  <c:y val="-0.19264503919720388"/>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1A6-DD9C-4DAB-B592-189BCC533B20}"/>
                </c:ext>
              </c:extLst>
            </c:dLbl>
            <c:dLbl>
              <c:idx val="371"/>
              <c:layout>
                <c:manualLayout>
                  <c:x val="1.3679852233889158E-3"/>
                  <c:y val="-0.1927774871965563"/>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1A7-DD9C-4DAB-B592-189BCC533B20}"/>
                </c:ext>
              </c:extLst>
            </c:dLbl>
            <c:dLbl>
              <c:idx val="372"/>
              <c:layout>
                <c:manualLayout>
                  <c:x val="-3.2314702112304361E-6"/>
                  <c:y val="-0.1929160159781698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1A8-DD9C-4DAB-B592-189BCC533B20}"/>
                </c:ext>
              </c:extLst>
            </c:dLbl>
            <c:dLbl>
              <c:idx val="373"/>
              <c:layout>
                <c:manualLayout>
                  <c:x val="1.3675213675212673E-3"/>
                  <c:y val="-0.18553448424580737"/>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1A9-DD9C-4DAB-B592-189BCC533B20}"/>
                </c:ext>
              </c:extLst>
            </c:dLbl>
            <c:dLbl>
              <c:idx val="374"/>
              <c:layout>
                <c:manualLayout>
                  <c:x val="1.3655831482603136E-3"/>
                  <c:y val="-0.17161394731761817"/>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1AA-DD9C-4DAB-B592-189BCC533B20}"/>
                </c:ext>
              </c:extLst>
            </c:dLbl>
            <c:dLbl>
              <c:idx val="375"/>
              <c:layout>
                <c:manualLayout>
                  <c:x val="2.7340308064453386E-3"/>
                  <c:y val="-0.19039282729675638"/>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1AB-DD9C-4DAB-B592-189BCC533B20}"/>
                </c:ext>
              </c:extLst>
            </c:dLbl>
            <c:dLbl>
              <c:idx val="376"/>
              <c:layout>
                <c:manualLayout>
                  <c:x val="1.2930935549954304E-6"/>
                  <c:y val="-0.1867928120059422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1AC-DD9C-4DAB-B592-189BCC533B20}"/>
                </c:ext>
              </c:extLst>
            </c:dLbl>
            <c:dLbl>
              <c:idx val="377"/>
              <c:layout>
                <c:manualLayout>
                  <c:x val="-3.0160388638150736E-6"/>
                  <c:y val="-0.16558923610540335"/>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1AD-DD9C-4DAB-B592-189BCC533B20}"/>
                </c:ext>
              </c:extLst>
            </c:dLbl>
            <c:dLbl>
              <c:idx val="378"/>
              <c:layout>
                <c:manualLayout>
                  <c:x val="1.3675213675212673E-3"/>
                  <c:y val="-0.16924213111858674"/>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1AE-DD9C-4DAB-B592-189BCC533B20}"/>
                </c:ext>
              </c:extLst>
            </c:dLbl>
            <c:dLbl>
              <c:idx val="379"/>
              <c:layout>
                <c:manualLayout>
                  <c:x val="1.3706089913370152E-3"/>
                  <c:y val="-0.16811632507720656"/>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1AF-DD9C-4DAB-B592-189BCC533B20}"/>
                </c:ext>
              </c:extLst>
            </c:dLbl>
            <c:dLbl>
              <c:idx val="381"/>
              <c:layout>
                <c:manualLayout>
                  <c:x val="2.730474799169001E-3"/>
                  <c:y val="-0.16813426179655103"/>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1B0-DD9C-4DAB-B592-189BCC533B20}"/>
                </c:ext>
              </c:extLst>
            </c:dLbl>
            <c:dLbl>
              <c:idx val="382"/>
              <c:layout>
                <c:manualLayout>
                  <c:x val="1.3585025373189495E-3"/>
                  <c:y val="-0.15136091553322167"/>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1B1-DD9C-4DAB-B592-189BCC533B20}"/>
                </c:ext>
              </c:extLst>
            </c:dLbl>
            <c:dLbl>
              <c:idx val="383"/>
              <c:layout>
                <c:manualLayout>
                  <c:x val="1.3662656053080278E-3"/>
                  <c:y val="-0.14771505597290943"/>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1B2-DD9C-4DAB-B592-189BCC533B20}"/>
                </c:ext>
              </c:extLst>
            </c:dLbl>
            <c:dLbl>
              <c:idx val="384"/>
              <c:layout>
                <c:manualLayout>
                  <c:x val="5.474069587455414E-3"/>
                  <c:y val="-0.13645303726705524"/>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1B3-DD9C-4DAB-B592-189BCC533B20}"/>
                </c:ext>
              </c:extLst>
            </c:dLbl>
            <c:dLbl>
              <c:idx val="385"/>
              <c:layout>
                <c:manualLayout>
                  <c:x val="2.728582004172355E-3"/>
                  <c:y val="-0.12417548745373964"/>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1B4-DD9C-4DAB-B592-189BCC533B20}"/>
                </c:ext>
              </c:extLst>
            </c:dLbl>
            <c:dLbl>
              <c:idx val="386"/>
              <c:layout>
                <c:manualLayout>
                  <c:x val="1.3582870217262494E-3"/>
                  <c:y val="-0.1201280482862584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1B5-DD9C-4DAB-B592-189BCC533B20}"/>
                </c:ext>
              </c:extLst>
            </c:dLbl>
            <c:dLbl>
              <c:idx val="387"/>
              <c:layout>
                <c:manualLayout>
                  <c:x val="2.7281852180752325E-3"/>
                  <c:y val="-0.16975363767201498"/>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1B6-DD9C-4DAB-B592-189BCC533B20}"/>
                </c:ext>
              </c:extLst>
            </c:dLbl>
            <c:dLbl>
              <c:idx val="388"/>
              <c:layout>
                <c:manualLayout>
                  <c:x val="2.7325941890622677E-3"/>
                  <c:y val="-0.10694236368308396"/>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1B7-DD9C-4DAB-B592-189BCC533B20}"/>
                </c:ext>
              </c:extLst>
            </c:dLbl>
            <c:dLbl>
              <c:idx val="389"/>
              <c:layout>
                <c:manualLayout>
                  <c:x val="2.731641581337165E-3"/>
                  <c:y val="-0.10102465303604385"/>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1B8-DD9C-4DAB-B592-189BCC533B20}"/>
                </c:ext>
              </c:extLst>
            </c:dLbl>
            <c:dLbl>
              <c:idx val="390"/>
              <c:layout>
                <c:manualLayout>
                  <c:x val="6.8348608692965539E-3"/>
                  <c:y val="-7.4031876751939188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1B9-DD9C-4DAB-B592-189BCC533B20}"/>
                </c:ext>
              </c:extLst>
            </c:dLbl>
            <c:dLbl>
              <c:idx val="391"/>
              <c:layout>
                <c:manualLayout>
                  <c:x val="4.0950260315821179E-3"/>
                  <c:y val="-5.7214278654498733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1BA-DD9C-4DAB-B592-189BCC533B20}"/>
                </c:ext>
              </c:extLst>
            </c:dLbl>
            <c:dLbl>
              <c:idx val="392"/>
              <c:layout>
                <c:manualLayout>
                  <c:x val="9.5656413353634295E-3"/>
                  <c:y val="-0.16710887482274051"/>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1BB-DD9C-4DAB-B592-189BCC533B20}"/>
                </c:ext>
              </c:extLst>
            </c:dLbl>
            <c:dLbl>
              <c:idx val="393"/>
              <c:layout>
                <c:manualLayout>
                  <c:x val="4.1007441724636865E-3"/>
                  <c:y val="-5.3106667461993225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1BC-DD9C-4DAB-B592-189BCC533B20}"/>
                </c:ext>
              </c:extLst>
            </c:dLbl>
            <c:dLbl>
              <c:idx val="394"/>
              <c:layout>
                <c:manualLayout>
                  <c:x val="6.8308777246727714E-3"/>
                  <c:y val="-4.6290468494057643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1BD-DD9C-4DAB-B592-189BCC533B20}"/>
                </c:ext>
              </c:extLst>
            </c:dLbl>
            <c:dLbl>
              <c:idx val="395"/>
              <c:layout>
                <c:manualLayout>
                  <c:x val="2.7335312594122456E-3"/>
                  <c:y val="-3.1956149309788233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1BE-DD9C-4DAB-B592-189BCC533B20}"/>
                </c:ext>
              </c:extLst>
            </c:dLbl>
            <c:dLbl>
              <c:idx val="396"/>
              <c:layout>
                <c:manualLayout>
                  <c:x val="4.0934136047733032E-3"/>
                  <c:y val="-3.6481787738915236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1BF-DD9C-4DAB-B592-189BCC533B20}"/>
                </c:ext>
              </c:extLst>
            </c:dLbl>
            <c:dLbl>
              <c:idx val="397"/>
              <c:layout>
                <c:manualLayout>
                  <c:x val="6.8258663163521163E-3"/>
                  <c:y val="-0.16607113765951673"/>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1C0-DD9C-4DAB-B592-189BCC533B20}"/>
                </c:ext>
              </c:extLst>
            </c:dLbl>
            <c:dLbl>
              <c:idx val="398"/>
              <c:layout>
                <c:manualLayout>
                  <c:x val="6.8285527768599035E-3"/>
                  <c:y val="-2.5793695850714584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1C1-DD9C-4DAB-B592-189BCC533B20}"/>
                </c:ext>
              </c:extLst>
            </c:dLbl>
            <c:dLbl>
              <c:idx val="399"/>
              <c:layout>
                <c:manualLayout>
                  <c:x val="4.104079772929336E-3"/>
                  <c:y val="-7.5659777754562438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1C2-DD9C-4DAB-B592-189BCC533B20}"/>
                </c:ext>
              </c:extLst>
            </c:dLbl>
            <c:dLbl>
              <c:idx val="400"/>
              <c:layout>
                <c:manualLayout>
                  <c:x val="5.4682116531094421E-3"/>
                  <c:y val="-2.3435429460862345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1C3-DD9C-4DAB-B592-189BCC533B20}"/>
                </c:ext>
              </c:extLst>
            </c:dLbl>
            <c:dLbl>
              <c:idx val="401"/>
              <c:layout>
                <c:manualLayout>
                  <c:x val="9.566867470981984E-3"/>
                  <c:y val="-1.7488779173406535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1C4-DD9C-4DAB-B592-189BCC533B20}"/>
                </c:ext>
              </c:extLst>
            </c:dLbl>
            <c:dLbl>
              <c:idx val="402"/>
              <c:layout>
                <c:manualLayout>
                  <c:x val="4.1033088077105113E-3"/>
                  <c:y val="-6.1749579942674528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1C5-DD9C-4DAB-B592-189BCC533B20}"/>
                </c:ext>
              </c:extLst>
            </c:dLbl>
            <c:dLbl>
              <c:idx val="404"/>
              <c:layout>
                <c:manualLayout>
                  <c:x val="4.1014547843649298E-3"/>
                  <c:y val="-0.16184773736846331"/>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1C6-DD9C-4DAB-B592-189BCC533B20}"/>
                </c:ext>
              </c:extLst>
            </c:dLbl>
            <c:dLbl>
              <c:idx val="405"/>
              <c:layout>
                <c:manualLayout>
                  <c:x val="1.370202317340934E-3"/>
                  <c:y val="-9.4921465537810903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1C7-DD9C-4DAB-B592-189BCC533B20}"/>
                </c:ext>
              </c:extLst>
            </c:dLbl>
            <c:dLbl>
              <c:idx val="406"/>
              <c:layout>
                <c:manualLayout>
                  <c:x val="2.7373957989130582E-3"/>
                  <c:y val="-0.16819901430816445"/>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1C8-DD9C-4DAB-B592-189BCC533B20}"/>
                </c:ext>
              </c:extLst>
            </c:dLbl>
            <c:dLbl>
              <c:idx val="407"/>
              <c:layout>
                <c:manualLayout>
                  <c:x val="2.7325601699990207E-3"/>
                  <c:y val="-0.17017368910390904"/>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1C9-DD9C-4DAB-B592-189BCC533B20}"/>
                </c:ext>
              </c:extLst>
            </c:dLbl>
            <c:dLbl>
              <c:idx val="408"/>
              <c:layout>
                <c:manualLayout>
                  <c:x val="2.7323947814421111E-3"/>
                  <c:y val="-0.15693122149965413"/>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1CA-DD9C-4DAB-B592-189BCC533B20}"/>
                </c:ext>
              </c:extLst>
            </c:dLbl>
            <c:dLbl>
              <c:idx val="409"/>
              <c:layout>
                <c:manualLayout>
                  <c:x val="1.3641732073667223E-3"/>
                  <c:y val="-0.1491393818256109"/>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1CB-DD9C-4DAB-B592-189BCC533B20}"/>
                </c:ext>
              </c:extLst>
            </c:dLbl>
            <c:dLbl>
              <c:idx val="410"/>
              <c:layout>
                <c:manualLayout>
                  <c:x val="2.5836613775888691E-6"/>
                  <c:y val="-0.1345187248111050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1CC-DD9C-4DAB-B592-189BCC533B20}"/>
                </c:ext>
              </c:extLst>
            </c:dLbl>
            <c:dLbl>
              <c:idx val="411"/>
              <c:layout>
                <c:manualLayout>
                  <c:x val="2.7342673053908201E-3"/>
                  <c:y val="-0.13423290274095445"/>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1CD-DD9C-4DAB-B592-189BCC533B20}"/>
                </c:ext>
              </c:extLst>
            </c:dLbl>
            <c:dLbl>
              <c:idx val="412"/>
              <c:layout>
                <c:manualLayout>
                  <c:x val="4.1036078355129206E-3"/>
                  <c:y val="-0.1237456091162058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1CE-DD9C-4DAB-B592-189BCC533B20}"/>
                </c:ext>
              </c:extLst>
            </c:dLbl>
            <c:dLbl>
              <c:idx val="413"/>
              <c:layout>
                <c:manualLayout>
                  <c:x val="-5.0596701977782016E-6"/>
                  <c:y val="-0.11144387342372924"/>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1CF-DD9C-4DAB-B592-189BCC533B20}"/>
                </c:ext>
              </c:extLst>
            </c:dLbl>
            <c:dLbl>
              <c:idx val="415"/>
              <c:layout>
                <c:manualLayout>
                  <c:x val="5.4733789758646192E-3"/>
                  <c:y val="-9.8422961875758413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1D0-DD9C-4DAB-B592-189BCC533B20}"/>
                </c:ext>
              </c:extLst>
            </c:dLbl>
            <c:dLbl>
              <c:idx val="418"/>
              <c:layout>
                <c:manualLayout>
                  <c:x val="5.4700274926225015E-3"/>
                  <c:y val="-0.10304711257083124"/>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1D1-DD9C-4DAB-B592-189BCC533B20}"/>
                </c:ext>
              </c:extLst>
            </c:dLbl>
            <c:dLbl>
              <c:idx val="419"/>
              <c:layout>
                <c:manualLayout>
                  <c:x val="4.1035690942747682E-3"/>
                  <c:y val="-0.10074844855817436"/>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1D2-DD9C-4DAB-B592-189BCC533B20}"/>
                </c:ext>
              </c:extLst>
            </c:dLbl>
            <c:dLbl>
              <c:idx val="422"/>
              <c:layout>
                <c:manualLayout>
                  <c:x val="4.1055720371104918E-3"/>
                  <c:y val="-7.7899661015387492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1D3-DD9C-4DAB-B592-189BCC533B20}"/>
                </c:ext>
              </c:extLst>
            </c:dLbl>
            <c:dLbl>
              <c:idx val="423"/>
              <c:layout>
                <c:manualLayout>
                  <c:x val="4.1055720371104918E-3"/>
                  <c:y val="-6.9541451863707887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1D4-DD9C-4DAB-B592-189BCC533B20}"/>
                </c:ext>
              </c:extLst>
            </c:dLbl>
            <c:dLbl>
              <c:idx val="424"/>
              <c:layout>
                <c:manualLayout>
                  <c:x val="6.842620061850619E-3"/>
                  <c:y val="-6.536234728786823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1D5-DD9C-4DAB-B592-189BCC533B20}"/>
                </c:ext>
              </c:extLst>
            </c:dLbl>
            <c:dLbl>
              <c:idx val="426"/>
              <c:layout>
                <c:manualLayout>
                  <c:x val="1.0948192098961312E-2"/>
                  <c:y val="-6.1183242712028268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1D6-DD9C-4DAB-B592-189BCC533B20}"/>
                </c:ext>
              </c:extLst>
            </c:dLbl>
            <c:dLbl>
              <c:idx val="427"/>
              <c:layout>
                <c:manualLayout>
                  <c:x val="2.737048024740328E-3"/>
                  <c:y val="-5.2825033560348657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1D7-DD9C-4DAB-B592-189BCC533B20}"/>
                </c:ext>
              </c:extLst>
            </c:dLbl>
            <c:dLbl>
              <c:idx val="428"/>
              <c:layout>
                <c:manualLayout>
                  <c:x val="2.737048024740328E-3"/>
                  <c:y val="-4.0287719832829236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1D8-DD9C-4DAB-B592-189BCC533B20}"/>
                </c:ext>
              </c:extLst>
            </c:dLbl>
            <c:dLbl>
              <c:idx val="430"/>
              <c:layout>
                <c:manualLayout>
                  <c:x val="4.1055720371103912E-3"/>
                  <c:y val="-9.8795183894586525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1D9-DD9C-4DAB-B592-189BCC533B20}"/>
                </c:ext>
              </c:extLst>
            </c:dLbl>
            <c:dLbl>
              <c:idx val="432"/>
              <c:layout>
                <c:manualLayout>
                  <c:x val="5.474096049480656E-3"/>
                  <c:y val="-3.4019062969069529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1DA-DD9C-4DAB-B592-189BCC533B20}"/>
                </c:ext>
              </c:extLst>
            </c:dLbl>
            <c:dLbl>
              <c:idx val="433"/>
              <c:layout>
                <c:manualLayout>
                  <c:x val="4.1055720371104918E-3"/>
                  <c:y val="-0.13013846821338507"/>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1DB-DD9C-4DAB-B592-189BCC533B20}"/>
                </c:ext>
              </c:extLst>
            </c:dLbl>
            <c:dLbl>
              <c:idx val="434"/>
              <c:layout>
                <c:manualLayout>
                  <c:x val="4.1055720371103912E-3"/>
                  <c:y val="-9.4616079318746729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1DC-DD9C-4DAB-B592-189BCC533B20}"/>
                </c:ext>
              </c:extLst>
            </c:dLbl>
            <c:dLbl>
              <c:idx val="435"/>
              <c:layout>
                <c:manualLayout>
                  <c:x val="2.737048024740328E-3"/>
                  <c:y val="-2.7750406105309815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1DD-DD9C-4DAB-B592-189BCC533B20}"/>
                </c:ext>
              </c:extLst>
            </c:dLbl>
            <c:dLbl>
              <c:idx val="436"/>
              <c:layout>
                <c:manualLayout>
                  <c:x val="6.8426200618508203E-3"/>
                  <c:y val="-2.7750406105309815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1DE-DD9C-4DAB-B592-189BCC533B20}"/>
                </c:ext>
              </c:extLst>
            </c:dLbl>
            <c:dLbl>
              <c:idx val="437"/>
              <c:layout>
                <c:manualLayout>
                  <c:x val="2.7370480247401272E-3"/>
                  <c:y val="-4.5571490082770949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1DF-DD9C-4DAB-B592-189BCC533B20}"/>
                </c:ext>
              </c:extLst>
            </c:dLbl>
            <c:dLbl>
              <c:idx val="439"/>
              <c:layout>
                <c:manualLayout>
                  <c:x val="6.8426200618508203E-3"/>
                  <c:y val="-4.6556376696588943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1E0-DD9C-4DAB-B592-189BCC533B20}"/>
                </c:ext>
              </c:extLst>
            </c:dLbl>
            <c:dLbl>
              <c:idx val="440"/>
              <c:layout>
                <c:manualLayout>
                  <c:x val="5.474096049480656E-3"/>
                  <c:y val="-4.2377272120748988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1E1-DD9C-4DAB-B592-189BCC533B20}"/>
                </c:ext>
              </c:extLst>
            </c:dLbl>
            <c:dLbl>
              <c:idx val="441"/>
              <c:layout>
                <c:manualLayout>
                  <c:x val="2.7370480247401272E-3"/>
                  <c:y val="-3.8198167544909331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1E2-DD9C-4DAB-B592-189BCC533B20}"/>
                </c:ext>
              </c:extLst>
            </c:dLbl>
            <c:dLbl>
              <c:idx val="442"/>
              <c:layout>
                <c:manualLayout>
                  <c:x val="2.7370480247404282E-3"/>
                  <c:y val="-9.4616079318746729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1E3-DD9C-4DAB-B592-189BCC533B20}"/>
                </c:ext>
              </c:extLst>
            </c:dLbl>
            <c:dLbl>
              <c:idx val="443"/>
              <c:layout>
                <c:manualLayout>
                  <c:x val="5.474096049480656E-3"/>
                  <c:y val="-5.2825033560348657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1E4-DD9C-4DAB-B592-189BCC533B20}"/>
                </c:ext>
              </c:extLst>
            </c:dLbl>
            <c:dLbl>
              <c:idx val="444"/>
              <c:layout>
                <c:manualLayout>
                  <c:x val="4.1055720371103912E-3"/>
                  <c:y val="-0.10088473618250643"/>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1E5-DD9C-4DAB-B592-189BCC533B20}"/>
                </c:ext>
              </c:extLst>
            </c:dLbl>
            <c:dLbl>
              <c:idx val="446"/>
              <c:layout>
                <c:manualLayout>
                  <c:x val="2.737048024740328E-3"/>
                  <c:y val="-9.670563160666662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1E6-DD9C-4DAB-B592-189BCC533B20}"/>
                </c:ext>
              </c:extLst>
            </c:dLbl>
            <c:dLbl>
              <c:idx val="447"/>
              <c:layout>
                <c:manualLayout>
                  <c:x val="5.4740960494804548E-3"/>
                  <c:y val="-8.8347422454987015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1E7-DD9C-4DAB-B592-189BCC533B20}"/>
                </c:ext>
              </c:extLst>
            </c:dLbl>
            <c:dLbl>
              <c:idx val="448"/>
              <c:layout>
                <c:manualLayout>
                  <c:x val="2.7370480247402274E-3"/>
                  <c:y val="-7.1631004151627861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1E8-DD9C-4DAB-B592-189BCC533B20}"/>
                </c:ext>
              </c:extLst>
            </c:dLbl>
            <c:dLbl>
              <c:idx val="450"/>
              <c:layout>
                <c:manualLayout>
                  <c:x val="6.8426200618507196E-3"/>
                  <c:y val="-0.14058622965298459"/>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1E9-DD9C-4DAB-B592-189BCC533B20}"/>
                </c:ext>
              </c:extLst>
            </c:dLbl>
            <c:dLbl>
              <c:idx val="451"/>
              <c:layout>
                <c:manualLayout>
                  <c:x val="5.4740960494804548E-3"/>
                  <c:y val="-7.9989213303307397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1EA-DD9C-4DAB-B592-189BCC533B20}"/>
                </c:ext>
              </c:extLst>
            </c:dLbl>
            <c:dLbl>
              <c:idx val="453"/>
              <c:layout>
                <c:manualLayout>
                  <c:x val="-2.0071453647617104E-16"/>
                  <c:y val="-8.8347422454987015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1EB-DD9C-4DAB-B592-189BCC533B20}"/>
                </c:ext>
              </c:extLst>
            </c:dLbl>
            <c:dLbl>
              <c:idx val="455"/>
              <c:layout>
                <c:manualLayout>
                  <c:x val="6.8426200618508203E-3"/>
                  <c:y val="-7.7899661015387575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1EC-DD9C-4DAB-B592-189BCC533B20}"/>
                </c:ext>
              </c:extLst>
            </c:dLbl>
            <c:dLbl>
              <c:idx val="458"/>
              <c:layout>
                <c:manualLayout>
                  <c:x val="8.2111440742209836E-3"/>
                  <c:y val="-5.909369042410844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1ED-DD9C-4DAB-B592-189BCC533B20}"/>
                </c:ext>
              </c:extLst>
            </c:dLbl>
            <c:dLbl>
              <c:idx val="460"/>
              <c:layout>
                <c:manualLayout>
                  <c:x val="5.474096049480656E-3"/>
                  <c:y val="-7.9989213303307397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1EE-DD9C-4DAB-B592-189BCC533B20}"/>
                </c:ext>
              </c:extLst>
            </c:dLbl>
            <c:dLbl>
              <c:idx val="461"/>
              <c:layout>
                <c:manualLayout>
                  <c:x val="5.474096049480656E-3"/>
                  <c:y val="-0.14894443880466421"/>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1EF-DD9C-4DAB-B592-189BCC533B20}"/>
                </c:ext>
              </c:extLst>
            </c:dLbl>
            <c:dLbl>
              <c:idx val="462"/>
              <c:layout>
                <c:manualLayout>
                  <c:x val="9.5796680865909475E-3"/>
                  <c:y val="-6.3272794999948173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1F0-DD9C-4DAB-B592-189BCC533B20}"/>
                </c:ext>
              </c:extLst>
            </c:dLbl>
            <c:dLbl>
              <c:idx val="463"/>
              <c:layout>
                <c:manualLayout>
                  <c:x val="8.2111440742209836E-3"/>
                  <c:y val="-5.9093690424108287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1F1-DD9C-4DAB-B592-189BCC533B20}"/>
                </c:ext>
              </c:extLst>
            </c:dLbl>
            <c:dLbl>
              <c:idx val="464"/>
              <c:layout>
                <c:manualLayout>
                  <c:x val="6.8426200618507196E-3"/>
                  <c:y val="-0.13222802050130503"/>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1F2-DD9C-4DAB-B592-189BCC533B20}"/>
                </c:ext>
              </c:extLst>
            </c:dLbl>
            <c:dLbl>
              <c:idx val="465"/>
              <c:layout>
                <c:manualLayout>
                  <c:x val="1.2316716111331276E-2"/>
                  <c:y val="-5.0735481272428752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1F3-DD9C-4DAB-B592-189BCC533B20}"/>
                </c:ext>
              </c:extLst>
            </c:dLbl>
            <c:dLbl>
              <c:idx val="467"/>
              <c:layout>
                <c:manualLayout>
                  <c:x val="8.2111440742209836E-3"/>
                  <c:y val="-5.0735481272428676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1F4-DD9C-4DAB-B592-189BCC533B20}"/>
                </c:ext>
              </c:extLst>
            </c:dLbl>
            <c:dLbl>
              <c:idx val="471"/>
              <c:layout>
                <c:manualLayout>
                  <c:x val="4.1055720371104918E-3"/>
                  <c:y val="-0.13849667736506466"/>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1F5-DD9C-4DAB-B592-189BCC533B20}"/>
                </c:ext>
              </c:extLst>
            </c:dLbl>
            <c:dLbl>
              <c:idx val="472"/>
              <c:layout>
                <c:manualLayout>
                  <c:x val="8.2111440742209836E-3"/>
                  <c:y val="-3.4019062969069681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1F6-DD9C-4DAB-B592-189BCC533B20}"/>
                </c:ext>
              </c:extLst>
            </c:dLbl>
            <c:dLbl>
              <c:idx val="476"/>
              <c:layout>
                <c:manualLayout>
                  <c:x val="5.474096049480656E-3"/>
                  <c:y val="-3.1929510681149777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1F7-DD9C-4DAB-B592-189BCC533B20}"/>
                </c:ext>
              </c:extLst>
            </c:dLbl>
            <c:dLbl>
              <c:idx val="478"/>
              <c:layout>
                <c:manualLayout>
                  <c:x val="6.842620061850619E-3"/>
                  <c:y val="-5.7004138136188459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1F8-DD9C-4DAB-B592-189BCC533B20}"/>
                </c:ext>
              </c:extLst>
            </c:dLbl>
            <c:dLbl>
              <c:idx val="479"/>
              <c:layout>
                <c:manualLayout>
                  <c:x val="4.1055720371104918E-3"/>
                  <c:y val="-5.7004138136188459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1F9-DD9C-4DAB-B592-189BCC533B20}"/>
                </c:ext>
              </c:extLst>
            </c:dLbl>
            <c:dLbl>
              <c:idx val="481"/>
              <c:layout>
                <c:manualLayout>
                  <c:x val="2.7370480247402274E-3"/>
                  <c:y val="-0.2011832460026618"/>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1FA-DD9C-4DAB-B592-189BCC533B20}"/>
                </c:ext>
              </c:extLst>
            </c:dLbl>
            <c:dLbl>
              <c:idx val="482"/>
              <c:layout>
                <c:manualLayout>
                  <c:x val="2.7370480247402274E-3"/>
                  <c:y val="-0.14058622965298459"/>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1FB-DD9C-4DAB-B592-189BCC533B20}"/>
                </c:ext>
              </c:extLst>
            </c:dLbl>
            <c:dLbl>
              <c:idx val="483"/>
              <c:layout>
                <c:manualLayout>
                  <c:x val="2.737048024740328E-3"/>
                  <c:y val="-6.1183242712028268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1FC-DD9C-4DAB-B592-189BCC533B20}"/>
                </c:ext>
              </c:extLst>
            </c:dLbl>
            <c:dLbl>
              <c:idx val="484"/>
              <c:layout>
                <c:manualLayout>
                  <c:x val="4.1055720371104918E-3"/>
                  <c:y val="-6.7451899575788135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1FD-DD9C-4DAB-B592-189BCC533B20}"/>
                </c:ext>
              </c:extLst>
            </c:dLbl>
            <c:dLbl>
              <c:idx val="485"/>
              <c:layout>
                <c:manualLayout>
                  <c:x val="4.1055720371103912E-3"/>
                  <c:y val="-7.1631004151627861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1FE-DD9C-4DAB-B592-189BCC533B20}"/>
                </c:ext>
              </c:extLst>
            </c:dLbl>
            <c:dLbl>
              <c:idx val="486"/>
              <c:layout>
                <c:manualLayout>
                  <c:x val="1.3685240123702644E-3"/>
                  <c:y val="-0.19909369371474189"/>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1FF-DD9C-4DAB-B592-189BCC533B20}"/>
                </c:ext>
              </c:extLst>
            </c:dLbl>
            <c:dLbl>
              <c:idx val="488"/>
              <c:layout>
                <c:manualLayout>
                  <c:x val="6.842620061850619E-3"/>
                  <c:y val="-5.0735481272428752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200-DD9C-4DAB-B592-189BCC533B20}"/>
                </c:ext>
              </c:extLst>
            </c:dLbl>
            <c:dLbl>
              <c:idx val="489"/>
              <c:layout>
                <c:manualLayout>
                  <c:x val="4.1055720371104918E-3"/>
                  <c:y val="-0.13849667736506466"/>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201-DD9C-4DAB-B592-189BCC533B20}"/>
                </c:ext>
              </c:extLst>
            </c:dLbl>
            <c:dLbl>
              <c:idx val="490"/>
              <c:layout>
                <c:manualLayout>
                  <c:x val="1.0948192098961312E-2"/>
                  <c:y val="-3.5791233653572459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202-DD9C-4DAB-B592-189BCC533B20}"/>
                </c:ext>
              </c:extLst>
            </c:dLbl>
            <c:dLbl>
              <c:idx val="491"/>
              <c:layout>
                <c:manualLayout>
                  <c:x val="4.1055720371104918E-3"/>
                  <c:y val="-2.7750406105309815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203-DD9C-4DAB-B592-189BCC533B20}"/>
                </c:ext>
              </c:extLst>
            </c:dLbl>
            <c:dLbl>
              <c:idx val="492"/>
              <c:layout>
                <c:manualLayout>
                  <c:x val="2.7370480247402274E-3"/>
                  <c:y val="-0.13849667736506466"/>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204-DD9C-4DAB-B592-189BCC533B20}"/>
                </c:ext>
              </c:extLst>
            </c:dLbl>
            <c:dLbl>
              <c:idx val="495"/>
              <c:layout>
                <c:manualLayout>
                  <c:x val="5.474096049480656E-3"/>
                  <c:y val="-0.1196907067737856"/>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205-DD9C-4DAB-B592-189BCC533B20}"/>
                </c:ext>
              </c:extLst>
            </c:dLbl>
            <c:dLbl>
              <c:idx val="496"/>
              <c:layout>
                <c:manualLayout>
                  <c:x val="6.8426200618508203E-3"/>
                  <c:y val="-0.12386981134962545"/>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206-DD9C-4DAB-B592-189BCC533B20}"/>
                </c:ext>
              </c:extLst>
            </c:dLbl>
            <c:dLbl>
              <c:idx val="498"/>
              <c:layout>
                <c:manualLayout>
                  <c:x val="5.474096049480656E-3"/>
                  <c:y val="-0.19491458913890211"/>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207-DD9C-4DAB-B592-189BCC533B20}"/>
                </c:ext>
              </c:extLst>
            </c:dLbl>
            <c:dLbl>
              <c:idx val="499"/>
              <c:layout>
                <c:manualLayout>
                  <c:x val="6.8426200618508203E-3"/>
                  <c:y val="-0.11342204991002586"/>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208-DD9C-4DAB-B592-189BCC533B20}"/>
                </c:ext>
              </c:extLst>
            </c:dLbl>
            <c:dLbl>
              <c:idx val="500"/>
              <c:layout>
                <c:manualLayout>
                  <c:x val="1.0948192098961312E-2"/>
                  <c:y val="-0.10297428847042633"/>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209-DD9C-4DAB-B592-189BCC533B20}"/>
                </c:ext>
              </c:extLst>
            </c:dLbl>
            <c:dLbl>
              <c:idx val="502"/>
              <c:layout>
                <c:manualLayout>
                  <c:x val="6.8426200618508203E-3"/>
                  <c:y val="-0.11342204991002586"/>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20A-DD9C-4DAB-B592-189BCC533B20}"/>
                </c:ext>
              </c:extLst>
            </c:dLbl>
            <c:dLbl>
              <c:idx val="505"/>
              <c:layout>
                <c:manualLayout>
                  <c:x val="0"/>
                  <c:y val="-0.19700414142682199"/>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20B-DD9C-4DAB-B592-189BCC533B20}"/>
                </c:ext>
              </c:extLst>
            </c:dLbl>
            <c:dLbl>
              <c:idx val="506"/>
              <c:layout>
                <c:manualLayout>
                  <c:x val="2.737048024740328E-3"/>
                  <c:y val="-9.670563160666662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20C-DD9C-4DAB-B592-189BCC533B20}"/>
                </c:ext>
              </c:extLst>
            </c:dLbl>
            <c:dLbl>
              <c:idx val="507"/>
              <c:layout>
                <c:manualLayout>
                  <c:x val="1.368524012370164E-3"/>
                  <c:y val="-8.2078765591227384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20D-DD9C-4DAB-B592-189BCC533B20}"/>
                </c:ext>
              </c:extLst>
            </c:dLbl>
            <c:dLbl>
              <c:idx val="508"/>
              <c:layout>
                <c:manualLayout>
                  <c:x val="-1.0035726823808552E-16"/>
                  <c:y val="-7.581010872746767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20E-DD9C-4DAB-B592-189BCC533B20}"/>
                </c:ext>
              </c:extLst>
            </c:dLbl>
            <c:dLbl>
              <c:idx val="509"/>
              <c:layout>
                <c:manualLayout>
                  <c:x val="6.8426200618508203E-3"/>
                  <c:y val="-8.4168317879147289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20F-DD9C-4DAB-B592-189BCC533B20}"/>
                </c:ext>
              </c:extLst>
            </c:dLbl>
            <c:dLbl>
              <c:idx val="511"/>
              <c:layout>
                <c:manualLayout>
                  <c:x val="4.1055720371105924E-3"/>
                  <c:y val="-7.7899661015387575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210-DD9C-4DAB-B592-189BCC533B20}"/>
                </c:ext>
              </c:extLst>
            </c:dLbl>
            <c:dLbl>
              <c:idx val="512"/>
              <c:layout>
                <c:manualLayout>
                  <c:x val="2.737048024740328E-3"/>
                  <c:y val="-0.19073548456306227"/>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211-DD9C-4DAB-B592-189BCC533B20}"/>
                </c:ext>
              </c:extLst>
            </c:dLbl>
            <c:dLbl>
              <c:idx val="514"/>
              <c:layout>
                <c:manualLayout>
                  <c:x val="5.4740960494807566E-3"/>
                  <c:y val="-7.581010872746767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212-DD9C-4DAB-B592-189BCC533B20}"/>
                </c:ext>
              </c:extLst>
            </c:dLbl>
            <c:dLbl>
              <c:idx val="516"/>
              <c:layout>
                <c:manualLayout>
                  <c:x val="5.474096049480656E-3"/>
                  <c:y val="-5.909369042410844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213-DD9C-4DAB-B592-189BCC533B20}"/>
                </c:ext>
              </c:extLst>
            </c:dLbl>
            <c:dLbl>
              <c:idx val="517"/>
              <c:layout>
                <c:manualLayout>
                  <c:x val="2.737048024740328E-3"/>
                  <c:y val="-5.2825033560348657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214-DD9C-4DAB-B592-189BCC533B20}"/>
                </c:ext>
              </c:extLst>
            </c:dLbl>
            <c:dLbl>
              <c:idx val="518"/>
              <c:layout>
                <c:manualLayout>
                  <c:x val="4.1055720371104918E-3"/>
                  <c:y val="-4.6556376696588866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215-DD9C-4DAB-B592-189BCC533B20}"/>
                </c:ext>
              </c:extLst>
            </c:dLbl>
            <c:dLbl>
              <c:idx val="519"/>
              <c:layout>
                <c:manualLayout>
                  <c:x val="6.8426200618508203E-3"/>
                  <c:y val="-4.237727212074914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216-DD9C-4DAB-B592-189BCC533B20}"/>
                </c:ext>
              </c:extLst>
            </c:dLbl>
            <c:dLbl>
              <c:idx val="520"/>
              <c:layout>
                <c:manualLayout>
                  <c:x val="4.1055720371104918E-3"/>
                  <c:y val="-3.3991750710817975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217-DD9C-4DAB-B592-189BCC533B20}"/>
                </c:ext>
              </c:extLst>
            </c:dLbl>
            <c:dLbl>
              <c:idx val="521"/>
              <c:layout>
                <c:manualLayout>
                  <c:x val="5.474096049480656E-3"/>
                  <c:y val="-0.19488612515891704"/>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218-DD9C-4DAB-B592-189BCC533B20}"/>
                </c:ext>
              </c:extLst>
            </c:dLbl>
            <c:dLbl>
              <c:idx val="522"/>
              <c:layout>
                <c:manualLayout>
                  <c:x val="6.8416502416845737E-3"/>
                  <c:y val="-2.9778423546325622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219-DD9C-4DAB-B592-189BCC533B20}"/>
                </c:ext>
              </c:extLst>
            </c:dLbl>
            <c:dLbl>
              <c:idx val="523"/>
              <c:layout>
                <c:manualLayout>
                  <c:x val="4.1055720371105924E-3"/>
                  <c:y val="-7.1523894030412441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21A-DD9C-4DAB-B592-189BCC533B20}"/>
                </c:ext>
              </c:extLst>
            </c:dLbl>
            <c:dLbl>
              <c:idx val="524"/>
              <c:layout>
                <c:manualLayout>
                  <c:x val="6.8405726637220769E-3"/>
                  <c:y val="-0.19270640951243176"/>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21B-DD9C-4DAB-B592-189BCC533B20}"/>
                </c:ext>
              </c:extLst>
            </c:dLbl>
            <c:dLbl>
              <c:idx val="526"/>
              <c:layout>
                <c:manualLayout>
                  <c:x val="2.7344618376303371E-3"/>
                  <c:y val="-0.19050201411451437"/>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21C-DD9C-4DAB-B592-189BCC533B20}"/>
                </c:ext>
              </c:extLst>
            </c:dLbl>
            <c:dLbl>
              <c:idx val="527"/>
              <c:layout>
                <c:manualLayout>
                  <c:x val="5.4720486513519136E-3"/>
                  <c:y val="-5.0473546843895802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21D-DD9C-4DAB-B592-189BCC533B20}"/>
                </c:ext>
              </c:extLst>
            </c:dLbl>
            <c:dLbl>
              <c:idx val="528"/>
              <c:layout>
                <c:manualLayout>
                  <c:x val="1.0945174880666323E-2"/>
                  <c:y val="-7.5619581046411588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21E-DD9C-4DAB-B592-189BCC533B20}"/>
                </c:ext>
              </c:extLst>
            </c:dLbl>
            <c:dLbl>
              <c:idx val="529"/>
              <c:layout>
                <c:manualLayout>
                  <c:x val="1.368524012370164E-3"/>
                  <c:y val="-5.7887179642430044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21F-DD9C-4DAB-B592-189BCC533B20}"/>
                </c:ext>
              </c:extLst>
            </c:dLbl>
            <c:dLbl>
              <c:idx val="530"/>
              <c:layout>
                <c:manualLayout>
                  <c:x val="1.0943127482537379E-2"/>
                  <c:y val="-2.9671313425110198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220-DD9C-4DAB-B592-189BCC533B20}"/>
                </c:ext>
              </c:extLst>
            </c:dLbl>
            <c:dLbl>
              <c:idx val="531"/>
              <c:layout>
                <c:manualLayout>
                  <c:x val="1.0942512144942211E-2"/>
                  <c:y val="-4.4361119786957739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221-DD9C-4DAB-B592-189BCC533B20}"/>
                </c:ext>
              </c:extLst>
            </c:dLbl>
            <c:dLbl>
              <c:idx val="532"/>
              <c:layout>
                <c:manualLayout>
                  <c:x val="4.1025641025639022E-3"/>
                  <c:y val="-5.8985373307209842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222-DD9C-4DAB-B592-189BCC533B20}"/>
                </c:ext>
              </c:extLst>
            </c:dLbl>
            <c:dLbl>
              <c:idx val="533"/>
              <c:layout>
                <c:manualLayout>
                  <c:x val="2.735042735042735E-3"/>
                  <c:y val="-2.9762054391088439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223-DD9C-4DAB-B592-189BCC533B20}"/>
                </c:ext>
              </c:extLst>
            </c:dLbl>
            <c:dLbl>
              <c:idx val="534"/>
              <c:layout>
                <c:manualLayout>
                  <c:x val="8.2051282051282051E-3"/>
                  <c:y val="-3.6093140939542336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224-DD9C-4DAB-B592-189BCC533B20}"/>
                </c:ext>
              </c:extLst>
            </c:dLbl>
            <c:dLbl>
              <c:idx val="538"/>
              <c:layout>
                <c:manualLayout>
                  <c:x val="2.736334881216771E-3"/>
                  <c:y val="-0.18430980165038061"/>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225-DD9C-4DAB-B592-189BCC533B20}"/>
                </c:ext>
              </c:extLst>
            </c:dLbl>
            <c:dLbl>
              <c:idx val="540"/>
              <c:layout>
                <c:manualLayout>
                  <c:x val="5.4724544047378689E-3"/>
                  <c:y val="-0.17604623365741254"/>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226-DD9C-4DAB-B592-189BCC533B20}"/>
                </c:ext>
              </c:extLst>
            </c:dLbl>
            <c:dLbl>
              <c:idx val="542"/>
              <c:layout>
                <c:manualLayout>
                  <c:x val="6.8390066626287096E-3"/>
                  <c:y val="-0.1760355542411659"/>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227-DD9C-4DAB-B592-189BCC533B20}"/>
                </c:ext>
              </c:extLst>
            </c:dLbl>
            <c:dLbl>
              <c:idx val="543"/>
              <c:layout>
                <c:manualLayout>
                  <c:x val="6.8398680934111996E-3"/>
                  <c:y val="-0.17403610134886147"/>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228-DD9C-4DAB-B592-189BCC533B20}"/>
                </c:ext>
              </c:extLst>
            </c:dLbl>
            <c:dLbl>
              <c:idx val="544"/>
              <c:layout>
                <c:manualLayout>
                  <c:x val="6.8399452804376558E-3"/>
                  <c:y val="-7.5956635378824064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229-DD9C-4DAB-B592-189BCC533B20}"/>
                </c:ext>
              </c:extLst>
            </c:dLbl>
            <c:dLbl>
              <c:idx val="545"/>
              <c:layout>
                <c:manualLayout>
                  <c:x val="6.8408070058274184E-3"/>
                  <c:y val="-0.16358243058866076"/>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22A-DD9C-4DAB-B592-189BCC533B20}"/>
                </c:ext>
              </c:extLst>
            </c:dLbl>
            <c:dLbl>
              <c:idx val="546"/>
              <c:layout>
                <c:manualLayout>
                  <c:x val="5.4715881978322015E-3"/>
                  <c:y val="-0.12382974149248221"/>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22B-DD9C-4DAB-B592-189BCC533B20}"/>
                </c:ext>
              </c:extLst>
            </c:dLbl>
            <c:dLbl>
              <c:idx val="547"/>
              <c:layout>
                <c:manualLayout>
                  <c:x val="2.7350937873420944E-3"/>
                  <c:y val="-7.5637470198769249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22C-DD9C-4DAB-B592-189BCC533B20}"/>
                </c:ext>
              </c:extLst>
            </c:dLbl>
            <c:dLbl>
              <c:idx val="548"/>
              <c:layout>
                <c:manualLayout>
                  <c:x val="2.7381105141222285E-3"/>
                  <c:y val="-0.15714851749834119"/>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22D-DD9C-4DAB-B592-189BCC533B20}"/>
                </c:ext>
              </c:extLst>
            </c:dLbl>
            <c:dLbl>
              <c:idx val="549"/>
              <c:layout>
                <c:manualLayout>
                  <c:x val="5.470510795410553E-3"/>
                  <c:y val="-7.1424679493246976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22E-DD9C-4DAB-B592-189BCC533B20}"/>
                </c:ext>
              </c:extLst>
            </c:dLbl>
            <c:dLbl>
              <c:idx val="550"/>
              <c:layout>
                <c:manualLayout>
                  <c:x val="5.4701875746841887E-3"/>
                  <c:y val="-0.14673489789760474"/>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22F-DD9C-4DAB-B592-189BCC533B20}"/>
                </c:ext>
              </c:extLst>
            </c:dLbl>
            <c:dLbl>
              <c:idx val="551"/>
              <c:layout>
                <c:manualLayout>
                  <c:x val="5.4701250578971742E-3"/>
                  <c:y val="-7.991188992816399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230-DD9C-4DAB-B592-189BCC533B20}"/>
                </c:ext>
              </c:extLst>
            </c:dLbl>
            <c:dLbl>
              <c:idx val="552"/>
              <c:layout>
                <c:manualLayout>
                  <c:x val="5.4718485086764973E-3"/>
                  <c:y val="-0.11963128565088035"/>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231-DD9C-4DAB-B592-189BCC533B20}"/>
                </c:ext>
              </c:extLst>
            </c:dLbl>
            <c:dLbl>
              <c:idx val="553"/>
              <c:layout>
                <c:manualLayout>
                  <c:x val="4.1043980309574844E-3"/>
                  <c:y val="-0.10914076241513659"/>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232-DD9C-4DAB-B592-189BCC533B20}"/>
                </c:ext>
              </c:extLst>
            </c:dLbl>
            <c:dLbl>
              <c:idx val="554"/>
              <c:layout>
                <c:manualLayout>
                  <c:x val="2.7357626808276873E-3"/>
                  <c:y val="-9.4347640261042601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233-DD9C-4DAB-B592-189BCC533B20}"/>
                </c:ext>
              </c:extLst>
            </c:dLbl>
            <c:dLbl>
              <c:idx val="555"/>
              <c:layout>
                <c:manualLayout>
                  <c:x val="2.7354734504340802E-3"/>
                  <c:y val="-9.8542095383616954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234-DD9C-4DAB-B592-189BCC533B20}"/>
                </c:ext>
              </c:extLst>
            </c:dLbl>
            <c:dLbl>
              <c:idx val="557"/>
              <c:layout>
                <c:manualLayout>
                  <c:x val="4.1045023218250565E-3"/>
                  <c:y val="-7.5792967193654706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235-DD9C-4DAB-B592-189BCC533B20}"/>
                </c:ext>
              </c:extLst>
            </c:dLbl>
            <c:dLbl>
              <c:idx val="561"/>
              <c:layout>
                <c:manualLayout>
                  <c:x val="2.7359781121751026E-3"/>
                  <c:y val="-5.9112159518682449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236-DD9C-4DAB-B592-189BCC533B20}"/>
                </c:ext>
              </c:extLst>
            </c:dLbl>
            <c:dLbl>
              <c:idx val="564"/>
              <c:layout>
                <c:manualLayout>
                  <c:x val="4.3086269483072482E-7"/>
                  <c:y val="-7.5736853352621036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237-DD9C-4DAB-B592-189BCC533B20}"/>
                </c:ext>
              </c:extLst>
            </c:dLbl>
            <c:dLbl>
              <c:idx val="567"/>
              <c:layout>
                <c:manualLayout>
                  <c:x val="5.4709867832868362E-3"/>
                  <c:y val="-4.8560978416320087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238-DD9C-4DAB-B592-189BCC533B20}"/>
                </c:ext>
              </c:extLst>
            </c:dLbl>
            <c:dLbl>
              <c:idx val="569"/>
              <c:layout>
                <c:manualLayout>
                  <c:x val="-1.0031803856387847E-16"/>
                  <c:y val="-0.11951490145151487"/>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239-DD9C-4DAB-B592-189BCC533B20}"/>
                </c:ext>
              </c:extLst>
            </c:dLbl>
            <c:dLbl>
              <c:idx val="570"/>
              <c:layout>
                <c:manualLayout>
                  <c:x val="2.735547249480272E-3"/>
                  <c:y val="-7.5689839396380326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23A-DD9C-4DAB-B592-189BCC533B20}"/>
                </c:ext>
              </c:extLst>
            </c:dLbl>
            <c:dLbl>
              <c:idx val="571"/>
              <c:layout>
                <c:manualLayout>
                  <c:x val="8.2053491603563226E-3"/>
                  <c:y val="-2.7664096789571449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23B-DD9C-4DAB-B592-189BCC533B20}"/>
                </c:ext>
              </c:extLst>
            </c:dLbl>
            <c:dLbl>
              <c:idx val="573"/>
              <c:layout>
                <c:manualLayout>
                  <c:x val="8.2053435628236769E-3"/>
                  <c:y val="-2.5675288241551967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23C-DD9C-4DAB-B592-189BCC533B20}"/>
                </c:ext>
              </c:extLst>
            </c:dLbl>
            <c:dLbl>
              <c:idx val="575"/>
              <c:layout>
                <c:manualLayout>
                  <c:x val="4.1037517369152381E-3"/>
                  <c:y val="-1.7448424374928082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23D-DD9C-4DAB-B592-189BCC533B20}"/>
                </c:ext>
              </c:extLst>
            </c:dLbl>
            <c:dLbl>
              <c:idx val="576"/>
              <c:layout>
                <c:manualLayout>
                  <c:x val="6.8380375529981828E-3"/>
                  <c:y val="-7.7925400170049161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23E-DD9C-4DAB-B592-189BCC533B20}"/>
                </c:ext>
              </c:extLst>
            </c:dLbl>
            <c:dLbl>
              <c:idx val="577"/>
              <c:layout>
                <c:manualLayout>
                  <c:x val="6.8379298741503463E-3"/>
                  <c:y val="-2.5665594617574363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23F-DD9C-4DAB-B592-189BCC533B20}"/>
                </c:ext>
              </c:extLst>
            </c:dLbl>
            <c:dLbl>
              <c:idx val="578"/>
              <c:layout>
                <c:manualLayout>
                  <c:x val="4.1065482199339467E-3"/>
                  <c:y val="-8.4029590197938875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240-DD9C-4DAB-B592-189BCC533B20}"/>
                </c:ext>
              </c:extLst>
            </c:dLbl>
            <c:dLbl>
              <c:idx val="579"/>
              <c:layout>
                <c:manualLayout>
                  <c:x val="1.3663617510073444E-3"/>
                  <c:y val="-7.7838847586427479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241-DD9C-4DAB-B592-189BCC533B20}"/>
                </c:ext>
              </c:extLst>
            </c:dLbl>
            <c:dLbl>
              <c:idx val="580"/>
              <c:layout>
                <c:manualLayout>
                  <c:x val="6.8401982485723645E-3"/>
                  <c:y val="-7.171818298870887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242-DD9C-4DAB-B592-189BCC533B20}"/>
                </c:ext>
              </c:extLst>
            </c:dLbl>
            <c:dLbl>
              <c:idx val="581"/>
              <c:layout>
                <c:manualLayout>
                  <c:x val="6.841275241620497E-3"/>
                  <c:y val="-2.9931134199953378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243-DD9C-4DAB-B592-189BCC533B20}"/>
                </c:ext>
              </c:extLst>
            </c:dLbl>
            <c:dLbl>
              <c:idx val="582"/>
              <c:layout>
                <c:manualLayout>
                  <c:x val="2.1543134751568044E-7"/>
                  <c:y val="-7.7715384741834273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244-DD9C-4DAB-B592-189BCC533B20}"/>
                </c:ext>
              </c:extLst>
            </c:dLbl>
            <c:dLbl>
              <c:idx val="583"/>
              <c:layout>
                <c:manualLayout>
                  <c:x val="4.1053674720208534E-3"/>
                  <c:y val="-5.8833692239409686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245-DD9C-4DAB-B592-189BCC533B20}"/>
                </c:ext>
              </c:extLst>
            </c:dLbl>
            <c:dLbl>
              <c:idx val="589"/>
              <c:layout>
                <c:manualLayout>
                  <c:x val="6.8381141139847263E-3"/>
                  <c:y val="-4.2245162987194447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246-DD9C-4DAB-B592-189BCC533B20}"/>
                </c:ext>
              </c:extLst>
            </c:dLbl>
            <c:dLbl>
              <c:idx val="590"/>
              <c:layout>
                <c:manualLayout>
                  <c:x val="4.1029977271992849E-3"/>
                  <c:y val="-4.433728403991255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247-DD9C-4DAB-B592-189BCC533B20}"/>
                </c:ext>
              </c:extLst>
            </c:dLbl>
            <c:dLbl>
              <c:idx val="591"/>
              <c:layout>
                <c:manualLayout>
                  <c:x val="4.101166560746254E-3"/>
                  <c:y val="-4.0210905265234333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248-DD9C-4DAB-B592-189BCC533B20}"/>
                </c:ext>
              </c:extLst>
            </c:dLbl>
            <c:dLbl>
              <c:idx val="593"/>
              <c:layout>
                <c:manualLayout>
                  <c:x val="0"/>
                  <c:y val="-0.10706244965725839"/>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249-DD9C-4DAB-B592-189BCC533B20}"/>
                </c:ext>
              </c:extLst>
            </c:dLbl>
            <c:dLbl>
              <c:idx val="594"/>
              <c:layout>
                <c:manualLayout>
                  <c:x val="-1.0031803856387847E-16"/>
                  <c:y val="-0.14046537241299956"/>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24A-DD9C-4DAB-B592-189BCC533B20}"/>
                </c:ext>
              </c:extLst>
            </c:dLbl>
            <c:dLbl>
              <c:idx val="597"/>
              <c:layout>
                <c:manualLayout>
                  <c:x val="4.1039671682626538E-3"/>
                  <c:y val="-0.11958854569066128"/>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24B-DD9C-4DAB-B592-189BCC533B20}"/>
                </c:ext>
              </c:extLst>
            </c:dLbl>
            <c:dLbl>
              <c:idx val="598"/>
              <c:layout>
                <c:manualLayout>
                  <c:x val="-2.0063607712775693E-16"/>
                  <c:y val="-3.3993556129074683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24C-DD9C-4DAB-B592-189BCC533B20}"/>
                </c:ext>
              </c:extLst>
            </c:dLbl>
            <c:dLbl>
              <c:idx val="599"/>
              <c:layout>
                <c:manualLayout>
                  <c:x val="6.8399452804377564E-3"/>
                  <c:y val="-3.1905873456841011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24D-DD9C-4DAB-B592-189BCC533B20}"/>
                </c:ext>
              </c:extLst>
            </c:dLbl>
            <c:dLbl>
              <c:idx val="600"/>
              <c:layout>
                <c:manualLayout>
                  <c:x val="5.4719562243502051E-3"/>
                  <c:y val="-3.1905873456841011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24E-DD9C-4DAB-B592-189BCC533B20}"/>
                </c:ext>
              </c:extLst>
            </c:dLbl>
            <c:dLbl>
              <c:idx val="602"/>
              <c:layout>
                <c:manualLayout>
                  <c:x val="5.4719562243502051E-3"/>
                  <c:y val="-2.355514276790573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24F-DD9C-4DAB-B592-189BCC533B20}"/>
                </c:ext>
              </c:extLst>
            </c:dLbl>
            <c:dLbl>
              <c:idx val="606"/>
              <c:layout>
                <c:manualLayout>
                  <c:x val="4.1039671682626538E-3"/>
                  <c:y val="-0.11958854569066128"/>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250-DD9C-4DAB-B592-189BCC533B20}"/>
                </c:ext>
              </c:extLst>
            </c:dLbl>
            <c:dLbl>
              <c:idx val="607"/>
              <c:layout>
                <c:manualLayout>
                  <c:x val="1.094391244870041E-2"/>
                  <c:y val="-7.1571844229283449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251-DD9C-4DAB-B592-189BCC533B20}"/>
                </c:ext>
              </c:extLst>
            </c:dLbl>
            <c:dLbl>
              <c:idx val="608"/>
              <c:layout>
                <c:manualLayout>
                  <c:x val="2.7359781121751026E-3"/>
                  <c:y val="-0.11750086301842746"/>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252-DD9C-4DAB-B592-189BCC533B20}"/>
                </c:ext>
              </c:extLst>
            </c:dLbl>
            <c:dLbl>
              <c:idx val="609"/>
              <c:layout>
                <c:manualLayout>
                  <c:x val="9.575923392612859E-3"/>
                  <c:y val="-8.8273305607154171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253-DD9C-4DAB-B592-189BCC533B20}"/>
                </c:ext>
              </c:extLst>
            </c:dLbl>
            <c:dLbl>
              <c:idx val="612"/>
              <c:layout>
                <c:manualLayout>
                  <c:x val="1.3679890560874509E-3"/>
                  <c:y val="-0.20309585258001414"/>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254-DD9C-4DAB-B592-189BCC533B20}"/>
                </c:ext>
              </c:extLst>
            </c:dLbl>
            <c:dLbl>
              <c:idx val="614"/>
              <c:layout>
                <c:manualLayout>
                  <c:x val="5.4719562243503057E-3"/>
                  <c:y val="-0.1216762283628951"/>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255-DD9C-4DAB-B592-189BCC533B20}"/>
                </c:ext>
              </c:extLst>
            </c:dLbl>
            <c:dLbl>
              <c:idx val="615"/>
              <c:layout>
                <c:manualLayout>
                  <c:x val="1.2311901504787962E-2"/>
                  <c:y val="-5.4289941314747084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256-DD9C-4DAB-B592-189BCC533B20}"/>
                </c:ext>
              </c:extLst>
            </c:dLbl>
            <c:dLbl>
              <c:idx val="616"/>
              <c:layout>
                <c:manualLayout>
                  <c:x val="1.5047879616963064E-2"/>
                  <c:y val="-6.0552989331448544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257-DD9C-4DAB-B592-189BCC533B20}"/>
                </c:ext>
              </c:extLst>
            </c:dLbl>
            <c:dLbl>
              <c:idx val="617"/>
              <c:layout>
                <c:manualLayout>
                  <c:x val="4.1039671682626538E-3"/>
                  <c:y val="-0.12063238702677827"/>
                </c:manualLayout>
              </c:layout>
              <c:spPr>
                <a:noFill/>
                <a:ln>
                  <a:noFill/>
                </a:ln>
                <a:effectLst/>
              </c:spPr>
              <c:txPr>
                <a:bodyPr rot="0" spcFirstLastPara="1" vertOverflow="ellipsis" vert="horz" wrap="square" lIns="38100" tIns="19050" rIns="38100" bIns="19050" anchor="ctr" anchorCtr="1">
                  <a:noAutofit/>
                </a:bodyPr>
                <a:lstStyle/>
                <a:p>
                  <a:pPr>
                    <a:defRPr sz="1050" b="1" i="1" u="none" strike="noStrike" kern="1200" baseline="0">
                      <a:solidFill>
                        <a:srgbClr val="C00000"/>
                      </a:solidFill>
                      <a:latin typeface="Times New Roman" panose="02020603050405020304" pitchFamily="18" charset="0"/>
                      <a:ea typeface="+mn-ea"/>
                      <a:cs typeface="Times New Roman" panose="02020603050405020304" pitchFamily="18" charset="0"/>
                    </a:defRPr>
                  </a:pPr>
                  <a:endParaRPr lang="lv-LV"/>
                </a:p>
              </c:txPr>
              <c:dLblPos val="ctr"/>
              <c:showLegendKey val="0"/>
              <c:showVal val="1"/>
              <c:showCatName val="0"/>
              <c:showSerName val="0"/>
              <c:showPercent val="0"/>
              <c:showBubbleSize val="0"/>
              <c:extLst>
                <c:ext xmlns:c15="http://schemas.microsoft.com/office/drawing/2012/chart" uri="{CE6537A1-D6FC-4f65-9D91-7224C49458BB}">
                  <c15:layout>
                    <c:manualLayout>
                      <c:w val="4.3775649794801641E-2"/>
                      <c:h val="4.1336116910229648E-2"/>
                    </c:manualLayout>
                  </c15:layout>
                </c:ext>
                <c:ext xmlns:c16="http://schemas.microsoft.com/office/drawing/2014/chart" uri="{C3380CC4-5D6E-409C-BE32-E72D297353CC}">
                  <c16:uniqueId val="{00000258-DD9C-4DAB-B592-189BCC533B20}"/>
                </c:ext>
              </c:extLst>
            </c:dLbl>
            <c:dLbl>
              <c:idx val="618"/>
              <c:layout>
                <c:manualLayout>
                  <c:x val="1.3679890560874509E-3"/>
                  <c:y val="-0.2038296648200812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259-DD9C-4DAB-B592-189BCC533B20}"/>
                </c:ext>
              </c:extLst>
            </c:dLbl>
            <c:dLbl>
              <c:idx val="619"/>
              <c:layout>
                <c:manualLayout>
                  <c:x val="1.3683122031086744E-3"/>
                  <c:y val="-0.2004283859089639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25A-DD9C-4DAB-B592-189BCC533B20}"/>
                </c:ext>
              </c:extLst>
            </c:dLbl>
            <c:dLbl>
              <c:idx val="620"/>
              <c:layout>
                <c:manualLayout>
                  <c:x val="4.1039671682626538E-3"/>
                  <c:y val="-0.12063567471602588"/>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25B-DD9C-4DAB-B592-189BCC533B20}"/>
                </c:ext>
              </c:extLst>
            </c:dLbl>
            <c:dLbl>
              <c:idx val="621"/>
              <c:layout>
                <c:manualLayout>
                  <c:x val="1.368312203108574E-3"/>
                  <c:y val="-0.12276741242417774"/>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25C-DD9C-4DAB-B592-189BCC533B20}"/>
                </c:ext>
              </c:extLst>
            </c:dLbl>
            <c:dLbl>
              <c:idx val="622"/>
              <c:layout>
                <c:manualLayout>
                  <c:x val="2.735687279856092E-2"/>
                  <c:y val="-0.10362237601301941"/>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25D-DD9C-4DAB-B592-189BCC533B20}"/>
                </c:ext>
              </c:extLst>
            </c:dLbl>
            <c:dLbl>
              <c:idx val="623"/>
              <c:layout>
                <c:manualLayout>
                  <c:x val="1.3814119388921536E-3"/>
                  <c:y val="-0.14803806801145161"/>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25E-DD9C-4DAB-B592-189BCC533B20}"/>
                </c:ext>
              </c:extLst>
            </c:dLbl>
            <c:dLbl>
              <c:idx val="624"/>
              <c:layout>
                <c:manualLayout>
                  <c:x val="2.7374116696951343E-3"/>
                  <c:y val="-0.2020540624910149"/>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25F-DD9C-4DAB-B592-189BCC533B20}"/>
                </c:ext>
              </c:extLst>
            </c:dLbl>
            <c:dLbl>
              <c:idx val="625"/>
              <c:layout>
                <c:manualLayout>
                  <c:x val="8.2065340327672088E-3"/>
                  <c:y val="-0.11674773560403071"/>
                </c:manualLayout>
              </c:layout>
              <c:spPr>
                <a:noFill/>
                <a:ln>
                  <a:noFill/>
                </a:ln>
                <a:effectLst/>
              </c:spPr>
              <c:txPr>
                <a:bodyPr rot="0" spcFirstLastPara="1" vertOverflow="ellipsis" vert="horz" wrap="square" lIns="38100" tIns="19050" rIns="38100" bIns="19050" anchor="ctr" anchorCtr="1">
                  <a:noAutofit/>
                </a:bodyPr>
                <a:lstStyle/>
                <a:p>
                  <a:pPr>
                    <a:defRPr sz="1050" b="1" i="1" u="none" strike="noStrike" kern="1200" baseline="0">
                      <a:solidFill>
                        <a:srgbClr val="C00000"/>
                      </a:solidFill>
                      <a:latin typeface="Times New Roman" panose="02020603050405020304" pitchFamily="18" charset="0"/>
                      <a:ea typeface="+mn-ea"/>
                      <a:cs typeface="Times New Roman" panose="02020603050405020304" pitchFamily="18" charset="0"/>
                    </a:defRPr>
                  </a:pPr>
                  <a:endParaRPr lang="lv-LV"/>
                </a:p>
              </c:txPr>
              <c:dLblPos val="ctr"/>
              <c:showLegendKey val="0"/>
              <c:showVal val="1"/>
              <c:showCatName val="0"/>
              <c:showSerName val="0"/>
              <c:showPercent val="0"/>
              <c:showBubbleSize val="0"/>
              <c:extLst>
                <c:ext xmlns:c15="http://schemas.microsoft.com/office/drawing/2012/chart" uri="{CE6537A1-D6FC-4f65-9D91-7224C49458BB}">
                  <c15:layout>
                    <c:manualLayout>
                      <c:w val="3.4188034188034191E-2"/>
                      <c:h val="3.9115731516276876E-2"/>
                    </c:manualLayout>
                  </c15:layout>
                </c:ext>
                <c:ext xmlns:c16="http://schemas.microsoft.com/office/drawing/2014/chart" uri="{C3380CC4-5D6E-409C-BE32-E72D297353CC}">
                  <c16:uniqueId val="{00000260-DD9C-4DAB-B592-189BCC533B20}"/>
                </c:ext>
              </c:extLst>
            </c:dLbl>
            <c:dLbl>
              <c:idx val="626"/>
              <c:layout>
                <c:manualLayout>
                  <c:x val="2.7341469457220721E-3"/>
                  <c:y val="-0.10704387421300939"/>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261-DD9C-4DAB-B592-189BCC533B20}"/>
                </c:ext>
              </c:extLst>
            </c:dLbl>
            <c:spPr>
              <a:noFill/>
              <a:ln>
                <a:noFill/>
              </a:ln>
              <a:effectLst/>
            </c:spPr>
            <c:txPr>
              <a:bodyPr rot="0" spcFirstLastPara="1" vertOverflow="ellipsis" vert="horz" wrap="square" lIns="38100" tIns="19050" rIns="38100" bIns="19050" anchor="ctr" anchorCtr="1">
                <a:spAutoFit/>
              </a:bodyPr>
              <a:lstStyle/>
              <a:p>
                <a:pPr>
                  <a:defRPr sz="1050" b="1" i="1" u="none" strike="noStrike" kern="1200" baseline="0">
                    <a:solidFill>
                      <a:srgbClr val="C00000"/>
                    </a:solidFill>
                    <a:latin typeface="Times New Roman" panose="02020603050405020304" pitchFamily="18" charset="0"/>
                    <a:ea typeface="+mn-ea"/>
                    <a:cs typeface="Times New Roman" panose="02020603050405020304" pitchFamily="18" charset="0"/>
                  </a:defRPr>
                </a:pPr>
                <a:endParaRPr lang="lv-LV"/>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'cet.'!$F$10:$F$38</c:f>
              <c:strCache>
                <c:ptCount val="29"/>
                <c:pt idx="0">
                  <c:v>2016. I.</c:v>
                </c:pt>
                <c:pt idx="1">
                  <c:v>2016. II.</c:v>
                </c:pt>
                <c:pt idx="2">
                  <c:v>2016. III.</c:v>
                </c:pt>
                <c:pt idx="3">
                  <c:v>2016. IV.</c:v>
                </c:pt>
                <c:pt idx="4">
                  <c:v>2017. I.</c:v>
                </c:pt>
                <c:pt idx="5">
                  <c:v>2017. II.</c:v>
                </c:pt>
                <c:pt idx="6">
                  <c:v>2017. III.</c:v>
                </c:pt>
                <c:pt idx="7">
                  <c:v>2017. IV.</c:v>
                </c:pt>
                <c:pt idx="8">
                  <c:v>2018. I</c:v>
                </c:pt>
                <c:pt idx="9">
                  <c:v>2018. II</c:v>
                </c:pt>
                <c:pt idx="10">
                  <c:v>2018. III</c:v>
                </c:pt>
                <c:pt idx="11">
                  <c:v>2018. IV</c:v>
                </c:pt>
                <c:pt idx="12">
                  <c:v>2019. I</c:v>
                </c:pt>
                <c:pt idx="13">
                  <c:v>2019. II</c:v>
                </c:pt>
                <c:pt idx="14">
                  <c:v>2019. III</c:v>
                </c:pt>
                <c:pt idx="15">
                  <c:v>2019. IV</c:v>
                </c:pt>
                <c:pt idx="16">
                  <c:v>2020. I</c:v>
                </c:pt>
                <c:pt idx="17">
                  <c:v>2020. II</c:v>
                </c:pt>
                <c:pt idx="18">
                  <c:v>2020. III</c:v>
                </c:pt>
                <c:pt idx="19">
                  <c:v>2020. IV</c:v>
                </c:pt>
                <c:pt idx="20">
                  <c:v>2021. I</c:v>
                </c:pt>
                <c:pt idx="21">
                  <c:v>2021. II</c:v>
                </c:pt>
                <c:pt idx="22">
                  <c:v>2021. III</c:v>
                </c:pt>
                <c:pt idx="23">
                  <c:v>2021. IV</c:v>
                </c:pt>
                <c:pt idx="24">
                  <c:v>2022. I</c:v>
                </c:pt>
                <c:pt idx="25">
                  <c:v>2022. II</c:v>
                </c:pt>
                <c:pt idx="26">
                  <c:v>2022. III</c:v>
                </c:pt>
                <c:pt idx="27">
                  <c:v>2022. IV</c:v>
                </c:pt>
                <c:pt idx="28">
                  <c:v>2023. I*</c:v>
                </c:pt>
              </c:strCache>
              <c:extLst/>
            </c:strRef>
          </c:cat>
          <c:val>
            <c:numRef>
              <c:f>'cet.'!$J$10:$J$38</c:f>
              <c:numCache>
                <c:formatCode>General</c:formatCode>
                <c:ptCount val="29"/>
                <c:pt idx="8" formatCode="0">
                  <c:v>16</c:v>
                </c:pt>
                <c:pt idx="9" formatCode="0">
                  <c:v>143</c:v>
                </c:pt>
                <c:pt idx="10" formatCode="0">
                  <c:v>253.00633999999999</c:v>
                </c:pt>
                <c:pt idx="11" formatCode="0">
                  <c:v>340.2</c:v>
                </c:pt>
                <c:pt idx="12" formatCode="0">
                  <c:v>365.06076000000002</c:v>
                </c:pt>
                <c:pt idx="13" formatCode="0">
                  <c:v>484.00599999999997</c:v>
                </c:pt>
                <c:pt idx="14" formatCode="0">
                  <c:v>661.28542000000004</c:v>
                </c:pt>
                <c:pt idx="15" formatCode="0">
                  <c:v>667.58040000000005</c:v>
                </c:pt>
                <c:pt idx="16" formatCode="0">
                  <c:v>415.005</c:v>
                </c:pt>
                <c:pt idx="17" formatCode="0">
                  <c:v>279.64999999999998</c:v>
                </c:pt>
                <c:pt idx="18" formatCode="0">
                  <c:v>634.08348999999998</c:v>
                </c:pt>
                <c:pt idx="19" formatCode="0">
                  <c:v>460.16</c:v>
                </c:pt>
                <c:pt idx="20" formatCode="0">
                  <c:v>355.03899999999999</c:v>
                </c:pt>
                <c:pt idx="21" formatCode="0">
                  <c:v>545.5</c:v>
                </c:pt>
                <c:pt idx="22" formatCode="0">
                  <c:v>1234.152</c:v>
                </c:pt>
                <c:pt idx="23" formatCode="0">
                  <c:v>686.85531000000003</c:v>
                </c:pt>
                <c:pt idx="24" formatCode="0">
                  <c:v>652.17999999999995</c:v>
                </c:pt>
                <c:pt idx="25" formatCode="0">
                  <c:v>555.55064000000004</c:v>
                </c:pt>
                <c:pt idx="26" formatCode="0">
                  <c:v>1000.9491800000001</c:v>
                </c:pt>
                <c:pt idx="27" formatCode="0">
                  <c:v>300.04944</c:v>
                </c:pt>
                <c:pt idx="28" formatCode="0">
                  <c:v>138</c:v>
                </c:pt>
              </c:numCache>
            </c:numRef>
          </c:val>
          <c:extLst>
            <c:ext xmlns:c16="http://schemas.microsoft.com/office/drawing/2014/chart" uri="{C3380CC4-5D6E-409C-BE32-E72D297353CC}">
              <c16:uniqueId val="{00000262-DD9C-4DAB-B592-189BCC533B20}"/>
            </c:ext>
          </c:extLst>
        </c:ser>
        <c:dLbls>
          <c:showLegendKey val="0"/>
          <c:showVal val="0"/>
          <c:showCatName val="0"/>
          <c:showSerName val="0"/>
          <c:showPercent val="0"/>
          <c:showBubbleSize val="0"/>
        </c:dLbls>
        <c:gapWidth val="60"/>
        <c:overlap val="100"/>
        <c:axId val="237820072"/>
        <c:axId val="237820464"/>
      </c:barChart>
      <c:lineChart>
        <c:grouping val="standard"/>
        <c:varyColors val="0"/>
        <c:ser>
          <c:idx val="0"/>
          <c:order val="0"/>
          <c:tx>
            <c:strRef>
              <c:f>'cet.'!$G$4</c:f>
              <c:strCache>
                <c:ptCount val="1"/>
                <c:pt idx="0">
                  <c:v>Pirmreizējo TUA iemaksu skaits</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dLbls>
            <c:dLbl>
              <c:idx val="17"/>
              <c:layout>
                <c:manualLayout>
                  <c:x val="-5.4624908958485069E-3"/>
                  <c:y val="1.0951302760974516E-2"/>
                </c:manualLayout>
              </c:layout>
              <c:dLblPos val="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263-DD9C-4DAB-B592-189BCC533B20}"/>
                </c:ext>
              </c:extLst>
            </c:dLbl>
            <c:dLbl>
              <c:idx val="25"/>
              <c:layout>
                <c:manualLayout>
                  <c:x val="-2.9133284777858703E-2"/>
                  <c:y val="-6.2160792132743064E-3"/>
                </c:manualLayout>
              </c:layout>
              <c:dLblPos val="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264-DD9C-4DAB-B592-189BCC533B20}"/>
                </c:ext>
              </c:extLst>
            </c:dLbl>
            <c:dLbl>
              <c:idx val="26"/>
              <c:layout>
                <c:manualLayout>
                  <c:x val="-8.3758193736344841E-3"/>
                  <c:y val="1.0951302760974516E-2"/>
                </c:manualLayout>
              </c:layout>
              <c:dLblPos val="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265-DD9C-4DAB-B592-189BCC533B20}"/>
                </c:ext>
              </c:extLst>
            </c:dLbl>
            <c:dLbl>
              <c:idx val="27"/>
              <c:layout>
                <c:manualLayout>
                  <c:x val="-9.8324836125273131E-3"/>
                  <c:y val="1.6673763419057491E-2"/>
                </c:manualLayout>
              </c:layout>
              <c:dLblPos val="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266-DD9C-4DAB-B592-189BCC533B20}"/>
                </c:ext>
              </c:extLst>
            </c:dLbl>
            <c:dLbl>
              <c:idx val="28"/>
              <c:layout>
                <c:manualLayout>
                  <c:x val="-5.4624908958484002E-3"/>
                  <c:y val="1.0951302760974621E-2"/>
                </c:manualLayout>
              </c:layout>
              <c:dLblPos val="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267-DD9C-4DAB-B592-189BCC533B20}"/>
                </c:ext>
              </c:extLst>
            </c:dLbl>
            <c:dLbl>
              <c:idx val="161"/>
              <c:layout>
                <c:manualLayout>
                  <c:x val="-1.6080157145349428E-2"/>
                  <c:y val="-8.4249735260447656E-3"/>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268-DD9C-4DAB-B592-189BCC533B20}"/>
                </c:ext>
              </c:extLst>
            </c:dLbl>
            <c:dLbl>
              <c:idx val="555"/>
              <c:layout>
                <c:manualLayout>
                  <c:x val="-7.0125968813724987E-3"/>
                  <c:y val="-1.8888420471805563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269-DD9C-4DAB-B592-189BCC533B20}"/>
                </c:ext>
              </c:extLst>
            </c:dLbl>
            <c:dLbl>
              <c:idx val="558"/>
              <c:layout>
                <c:manualLayout>
                  <c:x val="-1.5213729053099232E-2"/>
                  <c:y val="-2.0938884986794644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26A-DD9C-4DAB-B592-189BCC533B20}"/>
                </c:ext>
              </c:extLst>
            </c:dLbl>
            <c:dLbl>
              <c:idx val="560"/>
              <c:layout>
                <c:manualLayout>
                  <c:x val="-1.5218932106810962E-2"/>
                  <c:y val="-1.6774448079167559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26B-DD9C-4DAB-B592-189BCC533B20}"/>
                </c:ext>
              </c:extLst>
            </c:dLbl>
            <c:dLbl>
              <c:idx val="561"/>
              <c:layout>
                <c:manualLayout>
                  <c:x val="-1.2482953994635759E-2"/>
                  <c:y val="-2.3037496095869019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26C-DD9C-4DAB-B592-189BCC533B20}"/>
                </c:ext>
              </c:extLst>
            </c:dLbl>
            <c:dLbl>
              <c:idx val="563"/>
              <c:layout>
                <c:manualLayout>
                  <c:x val="-1.5213729053099131E-2"/>
                  <c:y val="-2.0938884986794491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26D-DD9C-4DAB-B592-189BCC533B20}"/>
                </c:ext>
              </c:extLst>
            </c:dLbl>
            <c:dLbl>
              <c:idx val="564"/>
              <c:layout>
                <c:manualLayout>
                  <c:x val="-8.3789868263731051E-3"/>
                  <c:y val="-1.8862130751401376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26E-DD9C-4DAB-B592-189BCC533B20}"/>
                </c:ext>
              </c:extLst>
            </c:dLbl>
            <c:dLbl>
              <c:idx val="565"/>
              <c:layout>
                <c:manualLayout>
                  <c:x val="-1.6586921162898612E-2"/>
                  <c:y val="-1.4686765406933736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26F-DD9C-4DAB-B592-189BCC533B20}"/>
                </c:ext>
              </c:extLst>
            </c:dLbl>
            <c:dLbl>
              <c:idx val="580"/>
              <c:layout>
                <c:manualLayout>
                  <c:x val="-1.1113275867138461E-2"/>
                  <c:y val="-2.3016142043678006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270-DD9C-4DAB-B592-189BCC533B20}"/>
                </c:ext>
              </c:extLst>
            </c:dLbl>
            <c:dLbl>
              <c:idx val="582"/>
              <c:layout>
                <c:manualLayout>
                  <c:x val="-8.3789868263731051E-3"/>
                  <c:y val="-1.8862130751401376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271-DD9C-4DAB-B592-189BCC533B20}"/>
                </c:ext>
              </c:extLst>
            </c:dLbl>
            <c:dLbl>
              <c:idx val="584"/>
              <c:layout>
                <c:manualLayout>
                  <c:x val="-1.1117500107471092E-2"/>
                  <c:y val="-1.8888420471805716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272-DD9C-4DAB-B592-189BCC533B20}"/>
                </c:ext>
              </c:extLst>
            </c:dLbl>
            <c:dLbl>
              <c:idx val="587"/>
              <c:layout>
                <c:manualLayout>
                  <c:x val="-1.2482953994635759E-2"/>
                  <c:y val="-1.6774448079167711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273-DD9C-4DAB-B592-189BCC533B20}"/>
                </c:ext>
              </c:extLst>
            </c:dLbl>
            <c:dLbl>
              <c:idx val="589"/>
              <c:layout>
                <c:manualLayout>
                  <c:x val="-1.2482953994635759E-2"/>
                  <c:y val="-2.094981342363535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274-DD9C-4DAB-B592-189BCC533B20}"/>
                </c:ext>
              </c:extLst>
            </c:dLbl>
            <c:dLbl>
              <c:idx val="591"/>
              <c:layout>
                <c:manualLayout>
                  <c:x val="-1.5218932106810861E-2"/>
                  <c:y val="-2.094981342363535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275-DD9C-4DAB-B592-189BCC533B20}"/>
                </c:ext>
              </c:extLst>
            </c:dLbl>
            <c:dLbl>
              <c:idx val="622"/>
              <c:layout>
                <c:manualLayout>
                  <c:x val="-1.4349999887008075E-2"/>
                  <c:y val="-2.0604061325473867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276-DD9C-4DAB-B592-189BCC533B20}"/>
                </c:ext>
              </c:extLst>
            </c:dLbl>
            <c:dLbl>
              <c:idx val="623"/>
              <c:layout>
                <c:manualLayout>
                  <c:x val="-1.7089278856175758E-2"/>
                  <c:y val="-2.4770669291338736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277-DD9C-4DAB-B592-189BCC533B20}"/>
                </c:ext>
              </c:extLst>
            </c:dLbl>
            <c:dLbl>
              <c:idx val="624"/>
              <c:layout>
                <c:manualLayout>
                  <c:x val="-1.8628342830321318E-2"/>
                  <c:y val="-2.8193422097904298E-2"/>
                </c:manualLayout>
              </c:layout>
              <c:spPr>
                <a:noFill/>
                <a:ln>
                  <a:noFill/>
                </a:ln>
                <a:effectLst/>
              </c:spPr>
              <c:txPr>
                <a:bodyPr rot="0" spcFirstLastPara="1" vertOverflow="ellipsis" vert="horz" wrap="square" lIns="38100" tIns="19050" rIns="38100" bIns="19050" anchor="ctr" anchorCtr="1">
                  <a:noAutofit/>
                </a:bodyPr>
                <a:lstStyle/>
                <a:p>
                  <a:pPr>
                    <a:defRPr sz="900" b="1" i="0" u="none" strike="noStrike" kern="1200" baseline="0">
                      <a:solidFill>
                        <a:srgbClr val="002060"/>
                      </a:solidFill>
                      <a:latin typeface="Times New Roman" panose="02020603050405020304" pitchFamily="18" charset="0"/>
                      <a:ea typeface="+mn-ea"/>
                      <a:cs typeface="Times New Roman" panose="02020603050405020304" pitchFamily="18" charset="0"/>
                    </a:defRPr>
                  </a:pPr>
                  <a:endParaRPr lang="lv-LV"/>
                </a:p>
              </c:txPr>
              <c:dLblPos val="r"/>
              <c:showLegendKey val="0"/>
              <c:showVal val="1"/>
              <c:showCatName val="0"/>
              <c:showSerName val="0"/>
              <c:showPercent val="0"/>
              <c:showBubbleSize val="0"/>
              <c:extLst>
                <c:ext xmlns:c15="http://schemas.microsoft.com/office/drawing/2012/chart" uri="{CE6537A1-D6FC-4f65-9D91-7224C49458BB}">
                  <c15:layout>
                    <c:manualLayout>
                      <c:w val="2.9395268120802117E-2"/>
                      <c:h val="4.5966890731937077E-2"/>
                    </c:manualLayout>
                  </c15:layout>
                </c:ext>
                <c:ext xmlns:c16="http://schemas.microsoft.com/office/drawing/2014/chart" uri="{C3380CC4-5D6E-409C-BE32-E72D297353CC}">
                  <c16:uniqueId val="{00000278-DD9C-4DAB-B592-189BCC533B20}"/>
                </c:ext>
              </c:extLst>
            </c:dLbl>
            <c:dLbl>
              <c:idx val="625"/>
              <c:layout>
                <c:manualLayout>
                  <c:x val="-1.45325446846743E-2"/>
                  <c:y val="-1.5685531496062992E-2"/>
                </c:manualLayout>
              </c:layout>
              <c:spPr>
                <a:noFill/>
                <a:ln>
                  <a:noFill/>
                </a:ln>
                <a:effectLst/>
              </c:spPr>
              <c:txPr>
                <a:bodyPr rot="0" spcFirstLastPara="1" vertOverflow="ellipsis" vert="horz" wrap="square" lIns="38100" tIns="19050" rIns="38100" bIns="19050" anchor="ctr" anchorCtr="1">
                  <a:noAutofit/>
                </a:bodyPr>
                <a:lstStyle/>
                <a:p>
                  <a:pPr>
                    <a:defRPr sz="900" b="1" i="0" u="none" strike="noStrike" kern="1200" baseline="0">
                      <a:solidFill>
                        <a:srgbClr val="002060"/>
                      </a:solidFill>
                      <a:latin typeface="Times New Roman" panose="02020603050405020304" pitchFamily="18" charset="0"/>
                      <a:ea typeface="+mn-ea"/>
                      <a:cs typeface="Times New Roman" panose="02020603050405020304" pitchFamily="18" charset="0"/>
                    </a:defRPr>
                  </a:pPr>
                  <a:endParaRPr lang="lv-LV"/>
                </a:p>
              </c:txPr>
              <c:dLblPos val="r"/>
              <c:showLegendKey val="0"/>
              <c:showVal val="1"/>
              <c:showCatName val="0"/>
              <c:showSerName val="0"/>
              <c:showPercent val="0"/>
              <c:showBubbleSize val="0"/>
              <c:extLst>
                <c:ext xmlns:c15="http://schemas.microsoft.com/office/drawing/2012/chart" uri="{CE6537A1-D6FC-4f65-9D91-7224C49458BB}">
                  <c15:layout>
                    <c:manualLayout>
                      <c:w val="2.4961042472727037E-2"/>
                      <c:h val="2.9274442257217849E-2"/>
                    </c:manualLayout>
                  </c15:layout>
                </c:ext>
                <c:ext xmlns:c16="http://schemas.microsoft.com/office/drawing/2014/chart" uri="{C3380CC4-5D6E-409C-BE32-E72D297353CC}">
                  <c16:uniqueId val="{00000279-DD9C-4DAB-B592-189BCC533B20}"/>
                </c:ext>
              </c:extLst>
            </c:dLbl>
            <c:dLbl>
              <c:idx val="626"/>
              <c:layout>
                <c:manualLayout>
                  <c:x val="-1.3846207685577764E-2"/>
                  <c:y val="-1.6765697715015824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27A-DD9C-4DAB-B592-189BCC533B20}"/>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rgbClr val="002060"/>
                    </a:solidFill>
                    <a:latin typeface="Times New Roman" panose="02020603050405020304" pitchFamily="18" charset="0"/>
                    <a:ea typeface="+mn-ea"/>
                    <a:cs typeface="Times New Roman" panose="02020603050405020304" pitchFamily="18" charset="0"/>
                  </a:defRPr>
                </a:pPr>
                <a:endParaRPr lang="lv-LV"/>
              </a:p>
            </c:txPr>
            <c:dLblPos val="t"/>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'cet.'!$F$10:$F$38</c:f>
              <c:strCache>
                <c:ptCount val="29"/>
                <c:pt idx="0">
                  <c:v>2016. I.</c:v>
                </c:pt>
                <c:pt idx="1">
                  <c:v>2016. II.</c:v>
                </c:pt>
                <c:pt idx="2">
                  <c:v>2016. III.</c:v>
                </c:pt>
                <c:pt idx="3">
                  <c:v>2016. IV.</c:v>
                </c:pt>
                <c:pt idx="4">
                  <c:v>2017. I.</c:v>
                </c:pt>
                <c:pt idx="5">
                  <c:v>2017. II.</c:v>
                </c:pt>
                <c:pt idx="6">
                  <c:v>2017. III.</c:v>
                </c:pt>
                <c:pt idx="7">
                  <c:v>2017. IV.</c:v>
                </c:pt>
                <c:pt idx="8">
                  <c:v>2018. I</c:v>
                </c:pt>
                <c:pt idx="9">
                  <c:v>2018. II</c:v>
                </c:pt>
                <c:pt idx="10">
                  <c:v>2018. III</c:v>
                </c:pt>
                <c:pt idx="11">
                  <c:v>2018. IV</c:v>
                </c:pt>
                <c:pt idx="12">
                  <c:v>2019. I</c:v>
                </c:pt>
                <c:pt idx="13">
                  <c:v>2019. II</c:v>
                </c:pt>
                <c:pt idx="14">
                  <c:v>2019. III</c:v>
                </c:pt>
                <c:pt idx="15">
                  <c:v>2019. IV</c:v>
                </c:pt>
                <c:pt idx="16">
                  <c:v>2020. I</c:v>
                </c:pt>
                <c:pt idx="17">
                  <c:v>2020. II</c:v>
                </c:pt>
                <c:pt idx="18">
                  <c:v>2020. III</c:v>
                </c:pt>
                <c:pt idx="19">
                  <c:v>2020. IV</c:v>
                </c:pt>
                <c:pt idx="20">
                  <c:v>2021. I</c:v>
                </c:pt>
                <c:pt idx="21">
                  <c:v>2021. II</c:v>
                </c:pt>
                <c:pt idx="22">
                  <c:v>2021. III</c:v>
                </c:pt>
                <c:pt idx="23">
                  <c:v>2021. IV</c:v>
                </c:pt>
                <c:pt idx="24">
                  <c:v>2022. I</c:v>
                </c:pt>
                <c:pt idx="25">
                  <c:v>2022. II</c:v>
                </c:pt>
                <c:pt idx="26">
                  <c:v>2022. III</c:v>
                </c:pt>
                <c:pt idx="27">
                  <c:v>2022. IV</c:v>
                </c:pt>
                <c:pt idx="28">
                  <c:v>2023. I*</c:v>
                </c:pt>
              </c:strCache>
              <c:extLst/>
            </c:strRef>
          </c:cat>
          <c:val>
            <c:numRef>
              <c:f>'cet.'!$G$10:$G$38</c:f>
              <c:numCache>
                <c:formatCode>General</c:formatCode>
                <c:ptCount val="29"/>
                <c:pt idx="0">
                  <c:v>30</c:v>
                </c:pt>
                <c:pt idx="1">
                  <c:v>31</c:v>
                </c:pt>
                <c:pt idx="2">
                  <c:v>57</c:v>
                </c:pt>
                <c:pt idx="3">
                  <c:v>40</c:v>
                </c:pt>
                <c:pt idx="4">
                  <c:v>33</c:v>
                </c:pt>
                <c:pt idx="5">
                  <c:v>34</c:v>
                </c:pt>
                <c:pt idx="6">
                  <c:v>29</c:v>
                </c:pt>
                <c:pt idx="7">
                  <c:v>37</c:v>
                </c:pt>
                <c:pt idx="8">
                  <c:v>38</c:v>
                </c:pt>
                <c:pt idx="9">
                  <c:v>44</c:v>
                </c:pt>
                <c:pt idx="10">
                  <c:v>48</c:v>
                </c:pt>
                <c:pt idx="11">
                  <c:v>39</c:v>
                </c:pt>
                <c:pt idx="12">
                  <c:v>49</c:v>
                </c:pt>
                <c:pt idx="13">
                  <c:v>50</c:v>
                </c:pt>
                <c:pt idx="14">
                  <c:v>28</c:v>
                </c:pt>
                <c:pt idx="15">
                  <c:v>41</c:v>
                </c:pt>
                <c:pt idx="16">
                  <c:v>33</c:v>
                </c:pt>
                <c:pt idx="17">
                  <c:v>7</c:v>
                </c:pt>
                <c:pt idx="18">
                  <c:v>14</c:v>
                </c:pt>
                <c:pt idx="19">
                  <c:v>26</c:v>
                </c:pt>
                <c:pt idx="20">
                  <c:v>19</c:v>
                </c:pt>
                <c:pt idx="21">
                  <c:v>19</c:v>
                </c:pt>
                <c:pt idx="22">
                  <c:v>65</c:v>
                </c:pt>
                <c:pt idx="23">
                  <c:v>42</c:v>
                </c:pt>
                <c:pt idx="24">
                  <c:v>65</c:v>
                </c:pt>
                <c:pt idx="25">
                  <c:v>14</c:v>
                </c:pt>
                <c:pt idx="26">
                  <c:v>7</c:v>
                </c:pt>
                <c:pt idx="27">
                  <c:v>7</c:v>
                </c:pt>
                <c:pt idx="28">
                  <c:v>5</c:v>
                </c:pt>
              </c:numCache>
            </c:numRef>
          </c:val>
          <c:smooth val="0"/>
          <c:extLst>
            <c:ext xmlns:c16="http://schemas.microsoft.com/office/drawing/2014/chart" uri="{C3380CC4-5D6E-409C-BE32-E72D297353CC}">
              <c16:uniqueId val="{0000027B-DD9C-4DAB-B592-189BCC533B20}"/>
            </c:ext>
          </c:extLst>
        </c:ser>
        <c:ser>
          <c:idx val="1"/>
          <c:order val="1"/>
          <c:tx>
            <c:strRef>
              <c:f>'cet.'!$H$4</c:f>
              <c:strCache>
                <c:ptCount val="1"/>
                <c:pt idx="0">
                  <c:v>Atkārtoto TUA iemaksu skaits</c:v>
                </c:pt>
              </c:strCache>
            </c:strRef>
          </c:tx>
          <c:spPr>
            <a:ln w="28575" cap="rnd">
              <a:solidFill>
                <a:srgbClr val="FF0000"/>
              </a:solidFill>
              <a:prstDash val="dash"/>
              <a:round/>
            </a:ln>
            <a:effectLst/>
          </c:spPr>
          <c:marker>
            <c:symbol val="circle"/>
            <c:size val="5"/>
            <c:spPr>
              <a:solidFill>
                <a:srgbClr val="FF0000"/>
              </a:solidFill>
              <a:ln w="28575">
                <a:solidFill>
                  <a:srgbClr val="FF0000"/>
                </a:solidFill>
                <a:prstDash val="dash"/>
              </a:ln>
              <a:effectLst/>
            </c:spPr>
          </c:marker>
          <c:dLbls>
            <c:dLbl>
              <c:idx val="9"/>
              <c:layout>
                <c:manualLayout>
                  <c:x val="-1.2381646030590002E-2"/>
                  <c:y val="5.7224606580828707E-3"/>
                </c:manualLayout>
              </c:layout>
              <c:dLblPos val="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27C-DD9C-4DAB-B592-189BCC533B20}"/>
                </c:ext>
              </c:extLst>
            </c:dLbl>
            <c:dLbl>
              <c:idx val="10"/>
              <c:layout>
                <c:manualLayout>
                  <c:x val="-1.820830298616169E-2"/>
                  <c:y val="2.0028612303290311E-2"/>
                </c:manualLayout>
              </c:layout>
              <c:dLblPos val="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27D-DD9C-4DAB-B592-189BCC533B20}"/>
                </c:ext>
              </c:extLst>
            </c:dLbl>
            <c:dLbl>
              <c:idx val="11"/>
              <c:layout>
                <c:manualLayout>
                  <c:x val="-1.3838310269482937E-2"/>
                  <c:y val="2.8612303290414878E-2"/>
                </c:manualLayout>
              </c:layout>
              <c:dLblPos val="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27E-DD9C-4DAB-B592-189BCC533B20}"/>
                </c:ext>
              </c:extLst>
            </c:dLbl>
            <c:dLbl>
              <c:idx val="12"/>
              <c:layout>
                <c:manualLayout>
                  <c:x val="-1.3838310269482831E-2"/>
                  <c:y val="2.0028612303290415E-2"/>
                </c:manualLayout>
              </c:layout>
              <c:dLblPos val="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27F-DD9C-4DAB-B592-189BCC533B20}"/>
                </c:ext>
              </c:extLst>
            </c:dLbl>
            <c:dLbl>
              <c:idx val="14"/>
              <c:layout>
                <c:manualLayout>
                  <c:x val="-1.3441684683806474E-2"/>
                  <c:y val="-3.4566591193268249E-2"/>
                </c:manualLayout>
              </c:layout>
              <c:dLblPos val="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280-DD9C-4DAB-B592-189BCC533B20}"/>
                </c:ext>
              </c:extLst>
            </c:dLbl>
            <c:dLbl>
              <c:idx val="15"/>
              <c:layout>
                <c:manualLayout>
                  <c:x val="-6.1583580556657377E-3"/>
                  <c:y val="1.2527963911572303E-2"/>
                </c:manualLayout>
              </c:layout>
              <c:dLblPos val="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281-DD9C-4DAB-B592-189BCC533B20}"/>
                </c:ext>
              </c:extLst>
            </c:dLbl>
            <c:dLbl>
              <c:idx val="16"/>
              <c:layout>
                <c:manualLayout>
                  <c:x val="-1.0429830648444983E-2"/>
                  <c:y val="-2.2811665709168382E-2"/>
                </c:manualLayout>
              </c:layout>
              <c:dLblPos val="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282-DD9C-4DAB-B592-189BCC533B20}"/>
                </c:ext>
              </c:extLst>
            </c:dLbl>
            <c:dLbl>
              <c:idx val="17"/>
              <c:layout>
                <c:manualLayout>
                  <c:x val="-2.0714568362858503E-2"/>
                  <c:y val="2.5829249884536967E-2"/>
                </c:manualLayout>
              </c:layout>
              <c:dLblPos val="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283-DD9C-4DAB-B592-189BCC533B20}"/>
                </c:ext>
              </c:extLst>
            </c:dLbl>
            <c:dLbl>
              <c:idx val="18"/>
              <c:layout>
                <c:manualLayout>
                  <c:x val="-1.1223081819798017E-2"/>
                  <c:y val="-1.9796785058520047E-2"/>
                </c:manualLayout>
              </c:layout>
              <c:dLblPos val="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284-DD9C-4DAB-B592-189BCC533B20}"/>
                </c:ext>
              </c:extLst>
            </c:dLbl>
            <c:dLbl>
              <c:idx val="19"/>
              <c:layout>
                <c:manualLayout>
                  <c:x val="-1.3970557030698912E-2"/>
                  <c:y val="-3.4334763948497854E-2"/>
                </c:manualLayout>
              </c:layout>
              <c:dLblPos val="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285-DD9C-4DAB-B592-189BCC533B20}"/>
                </c:ext>
              </c:extLst>
            </c:dLbl>
            <c:dLbl>
              <c:idx val="20"/>
              <c:layout>
                <c:manualLayout>
                  <c:x val="-2.1165675485029047E-2"/>
                  <c:y val="-4.7867707523684001E-2"/>
                </c:manualLayout>
              </c:layout>
              <c:dLblPos val="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286-DD9C-4DAB-B592-189BCC533B20}"/>
                </c:ext>
              </c:extLst>
            </c:dLbl>
            <c:dLbl>
              <c:idx val="21"/>
              <c:layout>
                <c:manualLayout>
                  <c:x val="-3.2378319789414522E-2"/>
                  <c:y val="-3.2556520563684958E-2"/>
                </c:manualLayout>
              </c:layout>
              <c:dLblPos val="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287-DD9C-4DAB-B592-189BCC533B20}"/>
                </c:ext>
              </c:extLst>
            </c:dLbl>
            <c:dLbl>
              <c:idx val="22"/>
              <c:layout>
                <c:manualLayout>
                  <c:x val="-2.4413463247901393E-3"/>
                  <c:y val="1.1523098239329526E-2"/>
                </c:manualLayout>
              </c:layout>
              <c:dLblPos val="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288-DD9C-4DAB-B592-189BCC533B20}"/>
                </c:ext>
              </c:extLst>
            </c:dLbl>
            <c:dLbl>
              <c:idx val="23"/>
              <c:layout>
                <c:manualLayout>
                  <c:x val="-1.9081613341668052E-2"/>
                  <c:y val="2.907573248622887E-2"/>
                </c:manualLayout>
              </c:layout>
              <c:dLblPos val="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289-DD9C-4DAB-B592-189BCC533B20}"/>
                </c:ext>
              </c:extLst>
            </c:dLbl>
            <c:dLbl>
              <c:idx val="24"/>
              <c:layout>
                <c:manualLayout>
                  <c:x val="-1.8153821449667769E-2"/>
                  <c:y val="-2.2410868169375875E-2"/>
                </c:manualLayout>
              </c:layout>
              <c:dLblPos val="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28A-DD9C-4DAB-B592-189BCC533B20}"/>
                </c:ext>
              </c:extLst>
            </c:dLbl>
            <c:dLbl>
              <c:idx val="25"/>
              <c:layout>
                <c:manualLayout>
                  <c:x val="-1.8817205170089855E-2"/>
                  <c:y val="-3.9648539645498235E-2"/>
                </c:manualLayout>
              </c:layout>
              <c:dLblPos val="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28B-DD9C-4DAB-B592-189BCC533B20}"/>
                </c:ext>
              </c:extLst>
            </c:dLbl>
            <c:dLbl>
              <c:idx val="26"/>
              <c:layout>
                <c:manualLayout>
                  <c:x val="-3.2502445293791496E-2"/>
                  <c:y val="-2.7180256191929798E-2"/>
                </c:manualLayout>
              </c:layout>
              <c:dLblPos val="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28C-DD9C-4DAB-B592-189BCC533B20}"/>
                </c:ext>
              </c:extLst>
            </c:dLbl>
            <c:dLbl>
              <c:idx val="27"/>
              <c:layout>
                <c:manualLayout>
                  <c:x val="3.4493270579503109E-4"/>
                  <c:y val="-2.597661808436252E-5"/>
                </c:manualLayout>
              </c:layout>
              <c:dLblPos val="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28D-DD9C-4DAB-B592-189BCC533B20}"/>
                </c:ext>
              </c:extLst>
            </c:dLbl>
            <c:dLbl>
              <c:idx val="28"/>
              <c:layout>
                <c:manualLayout>
                  <c:x val="-1.1191769273560503E-2"/>
                  <c:y val="-2.2811665709168434E-2"/>
                </c:manualLayout>
              </c:layout>
              <c:dLblPos val="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28E-DD9C-4DAB-B592-189BCC533B20}"/>
                </c:ext>
              </c:extLst>
            </c:dLbl>
            <c:dLbl>
              <c:idx val="29"/>
              <c:layout>
                <c:manualLayout>
                  <c:x val="-2.3949170216477872E-3"/>
                  <c:y val="-2.5055927823144607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28F-DD9C-4DAB-B592-189BCC533B20}"/>
                </c:ext>
              </c:extLst>
            </c:dLbl>
            <c:dLbl>
              <c:idx val="30"/>
              <c:layout>
                <c:manualLayout>
                  <c:x val="-2.2922777207200248E-2"/>
                  <c:y val="-1.4600339044188674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290-DD9C-4DAB-B592-189BCC533B20}"/>
                </c:ext>
              </c:extLst>
            </c:dLbl>
            <c:dLbl>
              <c:idx val="31"/>
              <c:layout>
                <c:manualLayout>
                  <c:x val="-4.7898340432957747E-3"/>
                  <c:y val="-2.0879939852622036E-3"/>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291-DD9C-4DAB-B592-189BCC533B20}"/>
                </c:ext>
              </c:extLst>
            </c:dLbl>
            <c:dLbl>
              <c:idx val="32"/>
              <c:layout>
                <c:manualLayout>
                  <c:x val="-1.3343109120609098E-2"/>
                  <c:y val="-2.0895558705266166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292-DD9C-4DAB-B592-189BCC533B20}"/>
                </c:ext>
              </c:extLst>
            </c:dLbl>
            <c:dLbl>
              <c:idx val="33"/>
              <c:layout>
                <c:manualLayout>
                  <c:x val="-2.0185729182460019E-2"/>
                  <c:y val="-2.7143921808406735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293-DD9C-4DAB-B592-189BCC533B20}"/>
                </c:ext>
              </c:extLst>
            </c:dLbl>
            <c:dLbl>
              <c:idx val="34"/>
              <c:layout>
                <c:manualLayout>
                  <c:x val="-2.0185729182459918E-2"/>
                  <c:y val="-3.3415630986028032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294-DD9C-4DAB-B592-189BCC533B20}"/>
                </c:ext>
              </c:extLst>
            </c:dLbl>
            <c:dLbl>
              <c:idx val="35"/>
              <c:layout>
                <c:manualLayout>
                  <c:x val="-2.0177970621129946E-2"/>
                  <c:y val="-3.5541639100755411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295-DD9C-4DAB-B592-189BCC533B20}"/>
                </c:ext>
              </c:extLst>
            </c:dLbl>
            <c:dLbl>
              <c:idx val="36"/>
              <c:layout>
                <c:manualLayout>
                  <c:x val="-3.6597241551277027E-2"/>
                  <c:y val="-2.5102433308319034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296-DD9C-4DAB-B592-189BCC533B20}"/>
                </c:ext>
              </c:extLst>
            </c:dLbl>
            <c:dLbl>
              <c:idx val="37"/>
              <c:layout>
                <c:manualLayout>
                  <c:x val="-1.1979541966866517E-2"/>
                  <c:y val="-2.3006299753350563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297-DD9C-4DAB-B592-189BCC533B20}"/>
                </c:ext>
              </c:extLst>
            </c:dLbl>
            <c:dLbl>
              <c:idx val="38"/>
              <c:layout>
                <c:manualLayout>
                  <c:x val="-1.1974585108239035E-2"/>
                  <c:y val="-3.3451593217806871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298-DD9C-4DAB-B592-189BCC533B20}"/>
                </c:ext>
              </c:extLst>
            </c:dLbl>
            <c:dLbl>
              <c:idx val="39"/>
              <c:layout>
                <c:manualLayout>
                  <c:x val="-9.2375370834987067E-3"/>
                  <c:y val="-2.9267717223356852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299-DD9C-4DAB-B592-189BCC533B20}"/>
                </c:ext>
              </c:extLst>
            </c:dLbl>
            <c:dLbl>
              <c:idx val="40"/>
              <c:layout>
                <c:manualLayout>
                  <c:x val="-1.1974585108239035E-2"/>
                  <c:y val="-3.9701493470478161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29A-DD9C-4DAB-B592-189BCC533B20}"/>
                </c:ext>
              </c:extLst>
            </c:dLbl>
            <c:dLbl>
              <c:idx val="41"/>
              <c:layout>
                <c:manualLayout>
                  <c:x val="5.8162270525731969E-3"/>
                  <c:y val="2.0895522879199034E-3"/>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29B-DD9C-4DAB-B592-189BCC533B20}"/>
                </c:ext>
              </c:extLst>
            </c:dLbl>
            <c:dLbl>
              <c:idx val="42"/>
              <c:layout>
                <c:manualLayout>
                  <c:x val="-7.869013071128644E-3"/>
                  <c:y val="-2.0895522879199801E-3"/>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29C-DD9C-4DAB-B592-189BCC533B20}"/>
                </c:ext>
              </c:extLst>
            </c:dLbl>
            <c:dLbl>
              <c:idx val="43"/>
              <c:layout>
                <c:manualLayout>
                  <c:x val="-1.026393009277623E-3"/>
                  <c:y val="-1.6716418303359227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29D-DD9C-4DAB-B592-189BCC533B20}"/>
                </c:ext>
              </c:extLst>
            </c:dLbl>
            <c:dLbl>
              <c:idx val="48"/>
              <c:layout>
                <c:manualLayout>
                  <c:x val="-1.880739921063114E-2"/>
                  <c:y val="-2.3015019932189917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29E-DD9C-4DAB-B592-189BCC533B20}"/>
                </c:ext>
              </c:extLst>
            </c:dLbl>
            <c:dLbl>
              <c:idx val="49"/>
              <c:layout>
                <c:manualLayout>
                  <c:x val="-1.1974533952486708E-2"/>
                  <c:y val="-2.0889059242017047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29F-DD9C-4DAB-B592-189BCC533B20}"/>
                </c:ext>
              </c:extLst>
            </c:dLbl>
            <c:dLbl>
              <c:idx val="50"/>
              <c:layout>
                <c:manualLayout>
                  <c:x val="-2.0185729182459918E-2"/>
                  <c:y val="-3.7611941182558263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2A0-DD9C-4DAB-B592-189BCC533B20}"/>
                </c:ext>
              </c:extLst>
            </c:dLbl>
            <c:dLbl>
              <c:idx val="51"/>
              <c:layout>
                <c:manualLayout>
                  <c:x val="-2.2922777207200248E-2"/>
                  <c:y val="-3.5522388894638358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2A1-DD9C-4DAB-B592-189BCC533B20}"/>
                </c:ext>
              </c:extLst>
            </c:dLbl>
            <c:dLbl>
              <c:idx val="52"/>
              <c:layout>
                <c:manualLayout>
                  <c:x val="-1.7448681157719692E-2"/>
                  <c:y val="-4.8023861661027165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2A2-DD9C-4DAB-B592-189BCC533B20}"/>
                </c:ext>
              </c:extLst>
            </c:dLbl>
            <c:dLbl>
              <c:idx val="53"/>
              <c:layout>
                <c:manualLayout>
                  <c:x val="-2.4291301219570412E-2"/>
                  <c:y val="-1.8805970591279132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2A3-DD9C-4DAB-B592-189BCC533B20}"/>
                </c:ext>
              </c:extLst>
            </c:dLbl>
            <c:dLbl>
              <c:idx val="54"/>
              <c:layout>
                <c:manualLayout>
                  <c:x val="-7.869013071128644E-3"/>
                  <c:y val="-2.7168911972639716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2A4-DD9C-4DAB-B592-189BCC533B20}"/>
                </c:ext>
              </c:extLst>
            </c:dLbl>
            <c:dLbl>
              <c:idx val="55"/>
              <c:layout>
                <c:manualLayout>
                  <c:x val="-1.7448681157719491E-2"/>
                  <c:y val="-4.1791045758398142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2A5-DD9C-4DAB-B592-189BCC533B20}"/>
                </c:ext>
              </c:extLst>
            </c:dLbl>
            <c:dLbl>
              <c:idx val="56"/>
              <c:layout>
                <c:manualLayout>
                  <c:x val="-1.744868115771964E-2"/>
                  <c:y val="2.5074627455038762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2A6-DD9C-4DAB-B592-189BCC533B20}"/>
                </c:ext>
              </c:extLst>
            </c:dLbl>
            <c:dLbl>
              <c:idx val="57"/>
              <c:layout>
                <c:manualLayout>
                  <c:x val="-1.3343109120609199E-2"/>
                  <c:y val="-2.0895522879199033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2A7-DD9C-4DAB-B592-189BCC533B20}"/>
                </c:ext>
              </c:extLst>
            </c:dLbl>
            <c:dLbl>
              <c:idx val="58"/>
              <c:layout>
                <c:manualLayout>
                  <c:x val="-1.744868115771964E-2"/>
                  <c:y val="2.5074627455038762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2A8-DD9C-4DAB-B592-189BCC533B20}"/>
                </c:ext>
              </c:extLst>
            </c:dLbl>
            <c:dLbl>
              <c:idx val="59"/>
              <c:layout>
                <c:manualLayout>
                  <c:x val="-1.0606061095868771E-2"/>
                  <c:y val="-2.9253732030878648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2A9-DD9C-4DAB-B592-189BCC533B20}"/>
                </c:ext>
              </c:extLst>
            </c:dLbl>
            <c:dLbl>
              <c:idx val="60"/>
              <c:layout>
                <c:manualLayout>
                  <c:x val="-7.8690130711284428E-3"/>
                  <c:y val="-2.1035374803981457E-3"/>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2AA-DD9C-4DAB-B592-189BCC533B20}"/>
                </c:ext>
              </c:extLst>
            </c:dLbl>
            <c:dLbl>
              <c:idx val="61"/>
              <c:layout>
                <c:manualLayout>
                  <c:x val="-1.7448681157719491E-2"/>
                  <c:y val="-2.9273969427052991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2AB-DD9C-4DAB-B592-189BCC533B20}"/>
                </c:ext>
              </c:extLst>
            </c:dLbl>
            <c:dLbl>
              <c:idx val="62"/>
              <c:layout>
                <c:manualLayout>
                  <c:x val="-2.2922777207200248E-2"/>
                  <c:y val="2.0873640166262548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2AC-DD9C-4DAB-B592-189BCC533B20}"/>
                </c:ext>
              </c:extLst>
            </c:dLbl>
            <c:dLbl>
              <c:idx val="63"/>
              <c:layout>
                <c:manualLayout>
                  <c:x val="-1.3343109120609098E-2"/>
                  <c:y val="-1.4626866015439324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2AD-DD9C-4DAB-B592-189BCC533B20}"/>
                </c:ext>
              </c:extLst>
            </c:dLbl>
            <c:dLbl>
              <c:idx val="64"/>
              <c:layout>
                <c:manualLayout>
                  <c:x val="-2.0185729182459918E-2"/>
                  <c:y val="-2.716417974295882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2AE-DD9C-4DAB-B592-189BCC533B20}"/>
                </c:ext>
              </c:extLst>
            </c:dLbl>
            <c:dLbl>
              <c:idx val="65"/>
              <c:layout>
                <c:manualLayout>
                  <c:x val="-2.8396873256681002E-2"/>
                  <c:y val="-4.5970150334237951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2AF-DD9C-4DAB-B592-189BCC533B20}"/>
                </c:ext>
              </c:extLst>
            </c:dLbl>
            <c:dLbl>
              <c:idx val="66"/>
              <c:layout>
                <c:manualLayout>
                  <c:x val="-2.9765397269051065E-2"/>
                  <c:y val="-2.5074627455038839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2B0-DD9C-4DAB-B592-189BCC533B20}"/>
                </c:ext>
              </c:extLst>
            </c:dLbl>
            <c:dLbl>
              <c:idx val="67"/>
              <c:layout>
                <c:manualLayout>
                  <c:x val="-2.0185729182460019E-2"/>
                  <c:y val="2.2985075167118937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2B1-DD9C-4DAB-B592-189BCC533B20}"/>
                </c:ext>
              </c:extLst>
            </c:dLbl>
            <c:dLbl>
              <c:idx val="68"/>
              <c:layout>
                <c:manualLayout>
                  <c:x val="-1.6070351185890612E-2"/>
                  <c:y val="-3.5539829252317058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2B2-DD9C-4DAB-B592-189BCC533B20}"/>
                </c:ext>
              </c:extLst>
            </c:dLbl>
            <c:dLbl>
              <c:idx val="69"/>
              <c:layout>
                <c:manualLayout>
                  <c:x val="-1.1961761930485331E-2"/>
                  <c:y val="-3.553637408711656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2B3-DD9C-4DAB-B592-189BCC533B20}"/>
                </c:ext>
              </c:extLst>
            </c:dLbl>
            <c:dLbl>
              <c:idx val="70"/>
              <c:layout>
                <c:manualLayout>
                  <c:x val="-1.3332333340984137E-2"/>
                  <c:y val="-4.5967353295742232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2B4-DD9C-4DAB-B592-189BCC533B20}"/>
                </c:ext>
              </c:extLst>
            </c:dLbl>
            <c:dLbl>
              <c:idx val="71"/>
              <c:layout>
                <c:manualLayout>
                  <c:x val="-2.0185729182459918E-2"/>
                  <c:y val="-2.7162698957872815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2B5-DD9C-4DAB-B592-189BCC533B20}"/>
                </c:ext>
              </c:extLst>
            </c:dLbl>
            <c:dLbl>
              <c:idx val="72"/>
              <c:layout>
                <c:manualLayout>
                  <c:x val="-1.7448681157719591E-2"/>
                  <c:y val="-2.2985075167118937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2B6-DD9C-4DAB-B592-189BCC533B20}"/>
                </c:ext>
              </c:extLst>
            </c:dLbl>
            <c:dLbl>
              <c:idx val="73"/>
              <c:layout>
                <c:manualLayout>
                  <c:x val="-1.6070351185890612E-2"/>
                  <c:y val="-2.5089599837574406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2B7-DD9C-4DAB-B592-189BCC533B20}"/>
                </c:ext>
              </c:extLst>
            </c:dLbl>
            <c:dLbl>
              <c:idx val="74"/>
              <c:layout>
                <c:manualLayout>
                  <c:x val="-9.2307483423348814E-3"/>
                  <c:y val="-2.5023703664002056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2B8-DD9C-4DAB-B592-189BCC533B20}"/>
                </c:ext>
              </c:extLst>
            </c:dLbl>
            <c:dLbl>
              <c:idx val="75"/>
              <c:layout>
                <c:manualLayout>
                  <c:x val="-1.7435857979965785E-2"/>
                  <c:y val="-2.5061188910351567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2B9-DD9C-4DAB-B592-189BCC533B20}"/>
                </c:ext>
              </c:extLst>
            </c:dLbl>
            <c:dLbl>
              <c:idx val="77"/>
              <c:layout>
                <c:manualLayout>
                  <c:x val="-2.8381032860632309E-2"/>
                  <c:y val="3.3427304023268399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2BA-DD9C-4DAB-B592-189BCC533B20}"/>
                </c:ext>
              </c:extLst>
            </c:dLbl>
            <c:dLbl>
              <c:idx val="78"/>
              <c:layout>
                <c:manualLayout>
                  <c:x val="-2.1554253194829981E-2"/>
                  <c:y val="-6.2639819557861517E-3"/>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2BB-DD9C-4DAB-B592-189BCC533B20}"/>
                </c:ext>
              </c:extLst>
            </c:dLbl>
            <c:dLbl>
              <c:idx val="79"/>
              <c:layout>
                <c:manualLayout>
                  <c:x val="-2.7028349244310738E-2"/>
                  <c:y val="-1.2527963911572303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2BC-DD9C-4DAB-B592-189BCC533B20}"/>
                </c:ext>
              </c:extLst>
            </c:dLbl>
            <c:dLbl>
              <c:idx val="80"/>
              <c:layout>
                <c:manualLayout>
                  <c:x val="-1.3335350559279327E-2"/>
                  <c:y val="-2.2985361189255628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2BD-DD9C-4DAB-B592-189BCC533B20}"/>
                </c:ext>
              </c:extLst>
            </c:dLbl>
            <c:dLbl>
              <c:idx val="81"/>
              <c:layout>
                <c:manualLayout>
                  <c:x val="-1.0595285316243808E-2"/>
                  <c:y val="1.0416623851829371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2BE-DD9C-4DAB-B592-189BCC533B20}"/>
                </c:ext>
              </c:extLst>
            </c:dLbl>
            <c:dLbl>
              <c:idx val="82"/>
              <c:layout>
                <c:manualLayout>
                  <c:x val="-1.4709576687529343E-2"/>
                  <c:y val="-3.3359214581058047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2BF-DD9C-4DAB-B592-189BCC533B20}"/>
                </c:ext>
              </c:extLst>
            </c:dLbl>
            <c:dLbl>
              <c:idx val="83"/>
              <c:layout>
                <c:manualLayout>
                  <c:x val="-1.8816232586311328E-2"/>
                  <c:y val="-4.3781741417590454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2C0-DD9C-4DAB-B592-189BCC533B20}"/>
                </c:ext>
              </c:extLst>
            </c:dLbl>
            <c:dLbl>
              <c:idx val="84"/>
              <c:layout>
                <c:manualLayout>
                  <c:x val="-7.8690625210311258E-3"/>
                  <c:y val="-1.8739457853836308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2C1-DD9C-4DAB-B592-189BCC533B20}"/>
                </c:ext>
              </c:extLst>
            </c:dLbl>
            <c:dLbl>
              <c:idx val="85"/>
              <c:layout>
                <c:manualLayout>
                  <c:x val="-7.870031630661552E-3"/>
                  <c:y val="-6.2195479908798579E-3"/>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2C2-DD9C-4DAB-B592-189BCC533B20}"/>
                </c:ext>
              </c:extLst>
            </c:dLbl>
            <c:dLbl>
              <c:idx val="86"/>
              <c:layout>
                <c:manualLayout>
                  <c:x val="-1.3343109120609098E-2"/>
                  <c:y val="-1.8779450785241965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2C3-DD9C-4DAB-B592-189BCC533B20}"/>
                </c:ext>
              </c:extLst>
            </c:dLbl>
            <c:dLbl>
              <c:idx val="87"/>
              <c:layout>
                <c:manualLayout>
                  <c:x val="-1.8805141664984183E-2"/>
                  <c:y val="3.3394365334261412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2C4-DD9C-4DAB-B592-189BCC533B20}"/>
                </c:ext>
              </c:extLst>
            </c:dLbl>
            <c:dLbl>
              <c:idx val="88"/>
              <c:layout>
                <c:manualLayout>
                  <c:x val="-1.3343109120609098E-2"/>
                  <c:y val="-2.9253732030878665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2C5-DD9C-4DAB-B592-189BCC533B20}"/>
                </c:ext>
              </c:extLst>
            </c:dLbl>
            <c:dLbl>
              <c:idx val="89"/>
              <c:layout>
                <c:manualLayout>
                  <c:x val="-7.8760616461404868E-3"/>
                  <c:y val="-1.4594132813671607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2C6-DD9C-4DAB-B592-189BCC533B20}"/>
                </c:ext>
              </c:extLst>
            </c:dLbl>
            <c:dLbl>
              <c:idx val="90"/>
              <c:layout>
                <c:manualLayout>
                  <c:x val="-2.291373578302722E-2"/>
                  <c:y val="-3.7587488828548586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2C7-DD9C-4DAB-B592-189BCC533B20}"/>
                </c:ext>
              </c:extLst>
            </c:dLbl>
            <c:dLbl>
              <c:idx val="91"/>
              <c:layout>
                <c:manualLayout>
                  <c:x val="-2.8379837135742648E-2"/>
                  <c:y val="-2.9203377166103571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2C8-DD9C-4DAB-B592-189BCC533B20}"/>
                </c:ext>
              </c:extLst>
            </c:dLbl>
            <c:dLbl>
              <c:idx val="92"/>
              <c:layout>
                <c:manualLayout>
                  <c:x val="-6.5004890587582785E-3"/>
                  <c:y val="-1.6716418303359303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2C9-DD9C-4DAB-B592-189BCC533B20}"/>
                </c:ext>
              </c:extLst>
            </c:dLbl>
            <c:dLbl>
              <c:idx val="93"/>
              <c:layout>
                <c:manualLayout>
                  <c:x val="-1.1974533952486608E-2"/>
                  <c:y val="-2.5043104843034639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2CA-DD9C-4DAB-B592-189BCC533B20}"/>
                </c:ext>
              </c:extLst>
            </c:dLbl>
            <c:dLbl>
              <c:idx val="94"/>
              <c:layout>
                <c:manualLayout>
                  <c:x val="-1.4711633132979263E-2"/>
                  <c:y val="-3.7611941182558339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2CB-DD9C-4DAB-B592-189BCC533B20}"/>
                </c:ext>
              </c:extLst>
            </c:dLbl>
            <c:dLbl>
              <c:idx val="95"/>
              <c:layout>
                <c:manualLayout>
                  <c:x val="-1.1992623998923412E-2"/>
                  <c:y val="-2.7160691339757816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2CC-DD9C-4DAB-B592-189BCC533B20}"/>
                </c:ext>
              </c:extLst>
            </c:dLbl>
            <c:dLbl>
              <c:idx val="96"/>
              <c:layout>
                <c:manualLayout>
                  <c:x val="-2.2922777207200346E-2"/>
                  <c:y val="-3.5522388894638358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2CD-DD9C-4DAB-B592-189BCC533B20}"/>
                </c:ext>
              </c:extLst>
            </c:dLbl>
            <c:dLbl>
              <c:idx val="97"/>
              <c:layout>
                <c:manualLayout>
                  <c:x val="-1.1974585108238935E-2"/>
                  <c:y val="-2.9206925629435651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2CE-DD9C-4DAB-B592-189BCC533B20}"/>
                </c:ext>
              </c:extLst>
            </c:dLbl>
            <c:dLbl>
              <c:idx val="98"/>
              <c:layout>
                <c:manualLayout>
                  <c:x val="-1.0606061095868872E-2"/>
                  <c:y val="-2.2985075167118937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2CF-DD9C-4DAB-B592-189BCC533B20}"/>
                </c:ext>
              </c:extLst>
            </c:dLbl>
            <c:dLbl>
              <c:idx val="99"/>
              <c:layout>
                <c:manualLayout>
                  <c:x val="-2.4291301219570412E-2"/>
                  <c:y val="-3.343283660671853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2D0-DD9C-4DAB-B592-189BCC533B20}"/>
                </c:ext>
              </c:extLst>
            </c:dLbl>
            <c:dLbl>
              <c:idx val="100"/>
              <c:layout>
                <c:manualLayout>
                  <c:x val="-1.7448681157719793E-2"/>
                  <c:y val="-2.7164179742958764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2D1-DD9C-4DAB-B592-189BCC533B20}"/>
                </c:ext>
              </c:extLst>
            </c:dLbl>
            <c:dLbl>
              <c:idx val="101"/>
              <c:layout>
                <c:manualLayout>
                  <c:x val="-1.0606061095868771E-2"/>
                  <c:y val="-3.1343284318798549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2D2-DD9C-4DAB-B592-189BCC533B20}"/>
                </c:ext>
              </c:extLst>
            </c:dLbl>
            <c:dLbl>
              <c:idx val="102"/>
              <c:layout>
                <c:manualLayout>
                  <c:x val="-1.6080157145349428E-2"/>
                  <c:y val="-2.2985075167118955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2D3-DD9C-4DAB-B592-189BCC533B20}"/>
                </c:ext>
              </c:extLst>
            </c:dLbl>
            <c:dLbl>
              <c:idx val="103"/>
              <c:layout>
                <c:manualLayout>
                  <c:x val="-1.3343109120608999E-2"/>
                  <c:y val="-2.5074627455038839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2D4-DD9C-4DAB-B592-189BCC533B20}"/>
                </c:ext>
              </c:extLst>
            </c:dLbl>
            <c:dLbl>
              <c:idx val="104"/>
              <c:layout>
                <c:manualLayout>
                  <c:x val="-1.0606061095868872E-2"/>
                  <c:y val="-3.343283660671853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2D5-DD9C-4DAB-B592-189BCC533B20}"/>
                </c:ext>
              </c:extLst>
            </c:dLbl>
            <c:dLbl>
              <c:idx val="105"/>
              <c:layout>
                <c:manualLayout>
                  <c:x val="-1.6080157145349428E-2"/>
                  <c:y val="-3.3432836606718454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2D6-DD9C-4DAB-B592-189BCC533B20}"/>
                </c:ext>
              </c:extLst>
            </c:dLbl>
            <c:dLbl>
              <c:idx val="106"/>
              <c:layout>
                <c:manualLayout>
                  <c:x val="-1.8817205170089755E-2"/>
                  <c:y val="3.1343284318798549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2D7-DD9C-4DAB-B592-189BCC533B20}"/>
                </c:ext>
              </c:extLst>
            </c:dLbl>
            <c:dLbl>
              <c:idx val="107"/>
              <c:layout>
                <c:manualLayout>
                  <c:x val="-1.3343109120608999E-2"/>
                  <c:y val="-3.5522388894638358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2D8-DD9C-4DAB-B592-189BCC533B20}"/>
                </c:ext>
              </c:extLst>
            </c:dLbl>
            <c:dLbl>
              <c:idx val="108"/>
              <c:layout>
                <c:manualLayout>
                  <c:x val="-2.2922777207200248E-2"/>
                  <c:y val="-4.1791045758398065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2D9-DD9C-4DAB-B592-189BCC533B20}"/>
                </c:ext>
              </c:extLst>
            </c:dLbl>
            <c:dLbl>
              <c:idx val="109"/>
              <c:layout>
                <c:manualLayout>
                  <c:x val="-1.4711633132979263E-2"/>
                  <c:y val="-2.5074627455038839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2DA-DD9C-4DAB-B592-189BCC533B20}"/>
                </c:ext>
              </c:extLst>
            </c:dLbl>
            <c:dLbl>
              <c:idx val="110"/>
              <c:layout>
                <c:manualLayout>
                  <c:x val="-2.3949170216478874E-3"/>
                  <c:y val="-2.0895522879199033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2DB-DD9C-4DAB-B592-189BCC533B20}"/>
                </c:ext>
              </c:extLst>
            </c:dLbl>
            <c:dLbl>
              <c:idx val="111"/>
              <c:layout>
                <c:manualLayout>
                  <c:x val="-1.4711633132979364E-2"/>
                  <c:y val="-3.3432836606718454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2DC-DD9C-4DAB-B592-189BCC533B20}"/>
                </c:ext>
              </c:extLst>
            </c:dLbl>
            <c:dLbl>
              <c:idx val="112"/>
              <c:layout>
                <c:manualLayout>
                  <c:x val="-1.0606061095868771E-2"/>
                  <c:y val="-3.5522388894638358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2DD-DD9C-4DAB-B592-189BCC533B20}"/>
                </c:ext>
              </c:extLst>
            </c:dLbl>
            <c:dLbl>
              <c:idx val="113"/>
              <c:layout>
                <c:manualLayout>
                  <c:x val="-1.0606061095868771E-2"/>
                  <c:y val="-3.1343284318798549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2DE-DD9C-4DAB-B592-189BCC533B20}"/>
                </c:ext>
              </c:extLst>
            </c:dLbl>
            <c:dLbl>
              <c:idx val="114"/>
              <c:layout>
                <c:manualLayout>
                  <c:x val="-1.4711633132979263E-2"/>
                  <c:y val="-2.2985075167118937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2DF-DD9C-4DAB-B592-189BCC533B20}"/>
                </c:ext>
              </c:extLst>
            </c:dLbl>
            <c:dLbl>
              <c:idx val="115"/>
              <c:layout>
                <c:manualLayout>
                  <c:x val="-1.7448681157719591E-2"/>
                  <c:y val="-2.2985075167118976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2E0-DD9C-4DAB-B592-189BCC533B20}"/>
                </c:ext>
              </c:extLst>
            </c:dLbl>
            <c:dLbl>
              <c:idx val="116"/>
              <c:layout>
                <c:manualLayout>
                  <c:x val="-1.8817205170089855E-2"/>
                  <c:y val="-3.5522388894638358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2E1-DD9C-4DAB-B592-189BCC533B20}"/>
                </c:ext>
              </c:extLst>
            </c:dLbl>
            <c:dLbl>
              <c:idx val="117"/>
              <c:layout>
                <c:manualLayout>
                  <c:x val="-1.0606061095868872E-2"/>
                  <c:y val="-3.5522388894638358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2E2-DD9C-4DAB-B592-189BCC533B20}"/>
                </c:ext>
              </c:extLst>
            </c:dLbl>
            <c:dLbl>
              <c:idx val="118"/>
              <c:layout>
                <c:manualLayout>
                  <c:x val="-1.8817205170089956E-2"/>
                  <c:y val="-3.1343284318798549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2E3-DD9C-4DAB-B592-189BCC533B20}"/>
                </c:ext>
              </c:extLst>
            </c:dLbl>
            <c:dLbl>
              <c:idx val="119"/>
              <c:layout>
                <c:manualLayout>
                  <c:x val="-2.4291301219570412E-2"/>
                  <c:y val="-2.9253732030878724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2E4-DD9C-4DAB-B592-189BCC533B20}"/>
                </c:ext>
              </c:extLst>
            </c:dLbl>
            <c:dLbl>
              <c:idx val="120"/>
              <c:layout>
                <c:manualLayout>
                  <c:x val="-1.0606061095868771E-2"/>
                  <c:y val="-2.5074627455038839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2E5-DD9C-4DAB-B592-189BCC533B20}"/>
                </c:ext>
              </c:extLst>
            </c:dLbl>
            <c:dLbl>
              <c:idx val="121"/>
              <c:layout>
                <c:manualLayout>
                  <c:x val="-1.3343109120608999E-2"/>
                  <c:y val="-3.7611941182558263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2E6-DD9C-4DAB-B592-189BCC533B20}"/>
                </c:ext>
              </c:extLst>
            </c:dLbl>
            <c:dLbl>
              <c:idx val="122"/>
              <c:layout>
                <c:manualLayout>
                  <c:x val="-1.1974585108238935E-2"/>
                  <c:y val="-3.3432836606718454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2E7-DD9C-4DAB-B592-189BCC533B20}"/>
                </c:ext>
              </c:extLst>
            </c:dLbl>
            <c:dLbl>
              <c:idx val="123"/>
              <c:layout>
                <c:manualLayout>
                  <c:x val="-2.0185729182459918E-2"/>
                  <c:y val="-2.9253732030878648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2E8-DD9C-4DAB-B592-189BCC533B20}"/>
                </c:ext>
              </c:extLst>
            </c:dLbl>
            <c:dLbl>
              <c:idx val="124"/>
              <c:layout>
                <c:manualLayout>
                  <c:x val="-1.7448681157719591E-2"/>
                  <c:y val="-2.5074627455038839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2E9-DD9C-4DAB-B592-189BCC533B20}"/>
                </c:ext>
              </c:extLst>
            </c:dLbl>
            <c:dLbl>
              <c:idx val="125"/>
              <c:layout>
                <c:manualLayout>
                  <c:x val="-1.0606061095868872E-2"/>
                  <c:y val="2.5074627455038762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2EA-DD9C-4DAB-B592-189BCC533B20}"/>
                </c:ext>
              </c:extLst>
            </c:dLbl>
            <c:dLbl>
              <c:idx val="127"/>
              <c:layout>
                <c:manualLayout>
                  <c:x val="-2.5659825231940575E-2"/>
                  <c:y val="-3.5522388894638379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2EB-DD9C-4DAB-B592-189BCC533B20}"/>
                </c:ext>
              </c:extLst>
            </c:dLbl>
            <c:dLbl>
              <c:idx val="128"/>
              <c:layout>
                <c:manualLayout>
                  <c:x val="-6.5004890587582785E-3"/>
                  <c:y val="-1.4626866015439324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2EC-DD9C-4DAB-B592-189BCC533B20}"/>
                </c:ext>
              </c:extLst>
            </c:dLbl>
            <c:dLbl>
              <c:idx val="129"/>
              <c:layout>
                <c:manualLayout>
                  <c:x val="-6.5004890587582785E-3"/>
                  <c:y val="-1.0447761439599593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2ED-DD9C-4DAB-B592-189BCC533B20}"/>
                </c:ext>
              </c:extLst>
            </c:dLbl>
            <c:dLbl>
              <c:idx val="130"/>
              <c:layout>
                <c:manualLayout>
                  <c:x val="-2.0185729182459918E-2"/>
                  <c:y val="2.5074627455038762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2EE-DD9C-4DAB-B592-189BCC533B20}"/>
                </c:ext>
              </c:extLst>
            </c:dLbl>
            <c:dLbl>
              <c:idx val="131"/>
              <c:layout>
                <c:manualLayout>
                  <c:x val="-1.8817205170089855E-2"/>
                  <c:y val="-3.3432836606718488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2EF-DD9C-4DAB-B592-189BCC533B20}"/>
                </c:ext>
              </c:extLst>
            </c:dLbl>
            <c:dLbl>
              <c:idx val="132"/>
              <c:layout>
                <c:manualLayout>
                  <c:x val="-9.2375370834987067E-3"/>
                  <c:y val="-3.1343284318798549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2F0-DD9C-4DAB-B592-189BCC533B20}"/>
                </c:ext>
              </c:extLst>
            </c:dLbl>
            <c:dLbl>
              <c:idx val="133"/>
              <c:layout>
                <c:manualLayout>
                  <c:x val="-2.0185729182459918E-2"/>
                  <c:y val="-4.3880598046318046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2F1-DD9C-4DAB-B592-189BCC533B20}"/>
                </c:ext>
              </c:extLst>
            </c:dLbl>
            <c:dLbl>
              <c:idx val="134"/>
              <c:layout>
                <c:manualLayout>
                  <c:x val="-1.0606061095868872E-2"/>
                  <c:y val="-1.2537313727519497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2F2-DD9C-4DAB-B592-189BCC533B20}"/>
                </c:ext>
              </c:extLst>
            </c:dLbl>
            <c:dLbl>
              <c:idx val="135"/>
              <c:layout>
                <c:manualLayout>
                  <c:x val="-2.1554253194830182E-2"/>
                  <c:y val="-3.1343284318798625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2F3-DD9C-4DAB-B592-189BCC533B20}"/>
                </c:ext>
              </c:extLst>
            </c:dLbl>
            <c:dLbl>
              <c:idx val="136"/>
              <c:layout>
                <c:manualLayout>
                  <c:x val="-1.0606061095868771E-2"/>
                  <c:y val="-2.2985075167118937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2F4-DD9C-4DAB-B592-189BCC533B20}"/>
                </c:ext>
              </c:extLst>
            </c:dLbl>
            <c:dLbl>
              <c:idx val="137"/>
              <c:layout>
                <c:manualLayout>
                  <c:x val="-1.0606061095868771E-2"/>
                  <c:y val="-3.9701493470478161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2F5-DD9C-4DAB-B592-189BCC533B20}"/>
                </c:ext>
              </c:extLst>
            </c:dLbl>
            <c:dLbl>
              <c:idx val="138"/>
              <c:layout>
                <c:manualLayout>
                  <c:x val="-7.869013071128644E-3"/>
                  <c:y val="-2.2985075167118937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2F6-DD9C-4DAB-B592-189BCC533B20}"/>
                </c:ext>
              </c:extLst>
            </c:dLbl>
            <c:dLbl>
              <c:idx val="139"/>
              <c:layout>
                <c:manualLayout>
                  <c:x val="-7.8690130711284931E-3"/>
                  <c:y val="2.0895522879199033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2F7-DD9C-4DAB-B592-189BCC533B20}"/>
                </c:ext>
              </c:extLst>
            </c:dLbl>
            <c:dLbl>
              <c:idx val="140"/>
              <c:layout>
                <c:manualLayout>
                  <c:x val="-1.379931921500316E-2"/>
                  <c:y val="-2.3681591297634932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2F8-DD9C-4DAB-B592-189BCC533B20}"/>
                </c:ext>
              </c:extLst>
            </c:dLbl>
            <c:dLbl>
              <c:idx val="141"/>
              <c:layout>
                <c:manualLayout>
                  <c:x val="-1.4711633132979263E-2"/>
                  <c:y val="2.5074627455038839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2F9-DD9C-4DAB-B592-189BCC533B20}"/>
                </c:ext>
              </c:extLst>
            </c:dLbl>
            <c:dLbl>
              <c:idx val="142"/>
              <c:layout>
                <c:manualLayout>
                  <c:x val="-1.6080157145349428E-2"/>
                  <c:y val="-2.2985075167118937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2FA-DD9C-4DAB-B592-189BCC533B20}"/>
                </c:ext>
              </c:extLst>
            </c:dLbl>
            <c:dLbl>
              <c:idx val="143"/>
              <c:layout>
                <c:manualLayout>
                  <c:x val="-7.4128740533389477E-3"/>
                  <c:y val="-2.6467660862062623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2FB-DD9C-4DAB-B592-189BCC533B20}"/>
                </c:ext>
              </c:extLst>
            </c:dLbl>
            <c:dLbl>
              <c:idx val="144"/>
              <c:layout>
                <c:manualLayout>
                  <c:x val="-6.9566993989342183E-3"/>
                  <c:y val="-2.3681591297634932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2FC-DD9C-4DAB-B592-189BCC533B20}"/>
                </c:ext>
              </c:extLst>
            </c:dLbl>
            <c:dLbl>
              <c:idx val="145"/>
              <c:layout>
                <c:manualLayout>
                  <c:x val="-1.3343144560598699E-2"/>
                  <c:y val="-1.3233830431031287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2FD-DD9C-4DAB-B592-189BCC533B20}"/>
                </c:ext>
              </c:extLst>
            </c:dLbl>
            <c:dLbl>
              <c:idx val="146"/>
              <c:layout>
                <c:manualLayout>
                  <c:x val="-3.763441034017951E-3"/>
                  <c:y val="0"/>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2FE-DD9C-4DAB-B592-189BCC533B20}"/>
                </c:ext>
              </c:extLst>
            </c:dLbl>
            <c:dLbl>
              <c:idx val="147"/>
              <c:layout>
                <c:manualLayout>
                  <c:x val="-2.0185729182459918E-2"/>
                  <c:y val="-2.9253732030878648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2FF-DD9C-4DAB-B592-189BCC533B20}"/>
                </c:ext>
              </c:extLst>
            </c:dLbl>
            <c:dLbl>
              <c:idx val="148"/>
              <c:layout>
                <c:manualLayout>
                  <c:x val="-1.3343109120609199E-2"/>
                  <c:y val="-6.2686568637597096E-3"/>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300-DD9C-4DAB-B592-189BCC533B20}"/>
                </c:ext>
              </c:extLst>
            </c:dLbl>
            <c:dLbl>
              <c:idx val="149"/>
              <c:layout>
                <c:manualLayout>
                  <c:x val="-1.6080157145349529E-2"/>
                  <c:y val="-3.9701493470478237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301-DD9C-4DAB-B592-189BCC533B20}"/>
                </c:ext>
              </c:extLst>
            </c:dLbl>
            <c:dLbl>
              <c:idx val="150"/>
              <c:layout>
                <c:manualLayout>
                  <c:x val="-3.5239493318531726E-2"/>
                  <c:y val="-3.3407827791933901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302-DD9C-4DAB-B592-189BCC533B20}"/>
                </c:ext>
              </c:extLst>
            </c:dLbl>
            <c:dLbl>
              <c:idx val="152"/>
              <c:layout>
                <c:manualLayout>
                  <c:x val="-1.1974585108238935E-2"/>
                  <c:y val="-2.2985075167119014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303-DD9C-4DAB-B592-189BCC533B20}"/>
                </c:ext>
              </c:extLst>
            </c:dLbl>
            <c:dLbl>
              <c:idx val="153"/>
              <c:layout>
                <c:manualLayout>
                  <c:x val="-1.1974585108238935E-2"/>
                  <c:y val="-2.9253732030878648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304-DD9C-4DAB-B592-189BCC533B20}"/>
                </c:ext>
              </c:extLst>
            </c:dLbl>
            <c:dLbl>
              <c:idx val="154"/>
              <c:layout>
                <c:manualLayout>
                  <c:x val="-1.334009190231431E-2"/>
                  <c:y val="-2.9214244428587246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305-DD9C-4DAB-B592-189BCC533B20}"/>
                </c:ext>
              </c:extLst>
            </c:dLbl>
            <c:dLbl>
              <c:idx val="155"/>
              <c:layout>
                <c:manualLayout>
                  <c:x val="-5.1284090391118774E-3"/>
                  <c:y val="-2.2972570759726661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306-DD9C-4DAB-B592-189BCC533B20}"/>
                </c:ext>
              </c:extLst>
            </c:dLbl>
            <c:dLbl>
              <c:idx val="156"/>
              <c:layout>
                <c:manualLayout>
                  <c:x val="-1.4709477977054271E-2"/>
                  <c:y val="-4.5944581351451644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307-DD9C-4DAB-B592-189BCC533B20}"/>
                </c:ext>
              </c:extLst>
            </c:dLbl>
            <c:dLbl>
              <c:idx val="157"/>
              <c:layout>
                <c:manualLayout>
                  <c:x val="-2.7028349244310638E-2"/>
                  <c:y val="-3.1351147484222158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308-DD9C-4DAB-B592-189BCC533B20}"/>
                </c:ext>
              </c:extLst>
            </c:dLbl>
            <c:dLbl>
              <c:idx val="158"/>
              <c:layout>
                <c:manualLayout>
                  <c:x val="-1.0605626216993373E-2"/>
                  <c:y val="-2.5115752153186763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309-DD9C-4DAB-B592-189BCC533B20}"/>
                </c:ext>
              </c:extLst>
            </c:dLbl>
            <c:dLbl>
              <c:idx val="159"/>
              <c:layout>
                <c:manualLayout>
                  <c:x val="-1.0268722479776274E-3"/>
                  <c:y val="-1.046596671875589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30A-DD9C-4DAB-B592-189BCC533B20}"/>
                </c:ext>
              </c:extLst>
            </c:dLbl>
            <c:dLbl>
              <c:idx val="160"/>
              <c:layout>
                <c:manualLayout>
                  <c:x val="-6.4994301079891225E-3"/>
                  <c:y val="-2.2996516941288757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30B-DD9C-4DAB-B592-189BCC533B20}"/>
                </c:ext>
              </c:extLst>
            </c:dLbl>
            <c:dLbl>
              <c:idx val="161"/>
              <c:layout>
                <c:manualLayout>
                  <c:x val="-7.8690130711284428E-3"/>
                  <c:y val="-2.2926337358710479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30C-DD9C-4DAB-B592-189BCC533B20}"/>
                </c:ext>
              </c:extLst>
            </c:dLbl>
            <c:dLbl>
              <c:idx val="162"/>
              <c:layout>
                <c:manualLayout>
                  <c:x val="-1.3333303161150384E-2"/>
                  <c:y val="-2.5107862853634103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30D-DD9C-4DAB-B592-189BCC533B20}"/>
                </c:ext>
              </c:extLst>
            </c:dLbl>
            <c:dLbl>
              <c:idx val="163"/>
              <c:layout>
                <c:manualLayout>
                  <c:x val="-1.8819144810422246E-2"/>
                  <c:y val="-3.3442708507291301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30E-DD9C-4DAB-B592-189BCC533B20}"/>
                </c:ext>
              </c:extLst>
            </c:dLbl>
            <c:dLbl>
              <c:idx val="164"/>
              <c:layout>
                <c:manualLayout>
                  <c:x val="-2.0188582055453257E-2"/>
                  <c:y val="-4.1833907203704203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30F-DD9C-4DAB-B592-189BCC533B20}"/>
                </c:ext>
              </c:extLst>
            </c:dLbl>
            <c:dLbl>
              <c:idx val="165"/>
              <c:layout>
                <c:manualLayout>
                  <c:x val="-6.5004890587583792E-3"/>
                  <c:y val="-2.5048137855168358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310-DD9C-4DAB-B592-189BCC533B20}"/>
                </c:ext>
              </c:extLst>
            </c:dLbl>
            <c:dLbl>
              <c:idx val="166"/>
              <c:layout>
                <c:manualLayout>
                  <c:x val="-5.1209737511706535E-3"/>
                  <c:y val="-2.7089482361957511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311-DD9C-4DAB-B592-189BCC533B20}"/>
                </c:ext>
              </c:extLst>
            </c:dLbl>
            <c:dLbl>
              <c:idx val="167"/>
              <c:layout>
                <c:manualLayout>
                  <c:x val="-1.1974585108238935E-2"/>
                  <c:y val="-3.9671885719978983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312-DD9C-4DAB-B592-189BCC533B20}"/>
                </c:ext>
              </c:extLst>
            </c:dLbl>
            <c:dLbl>
              <c:idx val="168"/>
              <c:layout>
                <c:manualLayout>
                  <c:x val="-2.3949578428593484E-3"/>
                  <c:y val="-2.0905924492080688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313-DD9C-4DAB-B592-189BCC533B20}"/>
                </c:ext>
              </c:extLst>
            </c:dLbl>
            <c:dLbl>
              <c:idx val="169"/>
              <c:layout>
                <c:manualLayout>
                  <c:x val="-1.3332639486173857E-2"/>
                  <c:y val="-3.3493266399257475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314-DD9C-4DAB-B592-189BCC533B20}"/>
                </c:ext>
              </c:extLst>
            </c:dLbl>
            <c:dLbl>
              <c:idx val="170"/>
              <c:layout>
                <c:manualLayout>
                  <c:x val="-9.2375370834986061E-3"/>
                  <c:y val="-2.0861197229445714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315-DD9C-4DAB-B592-189BCC533B20}"/>
                </c:ext>
              </c:extLst>
            </c:dLbl>
            <c:dLbl>
              <c:idx val="171"/>
              <c:layout>
                <c:manualLayout>
                  <c:x val="-1.026393009277623E-3"/>
                  <c:y val="-1.4595735592882604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316-DD9C-4DAB-B592-189BCC533B20}"/>
                </c:ext>
              </c:extLst>
            </c:dLbl>
            <c:dLbl>
              <c:idx val="172"/>
              <c:layout>
                <c:manualLayout>
                  <c:x val="-6.4844331471172866E-3"/>
                  <c:y val="-2.0809901629177934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317-DD9C-4DAB-B592-189BCC533B20}"/>
                </c:ext>
              </c:extLst>
            </c:dLbl>
            <c:dLbl>
              <c:idx val="173"/>
              <c:layout>
                <c:manualLayout>
                  <c:x val="-9.2214811718572126E-3"/>
                  <c:y val="-2.0837114134143082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318-DD9C-4DAB-B592-189BCC533B20}"/>
                </c:ext>
              </c:extLst>
            </c:dLbl>
            <c:dLbl>
              <c:idx val="174"/>
              <c:layout>
                <c:manualLayout>
                  <c:x val="-1.8817205170089855E-2"/>
                  <c:y val="-2.9263153498960106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319-DD9C-4DAB-B592-189BCC533B20}"/>
                </c:ext>
              </c:extLst>
            </c:dLbl>
            <c:dLbl>
              <c:idx val="175"/>
              <c:layout>
                <c:manualLayout>
                  <c:x val="-9.2445521232922805E-3"/>
                  <c:y val="-2.9237213872458284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31A-DD9C-4DAB-B592-189BCC533B20}"/>
                </c:ext>
              </c:extLst>
            </c:dLbl>
            <c:dLbl>
              <c:idx val="176"/>
              <c:layout>
                <c:manualLayout>
                  <c:x val="-5.1319738878794E-3"/>
                  <c:y val="-1.6719932103199327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31B-DD9C-4DAB-B592-189BCC533B20}"/>
                </c:ext>
              </c:extLst>
            </c:dLbl>
            <c:dLbl>
              <c:idx val="177"/>
              <c:layout>
                <c:manualLayout>
                  <c:x val="-1.026393009277623E-3"/>
                  <c:y val="-2.0861197229445714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31C-DD9C-4DAB-B592-189BCC533B20}"/>
                </c:ext>
              </c:extLst>
            </c:dLbl>
            <c:dLbl>
              <c:idx val="178"/>
              <c:layout>
                <c:manualLayout>
                  <c:x val="-3.763441034017951E-3"/>
                  <c:y val="-4.6034513060895604E-6"/>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31D-DD9C-4DAB-B592-189BCC533B20}"/>
                </c:ext>
              </c:extLst>
            </c:dLbl>
            <c:dLbl>
              <c:idx val="179"/>
              <c:layout>
                <c:manualLayout>
                  <c:x val="-5.1319650463882149E-3"/>
                  <c:y val="-2.5049680282086421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31E-DD9C-4DAB-B592-189BCC533B20}"/>
                </c:ext>
              </c:extLst>
            </c:dLbl>
            <c:dLbl>
              <c:idx val="180"/>
              <c:layout>
                <c:manualLayout>
                  <c:x val="-2.3949170216479875E-3"/>
                  <c:y val="-1.4623685118669577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31F-DD9C-4DAB-B592-189BCC533B20}"/>
                </c:ext>
              </c:extLst>
            </c:dLbl>
            <c:dLbl>
              <c:idx val="181"/>
              <c:layout>
                <c:manualLayout>
                  <c:x val="-3.7634410340180511E-3"/>
                  <c:y val="-2.2985075167118937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320-DD9C-4DAB-B592-189BCC533B20}"/>
                </c:ext>
              </c:extLst>
            </c:dLbl>
            <c:dLbl>
              <c:idx val="182"/>
              <c:layout>
                <c:manualLayout>
                  <c:x val="-1.026393009277623E-3"/>
                  <c:y val="-2.103612837907865E-3"/>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321-DD9C-4DAB-B592-189BCC533B20}"/>
                </c:ext>
              </c:extLst>
            </c:dLbl>
            <c:dLbl>
              <c:idx val="183"/>
              <c:layout>
                <c:manualLayout>
                  <c:x val="-2.4291301219570412E-2"/>
                  <c:y val="2.2985075167118861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322-DD9C-4DAB-B592-189BCC533B20}"/>
                </c:ext>
              </c:extLst>
            </c:dLbl>
            <c:dLbl>
              <c:idx val="184"/>
              <c:layout>
                <c:manualLayout>
                  <c:x val="-3.7634410340181518E-3"/>
                  <c:y val="-8.3582091516796134E-3"/>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323-DD9C-4DAB-B592-189BCC533B20}"/>
                </c:ext>
              </c:extLst>
            </c:dLbl>
            <c:dLbl>
              <c:idx val="185"/>
              <c:layout>
                <c:manualLayout>
                  <c:x val="-3.763441034017951E-3"/>
                  <c:y val="-2.2972537289188723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324-DD9C-4DAB-B592-189BCC533B20}"/>
                </c:ext>
              </c:extLst>
            </c:dLbl>
            <c:dLbl>
              <c:idx val="186"/>
              <c:layout>
                <c:manualLayout>
                  <c:x val="-3.7634410340181518E-3"/>
                  <c:y val="-1.6728942046329461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325-DD9C-4DAB-B592-189BCC533B20}"/>
                </c:ext>
              </c:extLst>
            </c:dLbl>
            <c:dLbl>
              <c:idx val="187"/>
              <c:layout>
                <c:manualLayout>
                  <c:x val="-1.3343109120609299E-2"/>
                  <c:y val="-1.2537313727519419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326-DD9C-4DAB-B592-189BCC533B20}"/>
                </c:ext>
              </c:extLst>
            </c:dLbl>
            <c:dLbl>
              <c:idx val="188"/>
              <c:layout>
                <c:manualLayout>
                  <c:x val="-1.1974585108239035E-2"/>
                  <c:y val="-2.9253732030878648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327-DD9C-4DAB-B592-189BCC533B20}"/>
                </c:ext>
              </c:extLst>
            </c:dLbl>
            <c:dLbl>
              <c:idx val="189"/>
              <c:layout>
                <c:manualLayout>
                  <c:x val="-6.5004890587582785E-3"/>
                  <c:y val="-1.6728922710751503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328-DD9C-4DAB-B592-189BCC533B20}"/>
                </c:ext>
              </c:extLst>
            </c:dLbl>
            <c:dLbl>
              <c:idx val="190"/>
              <c:layout>
                <c:manualLayout>
                  <c:x val="5.8162270525731969E-3"/>
                  <c:y val="6.2671760786737829E-3"/>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329-DD9C-4DAB-B592-189BCC533B20}"/>
                </c:ext>
              </c:extLst>
            </c:dLbl>
            <c:dLbl>
              <c:idx val="191"/>
              <c:layout>
                <c:manualLayout>
                  <c:x val="-9.2375370834986061E-3"/>
                  <c:y val="6.2905395766961938E-3"/>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32A-DD9C-4DAB-B592-189BCC533B20}"/>
                </c:ext>
              </c:extLst>
            </c:dLbl>
            <c:dLbl>
              <c:idx val="192"/>
              <c:layout>
                <c:manualLayout>
                  <c:x val="-7.8690130711284428E-3"/>
                  <c:y val="-8.3567283665937631E-3"/>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32B-DD9C-4DAB-B592-189BCC533B20}"/>
                </c:ext>
              </c:extLst>
            </c:dLbl>
            <c:dLbl>
              <c:idx val="193"/>
              <c:layout>
                <c:manualLayout>
                  <c:x val="-6.5004890587582785E-3"/>
                  <c:y val="-8.3192151444168565E-3"/>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32C-DD9C-4DAB-B592-189BCC533B20}"/>
                </c:ext>
              </c:extLst>
            </c:dLbl>
            <c:dLbl>
              <c:idx val="194"/>
              <c:layout>
                <c:manualLayout>
                  <c:x val="-9.238984865124391E-3"/>
                  <c:y val="-6.215363452184812E-3"/>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32D-DD9C-4DAB-B592-189BCC533B20}"/>
                </c:ext>
              </c:extLst>
            </c:dLbl>
            <c:dLbl>
              <c:idx val="195"/>
              <c:layout>
                <c:manualLayout>
                  <c:x val="-9.2375370834987067E-3"/>
                  <c:y val="-1.8779450785241927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32E-DD9C-4DAB-B592-189BCC533B20}"/>
                </c:ext>
              </c:extLst>
            </c:dLbl>
            <c:dLbl>
              <c:idx val="196"/>
              <c:layout>
                <c:manualLayout>
                  <c:x val="-3.3870969306161555E-2"/>
                  <c:y val="-3.1343284318798549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32F-DD9C-4DAB-B592-189BCC533B20}"/>
                </c:ext>
              </c:extLst>
            </c:dLbl>
            <c:dLbl>
              <c:idx val="197"/>
              <c:layout>
                <c:manualLayout>
                  <c:x val="-1.6080157145349529E-2"/>
                  <c:y val="-2.7164179742958743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330-DD9C-4DAB-B592-189BCC533B20}"/>
                </c:ext>
              </c:extLst>
            </c:dLbl>
            <c:dLbl>
              <c:idx val="198"/>
              <c:layout>
                <c:manualLayout>
                  <c:x val="-9.2375370834986061E-3"/>
                  <c:y val="-2.5074627455038918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331-DD9C-4DAB-B592-189BCC533B20}"/>
                </c:ext>
              </c:extLst>
            </c:dLbl>
            <c:dLbl>
              <c:idx val="199"/>
              <c:layout>
                <c:manualLayout>
                  <c:x val="-1.026393009277623E-3"/>
                  <c:y val="-1.2537313727519497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332-DD9C-4DAB-B592-189BCC533B20}"/>
                </c:ext>
              </c:extLst>
            </c:dLbl>
            <c:dLbl>
              <c:idx val="200"/>
              <c:layout>
                <c:manualLayout>
                  <c:x val="3.0791790278328689E-3"/>
                  <c:y val="-1.2521683218279074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333-DD9C-4DAB-B592-189BCC533B20}"/>
                </c:ext>
              </c:extLst>
            </c:dLbl>
            <c:dLbl>
              <c:idx val="201"/>
              <c:layout>
                <c:manualLayout>
                  <c:x val="-9.2375370834986061E-3"/>
                  <c:y val="-2.0895522879199033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334-DD9C-4DAB-B592-189BCC533B20}"/>
                </c:ext>
              </c:extLst>
            </c:dLbl>
            <c:dLbl>
              <c:idx val="202"/>
              <c:layout>
                <c:manualLayout>
                  <c:x val="-9.2375370834986061E-3"/>
                  <c:y val="-2.2985075167118937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335-DD9C-4DAB-B592-189BCC533B20}"/>
                </c:ext>
              </c:extLst>
            </c:dLbl>
            <c:dLbl>
              <c:idx val="203"/>
              <c:layout>
                <c:manualLayout>
                  <c:x val="3.0791790278326681E-3"/>
                  <c:y val="4.1634928884074955E-3"/>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336-DD9C-4DAB-B592-189BCC533B20}"/>
                </c:ext>
              </c:extLst>
            </c:dLbl>
            <c:dLbl>
              <c:idx val="204"/>
              <c:layout>
                <c:manualLayout>
                  <c:x val="1.7106550154627051E-3"/>
                  <c:y val="-2.1050925186846688E-3"/>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337-DD9C-4DAB-B592-189BCC533B20}"/>
                </c:ext>
              </c:extLst>
            </c:dLbl>
            <c:dLbl>
              <c:idx val="205"/>
              <c:layout>
                <c:manualLayout>
                  <c:x val="-2.3949170216477872E-3"/>
                  <c:y val="-2.9253732030878801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338-DD9C-4DAB-B592-189BCC533B20}"/>
                </c:ext>
              </c:extLst>
            </c:dLbl>
            <c:dLbl>
              <c:idx val="206"/>
              <c:layout>
                <c:manualLayout>
                  <c:x val="-5.1319650463882149E-3"/>
                  <c:y val="-2.8041133577180245E-3"/>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339-DD9C-4DAB-B592-189BCC533B20}"/>
                </c:ext>
              </c:extLst>
            </c:dLbl>
            <c:dLbl>
              <c:idx val="207"/>
              <c:layout>
                <c:manualLayout>
                  <c:x val="-2.3949170216477872E-3"/>
                  <c:y val="-1.6716418303359303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33A-DD9C-4DAB-B592-189BCC533B20}"/>
                </c:ext>
              </c:extLst>
            </c:dLbl>
            <c:dLbl>
              <c:idx val="208"/>
              <c:layout>
                <c:manualLayout>
                  <c:x val="3.42131003092541E-4"/>
                  <c:y val="-1.2537313727519497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33B-DD9C-4DAB-B592-189BCC533B20}"/>
                </c:ext>
              </c:extLst>
            </c:dLbl>
            <c:dLbl>
              <c:idx val="209"/>
              <c:layout>
                <c:manualLayout>
                  <c:x val="-1.0263930092777233E-3"/>
                  <c:y val="-4.1791045758398067E-3"/>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33C-DD9C-4DAB-B592-189BCC533B20}"/>
                </c:ext>
              </c:extLst>
            </c:dLbl>
            <c:dLbl>
              <c:idx val="210"/>
              <c:layout>
                <c:manualLayout>
                  <c:x val="-3.763441034017951E-3"/>
                  <c:y val="-6.2686568637597096E-3"/>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33D-DD9C-4DAB-B592-189BCC533B20}"/>
                </c:ext>
              </c:extLst>
            </c:dLbl>
            <c:dLbl>
              <c:idx val="211"/>
              <c:layout>
                <c:manualLayout>
                  <c:x val="9.9217990896834883E-3"/>
                  <c:y val="1.0447761439599516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33E-DD9C-4DAB-B592-189BCC533B20}"/>
                </c:ext>
              </c:extLst>
            </c:dLbl>
            <c:dLbl>
              <c:idx val="212"/>
              <c:layout>
                <c:manualLayout>
                  <c:x val="-1.8817205170089855E-2"/>
                  <c:y val="-3.5522388894638379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33F-DD9C-4DAB-B592-189BCC533B20}"/>
                </c:ext>
              </c:extLst>
            </c:dLbl>
            <c:dLbl>
              <c:idx val="213"/>
              <c:layout>
                <c:manualLayout>
                  <c:x val="3.4213100309244066E-4"/>
                  <c:y val="-1.8805970591279132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340-DD9C-4DAB-B592-189BCC533B20}"/>
                </c:ext>
              </c:extLst>
            </c:dLbl>
            <c:dLbl>
              <c:idx val="214"/>
              <c:layout>
                <c:manualLayout>
                  <c:x val="-2.3949170216479875E-3"/>
                  <c:y val="1.2537313727519419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341-DD9C-4DAB-B592-189BCC533B20}"/>
                </c:ext>
              </c:extLst>
            </c:dLbl>
            <c:dLbl>
              <c:idx val="215"/>
              <c:layout>
                <c:manualLayout>
                  <c:x val="1.7106550154627051E-3"/>
                  <c:y val="-2.0895522879199034E-3"/>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342-DD9C-4DAB-B592-189BCC533B20}"/>
                </c:ext>
              </c:extLst>
            </c:dLbl>
            <c:dLbl>
              <c:idx val="216"/>
              <c:layout>
                <c:manualLayout>
                  <c:x val="-6.5004890587582785E-3"/>
                  <c:y val="-4.1791045758398067E-3"/>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343-DD9C-4DAB-B592-189BCC533B20}"/>
                </c:ext>
              </c:extLst>
            </c:dLbl>
            <c:dLbl>
              <c:idx val="217"/>
              <c:layout>
                <c:manualLayout>
                  <c:x val="-3.763441034017951E-3"/>
                  <c:y val="-4.1791045758398067E-3"/>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344-DD9C-4DAB-B592-189BCC533B20}"/>
                </c:ext>
              </c:extLst>
            </c:dLbl>
            <c:dLbl>
              <c:idx val="218"/>
              <c:layout>
                <c:manualLayout>
                  <c:x val="-2.3949170216479875E-3"/>
                  <c:y val="4.179104575839883E-3"/>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345-DD9C-4DAB-B592-189BCC533B20}"/>
                </c:ext>
              </c:extLst>
            </c:dLbl>
            <c:dLbl>
              <c:idx val="219"/>
              <c:layout>
                <c:manualLayout>
                  <c:x val="-2.4291301219570311E-2"/>
                  <c:y val="-3.5522388894638358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346-DD9C-4DAB-B592-189BCC533B20}"/>
                </c:ext>
              </c:extLst>
            </c:dLbl>
            <c:dLbl>
              <c:idx val="220"/>
              <c:layout>
                <c:manualLayout>
                  <c:x val="-3.763441034017951E-3"/>
                  <c:y val="-4.1791045758399602E-3"/>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347-DD9C-4DAB-B592-189BCC533B20}"/>
                </c:ext>
              </c:extLst>
            </c:dLbl>
            <c:dLbl>
              <c:idx val="221"/>
              <c:layout>
                <c:manualLayout>
                  <c:x val="-1.0606061095868872E-2"/>
                  <c:y val="-2.2985075167118937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348-DD9C-4DAB-B592-189BCC533B20}"/>
                </c:ext>
              </c:extLst>
            </c:dLbl>
            <c:dLbl>
              <c:idx val="222"/>
              <c:layout>
                <c:manualLayout>
                  <c:x val="-1.0606061095868771E-2"/>
                  <c:y val="2.7164179742958667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349-DD9C-4DAB-B592-189BCC533B20}"/>
                </c:ext>
              </c:extLst>
            </c:dLbl>
            <c:dLbl>
              <c:idx val="223"/>
              <c:layout>
                <c:manualLayout>
                  <c:x val="-7.8690130711284428E-3"/>
                  <c:y val="1.6716418303359151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34A-DD9C-4DAB-B592-189BCC533B20}"/>
                </c:ext>
              </c:extLst>
            </c:dLbl>
            <c:dLbl>
              <c:idx val="224"/>
              <c:layout>
                <c:manualLayout>
                  <c:x val="-1.0606061095868971E-2"/>
                  <c:y val="-4.179104575839883E-3"/>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34B-DD9C-4DAB-B592-189BCC533B20}"/>
                </c:ext>
              </c:extLst>
            </c:dLbl>
            <c:dLbl>
              <c:idx val="225"/>
              <c:layout>
                <c:manualLayout>
                  <c:x val="-2.3949170216479875E-3"/>
                  <c:y val="-2.0895522879199034E-3"/>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34C-DD9C-4DAB-B592-189BCC533B20}"/>
                </c:ext>
              </c:extLst>
            </c:dLbl>
            <c:dLbl>
              <c:idx val="226"/>
              <c:layout>
                <c:manualLayout>
                  <c:x val="-1.7448681157719692E-2"/>
                  <c:y val="-3.5522388894638435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34D-DD9C-4DAB-B592-189BCC533B20}"/>
                </c:ext>
              </c:extLst>
            </c:dLbl>
            <c:dLbl>
              <c:idx val="227"/>
              <c:layout>
                <c:manualLayout>
                  <c:x val="-1.7448681157719692E-2"/>
                  <c:y val="-3.1343284318798549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34E-DD9C-4DAB-B592-189BCC533B20}"/>
                </c:ext>
              </c:extLst>
            </c:dLbl>
            <c:dLbl>
              <c:idx val="228"/>
              <c:layout>
                <c:manualLayout>
                  <c:x val="-1.0606061095868872E-2"/>
                  <c:y val="-6.2686568637597096E-3"/>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34F-DD9C-4DAB-B592-189BCC533B20}"/>
                </c:ext>
              </c:extLst>
            </c:dLbl>
            <c:dLbl>
              <c:idx val="229"/>
              <c:layout>
                <c:manualLayout>
                  <c:x val="-7.8690130711284428E-3"/>
                  <c:y val="-1.6716418303359227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350-DD9C-4DAB-B592-189BCC533B20}"/>
                </c:ext>
              </c:extLst>
            </c:dLbl>
            <c:dLbl>
              <c:idx val="230"/>
              <c:layout>
                <c:manualLayout>
                  <c:x val="-6.5004890587582785E-3"/>
                  <c:y val="6.2686568637597096E-3"/>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351-DD9C-4DAB-B592-189BCC533B20}"/>
                </c:ext>
              </c:extLst>
            </c:dLbl>
            <c:dLbl>
              <c:idx val="231"/>
              <c:layout>
                <c:manualLayout>
                  <c:x val="-3.763441034017951E-3"/>
                  <c:y val="4.179104575839883E-3"/>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352-DD9C-4DAB-B592-189BCC533B20}"/>
                </c:ext>
              </c:extLst>
            </c:dLbl>
            <c:dLbl>
              <c:idx val="232"/>
              <c:layout>
                <c:manualLayout>
                  <c:x val="-5.1319650463881152E-3"/>
                  <c:y val="-1.2537313727519419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353-DD9C-4DAB-B592-189BCC533B20}"/>
                </c:ext>
              </c:extLst>
            </c:dLbl>
            <c:dLbl>
              <c:idx val="233"/>
              <c:layout>
                <c:manualLayout>
                  <c:x val="-1.6080157145349626E-2"/>
                  <c:y val="-2.716417974295882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354-DD9C-4DAB-B592-189BCC533B20}"/>
                </c:ext>
              </c:extLst>
            </c:dLbl>
            <c:dLbl>
              <c:idx val="234"/>
              <c:layout>
                <c:manualLayout>
                  <c:x val="-1.0606061095868771E-2"/>
                  <c:y val="-1.2537313727519419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355-DD9C-4DAB-B592-189BCC533B20}"/>
                </c:ext>
              </c:extLst>
            </c:dLbl>
            <c:dLbl>
              <c:idx val="235"/>
              <c:layout>
                <c:manualLayout>
                  <c:x val="-1.026393009277623E-3"/>
                  <c:y val="-1.0447761439599593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356-DD9C-4DAB-B592-189BCC533B20}"/>
                </c:ext>
              </c:extLst>
            </c:dLbl>
            <c:dLbl>
              <c:idx val="236"/>
              <c:layout>
                <c:manualLayout>
                  <c:x val="-1.0606061095868971E-2"/>
                  <c:y val="-1.46268660154394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357-DD9C-4DAB-B592-189BCC533B20}"/>
                </c:ext>
              </c:extLst>
            </c:dLbl>
            <c:dLbl>
              <c:idx val="237"/>
              <c:layout>
                <c:manualLayout>
                  <c:x val="-3.763441034017951E-3"/>
                  <c:y val="-7.66160321487885E-17"/>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358-DD9C-4DAB-B592-189BCC533B20}"/>
                </c:ext>
              </c:extLst>
            </c:dLbl>
            <c:dLbl>
              <c:idx val="238"/>
              <c:layout>
                <c:manualLayout>
                  <c:x val="-2.8396873256680902E-2"/>
                  <c:y val="-3.1343284318798549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359-DD9C-4DAB-B592-189BCC533B20}"/>
                </c:ext>
              </c:extLst>
            </c:dLbl>
            <c:dLbl>
              <c:idx val="239"/>
              <c:layout>
                <c:manualLayout>
                  <c:x val="3.4213100309264134E-4"/>
                  <c:y val="-1.0447761439599516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35A-DD9C-4DAB-B592-189BCC533B20}"/>
                </c:ext>
              </c:extLst>
            </c:dLbl>
            <c:dLbl>
              <c:idx val="240"/>
              <c:layout>
                <c:manualLayout>
                  <c:x val="-1.3343109120609199E-2"/>
                  <c:y val="-2.5074627455038839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35B-DD9C-4DAB-B592-189BCC533B20}"/>
                </c:ext>
              </c:extLst>
            </c:dLbl>
            <c:dLbl>
              <c:idx val="241"/>
              <c:layout>
                <c:manualLayout>
                  <c:x val="-7.8690130711285434E-3"/>
                  <c:y val="-1.0447761439599516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35C-DD9C-4DAB-B592-189BCC533B20}"/>
                </c:ext>
              </c:extLst>
            </c:dLbl>
            <c:dLbl>
              <c:idx val="242"/>
              <c:layout>
                <c:manualLayout>
                  <c:x val="-1.026393009277623E-3"/>
                  <c:y val="0"/>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35D-DD9C-4DAB-B592-189BCC533B20}"/>
                </c:ext>
              </c:extLst>
            </c:dLbl>
            <c:dLbl>
              <c:idx val="243"/>
              <c:layout>
                <c:manualLayout>
                  <c:x val="-3.763441034017951E-3"/>
                  <c:y val="-2.0895522879199034E-3"/>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35E-DD9C-4DAB-B592-189BCC533B20}"/>
                </c:ext>
              </c:extLst>
            </c:dLbl>
            <c:dLbl>
              <c:idx val="244"/>
              <c:layout>
                <c:manualLayout>
                  <c:x val="-7.8690130711284428E-3"/>
                  <c:y val="-2.0895522879199033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35F-DD9C-4DAB-B592-189BCC533B20}"/>
                </c:ext>
              </c:extLst>
            </c:dLbl>
            <c:dLbl>
              <c:idx val="245"/>
              <c:layout>
                <c:manualLayout>
                  <c:x val="-1.026393009277623E-3"/>
                  <c:y val="-6.2686568637597096E-3"/>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360-DD9C-4DAB-B592-189BCC533B20}"/>
                </c:ext>
              </c:extLst>
            </c:dLbl>
            <c:dLbl>
              <c:idx val="246"/>
              <c:layout>
                <c:manualLayout>
                  <c:x val="-2.3949170216479875E-3"/>
                  <c:y val="-6.2686568637597096E-3"/>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361-DD9C-4DAB-B592-189BCC533B20}"/>
                </c:ext>
              </c:extLst>
            </c:dLbl>
            <c:dLbl>
              <c:idx val="247"/>
              <c:layout>
                <c:manualLayout>
                  <c:x val="-7.8690130711285434E-3"/>
                  <c:y val="-2.0895522879199033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362-DD9C-4DAB-B592-189BCC533B20}"/>
                </c:ext>
              </c:extLst>
            </c:dLbl>
            <c:dLbl>
              <c:idx val="248"/>
              <c:layout>
                <c:manualLayout>
                  <c:x val="5.8162270525731969E-3"/>
                  <c:y val="-4.1791045758398067E-3"/>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363-DD9C-4DAB-B592-189BCC533B20}"/>
                </c:ext>
              </c:extLst>
            </c:dLbl>
            <c:dLbl>
              <c:idx val="249"/>
              <c:layout>
                <c:manualLayout>
                  <c:x val="-2.3949170216479875E-3"/>
                  <c:y val="0"/>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364-DD9C-4DAB-B592-189BCC533B20}"/>
                </c:ext>
              </c:extLst>
            </c:dLbl>
            <c:dLbl>
              <c:idx val="250"/>
              <c:layout>
                <c:manualLayout>
                  <c:x val="3.42131003092541E-4"/>
                  <c:y val="8.3582091516796134E-3"/>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365-DD9C-4DAB-B592-189BCC533B20}"/>
                </c:ext>
              </c:extLst>
            </c:dLbl>
            <c:dLbl>
              <c:idx val="251"/>
              <c:layout>
                <c:manualLayout>
                  <c:x val="1.7106550154625043E-3"/>
                  <c:y val="-8.3582091516796898E-3"/>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366-DD9C-4DAB-B592-189BCC533B20}"/>
                </c:ext>
              </c:extLst>
            </c:dLbl>
            <c:dLbl>
              <c:idx val="252"/>
              <c:layout>
                <c:manualLayout>
                  <c:x val="3.0791790278328689E-3"/>
                  <c:y val="0"/>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367-DD9C-4DAB-B592-189BCC533B20}"/>
                </c:ext>
              </c:extLst>
            </c:dLbl>
            <c:dLbl>
              <c:idx val="253"/>
              <c:layout>
                <c:manualLayout>
                  <c:x val="-1.3343109120609098E-2"/>
                  <c:y val="-3.3432836606718454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368-DD9C-4DAB-B592-189BCC533B20}"/>
                </c:ext>
              </c:extLst>
            </c:dLbl>
            <c:dLbl>
              <c:idx val="254"/>
              <c:layout>
                <c:manualLayout>
                  <c:x val="-5.1319650463881152E-3"/>
                  <c:y val="4.1791045758397304E-3"/>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369-DD9C-4DAB-B592-189BCC533B20}"/>
                </c:ext>
              </c:extLst>
            </c:dLbl>
            <c:dLbl>
              <c:idx val="255"/>
              <c:layout>
                <c:manualLayout>
                  <c:x val="-2.3949170216479875E-3"/>
                  <c:y val="-1.4626866015439324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36A-DD9C-4DAB-B592-189BCC533B20}"/>
                </c:ext>
              </c:extLst>
            </c:dLbl>
            <c:dLbl>
              <c:idx val="256"/>
              <c:layout>
                <c:manualLayout>
                  <c:x val="-1.4711633132979364E-2"/>
                  <c:y val="-2.716417974295882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36B-DD9C-4DAB-B592-189BCC533B20}"/>
                </c:ext>
              </c:extLst>
            </c:dLbl>
            <c:dLbl>
              <c:idx val="257"/>
              <c:layout>
                <c:manualLayout>
                  <c:x val="3.42131003092541E-4"/>
                  <c:y val="-2.0895522879199034E-3"/>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36C-DD9C-4DAB-B592-189BCC533B20}"/>
                </c:ext>
              </c:extLst>
            </c:dLbl>
            <c:dLbl>
              <c:idx val="258"/>
              <c:layout>
                <c:manualLayout>
                  <c:x val="-5.1319650463881152E-3"/>
                  <c:y val="-2.0895522879199034E-3"/>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36D-DD9C-4DAB-B592-189BCC533B20}"/>
                </c:ext>
              </c:extLst>
            </c:dLbl>
            <c:dLbl>
              <c:idx val="259"/>
              <c:layout>
                <c:manualLayout>
                  <c:x val="-1.0606061095868771E-2"/>
                  <c:y val="-2.2985075167118937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36E-DD9C-4DAB-B592-189BCC533B20}"/>
                </c:ext>
              </c:extLst>
            </c:dLbl>
            <c:dLbl>
              <c:idx val="260"/>
              <c:layout>
                <c:manualLayout>
                  <c:x val="-5.1319650463881152E-3"/>
                  <c:y val="-6.2686568637598632E-3"/>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36F-DD9C-4DAB-B592-189BCC533B20}"/>
                </c:ext>
              </c:extLst>
            </c:dLbl>
            <c:dLbl>
              <c:idx val="261"/>
              <c:layout>
                <c:manualLayout>
                  <c:x val="-1.026393009277623E-3"/>
                  <c:y val="-1.53232064297577E-16"/>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370-DD9C-4DAB-B592-189BCC533B20}"/>
                </c:ext>
              </c:extLst>
            </c:dLbl>
            <c:dLbl>
              <c:idx val="262"/>
              <c:layout>
                <c:manualLayout>
                  <c:x val="1.7106550154627051E-3"/>
                  <c:y val="-4.1791045758398067E-3"/>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371-DD9C-4DAB-B592-189BCC533B20}"/>
                </c:ext>
              </c:extLst>
            </c:dLbl>
            <c:dLbl>
              <c:idx val="263"/>
              <c:layout>
                <c:manualLayout>
                  <c:x val="-2.3949170216479875E-3"/>
                  <c:y val="-6.2686568637597096E-3"/>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372-DD9C-4DAB-B592-189BCC533B20}"/>
                </c:ext>
              </c:extLst>
            </c:dLbl>
            <c:dLbl>
              <c:idx val="264"/>
              <c:layout>
                <c:manualLayout>
                  <c:x val="-1.7448681157719491E-2"/>
                  <c:y val="-3.7611941182558263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373-DD9C-4DAB-B592-189BCC533B20}"/>
                </c:ext>
              </c:extLst>
            </c:dLbl>
            <c:dLbl>
              <c:idx val="265"/>
              <c:layout>
                <c:manualLayout>
                  <c:x val="3.42131003092541E-4"/>
                  <c:y val="-4.1791045758398067E-3"/>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374-DD9C-4DAB-B592-189BCC533B20}"/>
                </c:ext>
              </c:extLst>
            </c:dLbl>
            <c:dLbl>
              <c:idx val="266"/>
              <c:layout>
                <c:manualLayout>
                  <c:x val="-2.2922777207200248E-2"/>
                  <c:y val="-3.3432836606718454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375-DD9C-4DAB-B592-189BCC533B20}"/>
                </c:ext>
              </c:extLst>
            </c:dLbl>
            <c:dLbl>
              <c:idx val="267"/>
              <c:layout>
                <c:manualLayout>
                  <c:x val="-1.4711633132979364E-2"/>
                  <c:y val="-3.5522388894638358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376-DD9C-4DAB-B592-189BCC533B20}"/>
                </c:ext>
              </c:extLst>
            </c:dLbl>
            <c:dLbl>
              <c:idx val="268"/>
              <c:layout>
                <c:manualLayout>
                  <c:x val="-2.3949170216479875E-3"/>
                  <c:y val="4.1791045758398067E-3"/>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377-DD9C-4DAB-B592-189BCC533B20}"/>
                </c:ext>
              </c:extLst>
            </c:dLbl>
            <c:dLbl>
              <c:idx val="269"/>
              <c:layout>
                <c:manualLayout>
                  <c:x val="-5.1319650463883155E-3"/>
                  <c:y val="-2.0895522879199033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378-DD9C-4DAB-B592-189BCC533B20}"/>
                </c:ext>
              </c:extLst>
            </c:dLbl>
            <c:dLbl>
              <c:idx val="270"/>
              <c:layout>
                <c:manualLayout>
                  <c:x val="-5.1319650463881152E-3"/>
                  <c:y val="-2.0895522879199033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379-DD9C-4DAB-B592-189BCC533B20}"/>
                </c:ext>
              </c:extLst>
            </c:dLbl>
            <c:dLbl>
              <c:idx val="271"/>
              <c:layout>
                <c:manualLayout>
                  <c:x val="-1.3343109120609199E-2"/>
                  <c:y val="-3.1343284318798549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37A-DD9C-4DAB-B592-189BCC533B20}"/>
                </c:ext>
              </c:extLst>
            </c:dLbl>
            <c:dLbl>
              <c:idx val="272"/>
              <c:layout>
                <c:manualLayout>
                  <c:x val="-1.3343109120609098E-2"/>
                  <c:y val="-2.0895522879199033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37B-DD9C-4DAB-B592-189BCC533B20}"/>
                </c:ext>
              </c:extLst>
            </c:dLbl>
            <c:dLbl>
              <c:idx val="273"/>
              <c:layout>
                <c:manualLayout>
                  <c:x val="-7.8690130711284428E-3"/>
                  <c:y val="2.7164179742958667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37C-DD9C-4DAB-B592-189BCC533B20}"/>
                </c:ext>
              </c:extLst>
            </c:dLbl>
            <c:dLbl>
              <c:idx val="274"/>
              <c:layout>
                <c:manualLayout>
                  <c:x val="-2.2922777207200248E-2"/>
                  <c:y val="-3.1343284318798549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37D-DD9C-4DAB-B592-189BCC533B20}"/>
                </c:ext>
              </c:extLst>
            </c:dLbl>
            <c:dLbl>
              <c:idx val="275"/>
              <c:layout>
                <c:manualLayout>
                  <c:x val="-2.4291301219570412E-2"/>
                  <c:y val="-3.1343284318798549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37E-DD9C-4DAB-B592-189BCC533B20}"/>
                </c:ext>
              </c:extLst>
            </c:dLbl>
            <c:dLbl>
              <c:idx val="276"/>
              <c:layout>
                <c:manualLayout>
                  <c:x val="-2.4291301219570412E-2"/>
                  <c:y val="-4.1791045758398065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37F-DD9C-4DAB-B592-189BCC533B20}"/>
                </c:ext>
              </c:extLst>
            </c:dLbl>
            <c:dLbl>
              <c:idx val="277"/>
              <c:layout>
                <c:manualLayout>
                  <c:x val="-2.1554253194830182E-2"/>
                  <c:y val="-5.6417911773837467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380-DD9C-4DAB-B592-189BCC533B20}"/>
                </c:ext>
              </c:extLst>
            </c:dLbl>
            <c:dLbl>
              <c:idx val="278"/>
              <c:layout>
                <c:manualLayout>
                  <c:x val="-2.5659825231940575E-2"/>
                  <c:y val="-2.5074627455038839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381-DD9C-4DAB-B592-189BCC533B20}"/>
                </c:ext>
              </c:extLst>
            </c:dLbl>
            <c:dLbl>
              <c:idx val="279"/>
              <c:layout>
                <c:manualLayout>
                  <c:x val="-2.1554253194830082E-2"/>
                  <c:y val="-2.925373203087861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382-DD9C-4DAB-B592-189BCC533B20}"/>
                </c:ext>
              </c:extLst>
            </c:dLbl>
            <c:dLbl>
              <c:idx val="280"/>
              <c:layout>
                <c:manualLayout>
                  <c:x val="-7.8690130711284428E-3"/>
                  <c:y val="-2.0895522879199034E-3"/>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383-DD9C-4DAB-B592-189BCC533B20}"/>
                </c:ext>
              </c:extLst>
            </c:dLbl>
            <c:dLbl>
              <c:idx val="281"/>
              <c:layout>
                <c:manualLayout>
                  <c:x val="-1.6080157145349428E-2"/>
                  <c:y val="-2.9253732030878648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384-DD9C-4DAB-B592-189BCC533B20}"/>
                </c:ext>
              </c:extLst>
            </c:dLbl>
            <c:dLbl>
              <c:idx val="282"/>
              <c:layout>
                <c:manualLayout>
                  <c:x val="-4.2082113380382542E-2"/>
                  <c:y val="-1.6716418303359227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385-DD9C-4DAB-B592-189BCC533B20}"/>
                </c:ext>
              </c:extLst>
            </c:dLbl>
            <c:dLbl>
              <c:idx val="283"/>
              <c:layout>
                <c:manualLayout>
                  <c:x val="-9.2375370834986061E-3"/>
                  <c:y val="2.0895522879199033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386-DD9C-4DAB-B592-189BCC533B20}"/>
                </c:ext>
              </c:extLst>
            </c:dLbl>
            <c:dLbl>
              <c:idx val="284"/>
              <c:layout>
                <c:manualLayout>
                  <c:x val="-2.0185729182459918E-2"/>
                  <c:y val="-4.5970150334237951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387-DD9C-4DAB-B592-189BCC533B20}"/>
                </c:ext>
              </c:extLst>
            </c:dLbl>
            <c:dLbl>
              <c:idx val="285"/>
              <c:layout>
                <c:manualLayout>
                  <c:x val="-1.6080157145349428E-2"/>
                  <c:y val="-3.1343284318798549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388-DD9C-4DAB-B592-189BCC533B20}"/>
                </c:ext>
              </c:extLst>
            </c:dLbl>
            <c:dLbl>
              <c:idx val="286"/>
              <c:layout>
                <c:manualLayout>
                  <c:x val="-3.763441034017951E-3"/>
                  <c:y val="2.2985075167118861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389-DD9C-4DAB-B592-189BCC533B20}"/>
                </c:ext>
              </c:extLst>
            </c:dLbl>
            <c:dLbl>
              <c:idx val="287"/>
              <c:layout>
                <c:manualLayout>
                  <c:x val="-3.7634410340180511E-3"/>
                  <c:y val="-2.5074627455038839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38A-DD9C-4DAB-B592-189BCC533B20}"/>
                </c:ext>
              </c:extLst>
            </c:dLbl>
            <c:dLbl>
              <c:idx val="288"/>
              <c:layout>
                <c:manualLayout>
                  <c:x val="-2.4291301219570512E-2"/>
                  <c:y val="2.5074627455038762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38B-DD9C-4DAB-B592-189BCC533B20}"/>
                </c:ext>
              </c:extLst>
            </c:dLbl>
            <c:dLbl>
              <c:idx val="289"/>
              <c:layout>
                <c:manualLayout>
                  <c:x val="-1.4711633132979263E-2"/>
                  <c:y val="-2.5074627455038839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38C-DD9C-4DAB-B592-189BCC533B20}"/>
                </c:ext>
              </c:extLst>
            </c:dLbl>
            <c:dLbl>
              <c:idx val="290"/>
              <c:layout>
                <c:manualLayout>
                  <c:x val="-2.3949170216477872E-3"/>
                  <c:y val="-4.179104575839883E-3"/>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38D-DD9C-4DAB-B592-189BCC533B20}"/>
                </c:ext>
              </c:extLst>
            </c:dLbl>
            <c:dLbl>
              <c:idx val="291"/>
              <c:layout>
                <c:manualLayout>
                  <c:x val="-1.6080157145349428E-2"/>
                  <c:y val="-2.5074627455038839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38E-DD9C-4DAB-B592-189BCC533B20}"/>
                </c:ext>
              </c:extLst>
            </c:dLbl>
            <c:dLbl>
              <c:idx val="292"/>
              <c:layout>
                <c:manualLayout>
                  <c:x val="-2.7028349244310738E-2"/>
                  <c:y val="-2.5074627455038839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38F-DD9C-4DAB-B592-189BCC533B20}"/>
                </c:ext>
              </c:extLst>
            </c:dLbl>
            <c:dLbl>
              <c:idx val="293"/>
              <c:layout>
                <c:manualLayout>
                  <c:x val="-2.2922777207200248E-2"/>
                  <c:y val="-1.8805970591279132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390-DD9C-4DAB-B592-189BCC533B20}"/>
                </c:ext>
              </c:extLst>
            </c:dLbl>
            <c:dLbl>
              <c:idx val="294"/>
              <c:layout>
                <c:manualLayout>
                  <c:x val="-2.0185729182460019E-2"/>
                  <c:y val="-2.7164179742958743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391-DD9C-4DAB-B592-189BCC533B20}"/>
                </c:ext>
              </c:extLst>
            </c:dLbl>
            <c:dLbl>
              <c:idx val="295"/>
              <c:layout>
                <c:manualLayout>
                  <c:x val="-1.7448681157719692E-2"/>
                  <c:y val="-2.9253732030878648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392-DD9C-4DAB-B592-189BCC533B20}"/>
                </c:ext>
              </c:extLst>
            </c:dLbl>
            <c:dLbl>
              <c:idx val="296"/>
              <c:layout>
                <c:manualLayout>
                  <c:x val="-1.0606061095868771E-2"/>
                  <c:y val="2.2985075167118937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393-DD9C-4DAB-B592-189BCC533B20}"/>
                </c:ext>
              </c:extLst>
            </c:dLbl>
            <c:dLbl>
              <c:idx val="297"/>
              <c:layout>
                <c:manualLayout>
                  <c:x val="-1.3343109120609098E-2"/>
                  <c:y val="-2.5074627455038839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394-DD9C-4DAB-B592-189BCC533B20}"/>
                </c:ext>
              </c:extLst>
            </c:dLbl>
            <c:dLbl>
              <c:idx val="298"/>
              <c:layout>
                <c:manualLayout>
                  <c:x val="-1.3343109120609098E-2"/>
                  <c:y val="-2.9253732030878648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395-DD9C-4DAB-B592-189BCC533B20}"/>
                </c:ext>
              </c:extLst>
            </c:dLbl>
            <c:dLbl>
              <c:idx val="299"/>
              <c:layout>
                <c:manualLayout>
                  <c:x val="-1.3343109120609098E-2"/>
                  <c:y val="-3.1343284318798549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396-DD9C-4DAB-B592-189BCC533B20}"/>
                </c:ext>
              </c:extLst>
            </c:dLbl>
            <c:dLbl>
              <c:idx val="300"/>
              <c:layout>
                <c:manualLayout>
                  <c:x val="-1.4711633132979263E-2"/>
                  <c:y val="-2.5074627455038839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397-DD9C-4DAB-B592-189BCC533B20}"/>
                </c:ext>
              </c:extLst>
            </c:dLbl>
            <c:dLbl>
              <c:idx val="301"/>
              <c:layout>
                <c:manualLayout>
                  <c:x val="-1.0606061095868872E-2"/>
                  <c:y val="-3.1343284318798549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398-DD9C-4DAB-B592-189BCC533B20}"/>
                </c:ext>
              </c:extLst>
            </c:dLbl>
            <c:dLbl>
              <c:idx val="302"/>
              <c:layout>
                <c:manualLayout>
                  <c:x val="-1.4711633132979263E-2"/>
                  <c:y val="-2.7164179742958743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399-DD9C-4DAB-B592-189BCC533B20}"/>
                </c:ext>
              </c:extLst>
            </c:dLbl>
            <c:dLbl>
              <c:idx val="303"/>
              <c:layout>
                <c:manualLayout>
                  <c:x val="-1.8817205170089956E-2"/>
                  <c:y val="-4.1791045758398065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39A-DD9C-4DAB-B592-189BCC533B20}"/>
                </c:ext>
              </c:extLst>
            </c:dLbl>
            <c:dLbl>
              <c:idx val="304"/>
              <c:layout>
                <c:manualLayout>
                  <c:x val="-1.8817205170089755E-2"/>
                  <c:y val="-3.5522388894638358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39B-DD9C-4DAB-B592-189BCC533B20}"/>
                </c:ext>
              </c:extLst>
            </c:dLbl>
            <c:dLbl>
              <c:idx val="305"/>
              <c:layout>
                <c:manualLayout>
                  <c:x val="-1.6080157145349428E-2"/>
                  <c:y val="-3.5522388894638358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39C-DD9C-4DAB-B592-189BCC533B20}"/>
                </c:ext>
              </c:extLst>
            </c:dLbl>
            <c:dLbl>
              <c:idx val="306"/>
              <c:layout>
                <c:manualLayout>
                  <c:x val="-1.4711633132979263E-2"/>
                  <c:y val="-3.1343284318798549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39D-DD9C-4DAB-B592-189BCC533B20}"/>
                </c:ext>
              </c:extLst>
            </c:dLbl>
            <c:dLbl>
              <c:idx val="307"/>
              <c:layout>
                <c:manualLayout>
                  <c:x val="-1.7448681157719591E-2"/>
                  <c:y val="-2.7164179742958743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39E-DD9C-4DAB-B592-189BCC533B20}"/>
                </c:ext>
              </c:extLst>
            </c:dLbl>
            <c:dLbl>
              <c:idx val="308"/>
              <c:layout>
                <c:manualLayout>
                  <c:x val="-2.5659825231940575E-2"/>
                  <c:y val="-2.9253732030878648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39F-DD9C-4DAB-B592-189BCC533B20}"/>
                </c:ext>
              </c:extLst>
            </c:dLbl>
            <c:dLbl>
              <c:idx val="309"/>
              <c:layout>
                <c:manualLayout>
                  <c:x val="-9.2375370834986061E-3"/>
                  <c:y val="-2.9253732030878648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3A0-DD9C-4DAB-B592-189BCC533B20}"/>
                </c:ext>
              </c:extLst>
            </c:dLbl>
            <c:dLbl>
              <c:idx val="310"/>
              <c:layout>
                <c:manualLayout>
                  <c:x val="-6.5004890587582785E-3"/>
                  <c:y val="-1.8805970591279132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3A1-DD9C-4DAB-B592-189BCC533B20}"/>
                </c:ext>
              </c:extLst>
            </c:dLbl>
            <c:dLbl>
              <c:idx val="311"/>
              <c:layout>
                <c:manualLayout>
                  <c:x val="-1.1974585108239136E-2"/>
                  <c:y val="-3.5522388894638435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3A2-DD9C-4DAB-B592-189BCC533B20}"/>
                </c:ext>
              </c:extLst>
            </c:dLbl>
            <c:dLbl>
              <c:idx val="312"/>
              <c:layout>
                <c:manualLayout>
                  <c:x val="-1.3343109120609098E-2"/>
                  <c:y val="-2.9253732030878648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3A3-DD9C-4DAB-B592-189BCC533B20}"/>
                </c:ext>
              </c:extLst>
            </c:dLbl>
            <c:dLbl>
              <c:idx val="313"/>
              <c:layout>
                <c:manualLayout>
                  <c:x val="-1.3343109120609098E-2"/>
                  <c:y val="-3.5522388894638317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3A4-DD9C-4DAB-B592-189BCC533B20}"/>
                </c:ext>
              </c:extLst>
            </c:dLbl>
            <c:dLbl>
              <c:idx val="314"/>
              <c:layout>
                <c:manualLayout>
                  <c:x val="-1.3343109120609199E-2"/>
                  <c:y val="-1.8805970591279132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3A5-DD9C-4DAB-B592-189BCC533B20}"/>
                </c:ext>
              </c:extLst>
            </c:dLbl>
            <c:dLbl>
              <c:idx val="315"/>
              <c:layout>
                <c:manualLayout>
                  <c:x val="-1.6080157145349529E-2"/>
                  <c:y val="-2.5074627455038918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3A6-DD9C-4DAB-B592-189BCC533B20}"/>
                </c:ext>
              </c:extLst>
            </c:dLbl>
            <c:dLbl>
              <c:idx val="316"/>
              <c:layout>
                <c:manualLayout>
                  <c:x val="-2.0185729182459918E-2"/>
                  <c:y val="-3.1343284318798549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3A7-DD9C-4DAB-B592-189BCC533B20}"/>
                </c:ext>
              </c:extLst>
            </c:dLbl>
            <c:dLbl>
              <c:idx val="317"/>
              <c:layout>
                <c:manualLayout>
                  <c:x val="-1.4711633132979263E-2"/>
                  <c:y val="-2.7164179742958743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3A8-DD9C-4DAB-B592-189BCC533B20}"/>
                </c:ext>
              </c:extLst>
            </c:dLbl>
            <c:dLbl>
              <c:idx val="318"/>
              <c:layout>
                <c:manualLayout>
                  <c:x val="-1.6080157145349428E-2"/>
                  <c:y val="-2.9253732030878648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3A9-DD9C-4DAB-B592-189BCC533B20}"/>
                </c:ext>
              </c:extLst>
            </c:dLbl>
            <c:dLbl>
              <c:idx val="319"/>
              <c:layout>
                <c:manualLayout>
                  <c:x val="-1.0606061095868771E-2"/>
                  <c:y val="-1.6716418303359227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3AA-DD9C-4DAB-B592-189BCC533B20}"/>
                </c:ext>
              </c:extLst>
            </c:dLbl>
            <c:dLbl>
              <c:idx val="320"/>
              <c:layout>
                <c:manualLayout>
                  <c:x val="-1.3343109120609199E-2"/>
                  <c:y val="-1.2537313727519497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3AB-DD9C-4DAB-B592-189BCC533B20}"/>
                </c:ext>
              </c:extLst>
            </c:dLbl>
            <c:dLbl>
              <c:idx val="321"/>
              <c:layout>
                <c:manualLayout>
                  <c:x val="-2.8396873256680902E-2"/>
                  <c:y val="-3.3432836606718454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3AC-DD9C-4DAB-B592-189BCC533B20}"/>
                </c:ext>
              </c:extLst>
            </c:dLbl>
            <c:dLbl>
              <c:idx val="322"/>
              <c:layout>
                <c:manualLayout>
                  <c:x val="-3.1133921281421232E-2"/>
                  <c:y val="-2.5074627455038839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3AD-DD9C-4DAB-B592-189BCC533B20}"/>
                </c:ext>
              </c:extLst>
            </c:dLbl>
            <c:dLbl>
              <c:idx val="323"/>
              <c:layout>
                <c:manualLayout>
                  <c:x val="-1.7448681157719692E-2"/>
                  <c:y val="-2.9253732030878648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3AE-DD9C-4DAB-B592-189BCC533B20}"/>
                </c:ext>
              </c:extLst>
            </c:dLbl>
            <c:dLbl>
              <c:idx val="324"/>
              <c:layout>
                <c:manualLayout>
                  <c:x val="-2.2919221199924008E-2"/>
                  <c:y val="-2.0933529696404506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3AF-DD9C-4DAB-B592-189BCC533B20}"/>
                </c:ext>
              </c:extLst>
            </c:dLbl>
            <c:dLbl>
              <c:idx val="325"/>
              <c:layout>
                <c:manualLayout>
                  <c:x val="-1.6072183068427056E-2"/>
                  <c:y val="-3.3474627652476892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3B0-DD9C-4DAB-B592-189BCC533B20}"/>
                </c:ext>
              </c:extLst>
            </c:dLbl>
            <c:dLbl>
              <c:idx val="326"/>
              <c:layout>
                <c:manualLayout>
                  <c:x val="-2.1548434273832604E-2"/>
                  <c:y val="-1.8820778442138406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3B1-DD9C-4DAB-B592-189BCC533B20}"/>
                </c:ext>
              </c:extLst>
            </c:dLbl>
            <c:dLbl>
              <c:idx val="327"/>
              <c:layout>
                <c:manualLayout>
                  <c:x val="-2.1549404093998949E-2"/>
                  <c:y val="-4.18204969284404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3B2-DD9C-4DAB-B592-189BCC533B20}"/>
                </c:ext>
              </c:extLst>
            </c:dLbl>
            <c:dLbl>
              <c:idx val="328"/>
              <c:layout>
                <c:manualLayout>
                  <c:x val="-2.1554253194830182E-2"/>
                  <c:y val="-3.1358914828038972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3B3-DD9C-4DAB-B592-189BCC533B20}"/>
                </c:ext>
              </c:extLst>
            </c:dLbl>
            <c:dLbl>
              <c:idx val="329"/>
              <c:layout>
                <c:manualLayout>
                  <c:x val="-1.8789080385268705E-2"/>
                  <c:y val="-3.759647520499413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3B4-DD9C-4DAB-B592-189BCC533B20}"/>
                </c:ext>
              </c:extLst>
            </c:dLbl>
            <c:dLbl>
              <c:idx val="330"/>
              <c:layout>
                <c:manualLayout>
                  <c:x val="-2.2922777207200346E-2"/>
                  <c:y val="-4.3880598046317894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3B5-DD9C-4DAB-B592-189BCC533B20}"/>
                </c:ext>
              </c:extLst>
            </c:dLbl>
            <c:dLbl>
              <c:idx val="332"/>
              <c:layout>
                <c:manualLayout>
                  <c:x val="-4.4819161405122772E-2"/>
                  <c:y val="-1.2537313727519419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3B6-DD9C-4DAB-B592-189BCC533B20}"/>
                </c:ext>
              </c:extLst>
            </c:dLbl>
            <c:dLbl>
              <c:idx val="333"/>
              <c:layout>
                <c:manualLayout>
                  <c:x val="3.4194529284571829E-4"/>
                  <c:y val="-4.1714950901175088E-3"/>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3B7-DD9C-4DAB-B592-189BCC533B20}"/>
                </c:ext>
              </c:extLst>
            </c:dLbl>
            <c:dLbl>
              <c:idx val="334"/>
              <c:layout>
                <c:manualLayout>
                  <c:x val="-3.3870969306161555E-2"/>
                  <c:y val="-1.8826207987453474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3B8-DD9C-4DAB-B592-189BCC533B20}"/>
                </c:ext>
              </c:extLst>
            </c:dLbl>
            <c:dLbl>
              <c:idx val="335"/>
              <c:layout>
                <c:manualLayout>
                  <c:x val="-9.2307692307692316E-3"/>
                  <c:y val="-1.8779342723004695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3B9-DD9C-4DAB-B592-189BCC533B20}"/>
                </c:ext>
              </c:extLst>
            </c:dLbl>
            <c:dLbl>
              <c:idx val="336"/>
              <c:layout>
                <c:manualLayout>
                  <c:x val="-4.2054081701325796E-2"/>
                  <c:y val="-2.0860350202703611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3BA-DD9C-4DAB-B592-189BCC533B20}"/>
                </c:ext>
              </c:extLst>
            </c:dLbl>
            <c:dLbl>
              <c:idx val="337"/>
              <c:layout>
                <c:manualLayout>
                  <c:x val="-4.3432586311326467E-2"/>
                  <c:y val="2.1220821575706028E-3"/>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3BB-DD9C-4DAB-B592-189BCC533B20}"/>
                </c:ext>
              </c:extLst>
            </c:dLbl>
            <c:dLbl>
              <c:idx val="338"/>
              <c:layout>
                <c:manualLayout>
                  <c:x val="-3.1133921281421232E-2"/>
                  <c:y val="-2.0833083294683523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3BC-DD9C-4DAB-B592-189BCC533B20}"/>
                </c:ext>
              </c:extLst>
            </c:dLbl>
            <c:dLbl>
              <c:idx val="340"/>
              <c:layout>
                <c:manualLayout>
                  <c:x val="-2.0185729182459918E-2"/>
                  <c:y val="-2.7164179742958743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3BD-DD9C-4DAB-B592-189BCC533B20}"/>
                </c:ext>
              </c:extLst>
            </c:dLbl>
            <c:dLbl>
              <c:idx val="341"/>
              <c:layout>
                <c:manualLayout>
                  <c:x val="-1.7437620297462916E-2"/>
                  <c:y val="3.3358881782969543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3BE-DD9C-4DAB-B592-189BCC533B20}"/>
                </c:ext>
              </c:extLst>
            </c:dLbl>
            <c:dLbl>
              <c:idx val="342"/>
              <c:layout>
                <c:manualLayout>
                  <c:x val="-2.0186768961572212E-2"/>
                  <c:y val="-2.9191280667381365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3BF-DD9C-4DAB-B592-189BCC533B20}"/>
                </c:ext>
              </c:extLst>
            </c:dLbl>
            <c:dLbl>
              <c:idx val="343"/>
              <c:layout>
                <c:manualLayout>
                  <c:x val="-1.3347116225856484E-2"/>
                  <c:y val="-2.0861171696260974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3C0-DD9C-4DAB-B592-189BCC533B20}"/>
                </c:ext>
              </c:extLst>
            </c:dLbl>
            <c:dLbl>
              <c:idx val="344"/>
              <c:layout>
                <c:manualLayout>
                  <c:x val="-7.8690130711285434E-3"/>
                  <c:y val="-1.4633056430257049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3C1-DD9C-4DAB-B592-189BCC533B20}"/>
                </c:ext>
              </c:extLst>
            </c:dLbl>
            <c:dLbl>
              <c:idx val="400"/>
              <c:layout>
                <c:manualLayout>
                  <c:x val="-4.3408202457427887E-2"/>
                  <c:y val="-1.8862276338454258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3C2-DD9C-4DAB-B592-189BCC533B20}"/>
                </c:ext>
              </c:extLst>
            </c:dLbl>
            <c:dLbl>
              <c:idx val="403"/>
              <c:layout>
                <c:manualLayout>
                  <c:x val="-3.6554415102996347E-2"/>
                  <c:y val="-1.8834079830793177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3C3-DD9C-4DAB-B592-189BCC533B20}"/>
                </c:ext>
              </c:extLst>
            </c:dLbl>
            <c:dLbl>
              <c:idx val="404"/>
              <c:layout>
                <c:manualLayout>
                  <c:x val="-4.0673827499479766E-2"/>
                  <c:y val="-3.353293571280757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3C4-DD9C-4DAB-B592-189BCC533B20}"/>
                </c:ext>
              </c:extLst>
            </c:dLbl>
            <c:dLbl>
              <c:idx val="406"/>
              <c:layout>
                <c:manualLayout>
                  <c:x val="-3.3776867963152608E-2"/>
                  <c:y val="-1.8808777429467086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3C5-DD9C-4DAB-B592-189BCC533B20}"/>
                </c:ext>
              </c:extLst>
            </c:dLbl>
            <c:dLbl>
              <c:idx val="407"/>
              <c:layout>
                <c:manualLayout>
                  <c:x val="-2.6953258273626747E-2"/>
                  <c:y val="-2.2988505747126436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3C6-DD9C-4DAB-B592-189BCC533B20}"/>
                </c:ext>
              </c:extLst>
            </c:dLbl>
            <c:dLbl>
              <c:idx val="408"/>
              <c:layout>
                <c:manualLayout>
                  <c:x val="-2.9721814149165457E-2"/>
                  <c:y val="-1.6741404294038378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3C7-DD9C-4DAB-B592-189BCC533B20}"/>
                </c:ext>
              </c:extLst>
            </c:dLbl>
            <c:dLbl>
              <c:idx val="409"/>
              <c:layout>
                <c:manualLayout>
                  <c:x val="-3.1103515146661001E-2"/>
                  <c:y val="-2.7245510266656225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3C8-DD9C-4DAB-B592-189BCC533B20}"/>
                </c:ext>
              </c:extLst>
            </c:dLbl>
            <c:dLbl>
              <c:idx val="465"/>
              <c:layout>
                <c:manualLayout>
                  <c:x val="-4.4819161405122973E-2"/>
                  <c:y val="-1.6716418303359227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3C9-DD9C-4DAB-B592-189BCC533B20}"/>
                </c:ext>
              </c:extLst>
            </c:dLbl>
            <c:dLbl>
              <c:idx val="466"/>
              <c:layout>
                <c:manualLayout>
                  <c:x val="-4.4819161405122869E-2"/>
                  <c:y val="5.9805618987087061E-3"/>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3CA-DD9C-4DAB-B592-189BCC533B20}"/>
                </c:ext>
              </c:extLst>
            </c:dLbl>
            <c:dLbl>
              <c:idx val="534"/>
              <c:layout>
                <c:manualLayout>
                  <c:x val="-3.4871794871795071E-2"/>
                  <c:y val="-3.9645279081898799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3CB-DD9C-4DAB-B592-189BCC533B20}"/>
                </c:ext>
              </c:extLst>
            </c:dLbl>
            <c:dLbl>
              <c:idx val="536"/>
              <c:layout>
                <c:manualLayout>
                  <c:x val="-3.1111111111111211E-2"/>
                  <c:y val="-2.2961512428966494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3CC-DD9C-4DAB-B592-189BCC533B20}"/>
                </c:ext>
              </c:extLst>
            </c:dLbl>
            <c:dLbl>
              <c:idx val="537"/>
              <c:layout>
                <c:manualLayout>
                  <c:x val="-3.6581196581196684E-2"/>
                  <c:y val="-3.1311153312226933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3CD-DD9C-4DAB-B592-189BCC533B20}"/>
                </c:ext>
              </c:extLst>
            </c:dLbl>
            <c:dLbl>
              <c:idx val="541"/>
              <c:layout>
                <c:manualLayout>
                  <c:x val="-2.8376068376068375E-2"/>
                  <c:y val="2.2952529994783515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3CE-DD9C-4DAB-B592-189BCC533B20}"/>
                </c:ext>
              </c:extLst>
            </c:dLbl>
            <c:dLbl>
              <c:idx val="542"/>
              <c:layout>
                <c:manualLayout>
                  <c:x val="-2.5641025641025741E-2"/>
                  <c:y val="2.5048922649781469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3CF-DD9C-4DAB-B592-189BCC533B20}"/>
                </c:ext>
              </c:extLst>
            </c:dLbl>
            <c:dLbl>
              <c:idx val="547"/>
              <c:layout>
                <c:manualLayout>
                  <c:x val="-3.9338655916776266E-2"/>
                  <c:y val="-2.2996516941288757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3D0-DD9C-4DAB-B592-189BCC533B20}"/>
                </c:ext>
              </c:extLst>
            </c:dLbl>
            <c:dLbl>
              <c:idx val="548"/>
              <c:layout>
                <c:manualLayout>
                  <c:x val="-3.6602001357217591E-2"/>
                  <c:y val="-3.7601630693866815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3D1-DD9C-4DAB-B592-189BCC533B20}"/>
                </c:ext>
              </c:extLst>
            </c:dLbl>
            <c:dLbl>
              <c:idx val="549"/>
              <c:layout>
                <c:manualLayout>
                  <c:x val="-3.9338655916776266E-2"/>
                  <c:y val="-1.8815332042872619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3D2-DD9C-4DAB-B592-189BCC533B20}"/>
                </c:ext>
              </c:extLst>
            </c:dLbl>
            <c:dLbl>
              <c:idx val="550"/>
              <c:layout>
                <c:manualLayout>
                  <c:x val="-3.2497150539945611E-2"/>
                  <c:y val="-2.7177701839704894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3D3-DD9C-4DAB-B592-189BCC533B20}"/>
                </c:ext>
              </c:extLst>
            </c:dLbl>
            <c:dLbl>
              <c:idx val="551"/>
              <c:layout>
                <c:manualLayout>
                  <c:x val="-3.7970354841410238E-2"/>
                  <c:y val="-1.6724739593664589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3D4-DD9C-4DAB-B592-189BCC533B20}"/>
                </c:ext>
              </c:extLst>
            </c:dLbl>
            <c:dLbl>
              <c:idx val="552"/>
              <c:layout>
                <c:manualLayout>
                  <c:x val="-3.93296853625172E-2"/>
                  <c:y val="2.0876826722338128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3D5-DD9C-4DAB-B592-189BCC533B20}"/>
                </c:ext>
              </c:extLst>
            </c:dLbl>
            <c:dLbl>
              <c:idx val="554"/>
              <c:layout>
                <c:manualLayout>
                  <c:x val="-4.0705968525480141E-2"/>
                  <c:y val="-2.084197721631359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3D6-DD9C-4DAB-B592-189BCC533B20}"/>
                </c:ext>
              </c:extLst>
            </c:dLbl>
            <c:dLbl>
              <c:idx val="555"/>
              <c:layout>
                <c:manualLayout>
                  <c:x val="-3.1127262938286559E-2"/>
                  <c:y val="-2.7073798873732409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3D7-DD9C-4DAB-B592-189BCC533B20}"/>
                </c:ext>
              </c:extLst>
            </c:dLbl>
            <c:dLbl>
              <c:idx val="556"/>
              <c:layout>
                <c:manualLayout>
                  <c:x val="-4.4811860218240789E-2"/>
                  <c:y val="-1.8815332042872696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3D8-DD9C-4DAB-B592-189BCC533B20}"/>
                </c:ext>
              </c:extLst>
            </c:dLbl>
            <c:dLbl>
              <c:idx val="557"/>
              <c:layout>
                <c:manualLayout>
                  <c:x val="-4.205128205128205E-2"/>
                  <c:y val="-2.2952529994783515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3D9-DD9C-4DAB-B592-189BCC533B20}"/>
                </c:ext>
              </c:extLst>
            </c:dLbl>
            <c:dLbl>
              <c:idx val="561"/>
              <c:layout>
                <c:manualLayout>
                  <c:x val="-9.2339261285909711E-3"/>
                  <c:y val="-1.6701461377870642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3DA-DD9C-4DAB-B592-189BCC533B20}"/>
                </c:ext>
              </c:extLst>
            </c:dLbl>
            <c:dLbl>
              <c:idx val="562"/>
              <c:layout>
                <c:manualLayout>
                  <c:x val="-3.7948717948718048E-2"/>
                  <c:y val="-1.251956181533654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3DB-DD9C-4DAB-B592-189BCC533B20}"/>
                </c:ext>
              </c:extLst>
            </c:dLbl>
            <c:dLbl>
              <c:idx val="573"/>
              <c:layout>
                <c:manualLayout>
                  <c:x val="-4.205128205128205E-2"/>
                  <c:y val="-2.5039123630673003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3DC-DD9C-4DAB-B592-189BCC533B20}"/>
                </c:ext>
              </c:extLst>
            </c:dLbl>
            <c:dLbl>
              <c:idx val="574"/>
              <c:layout>
                <c:manualLayout>
                  <c:x val="-3.7970354841410134E-2"/>
                  <c:y val="-3.3449479187329101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3DD-DD9C-4DAB-B592-189BCC533B20}"/>
                </c:ext>
              </c:extLst>
            </c:dLbl>
            <c:dLbl>
              <c:idx val="584"/>
              <c:layout>
                <c:manualLayout>
                  <c:x val="-3.7970354841410335E-2"/>
                  <c:y val="0"/>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3DE-DD9C-4DAB-B592-189BCC533B20}"/>
                </c:ext>
              </c:extLst>
            </c:dLbl>
            <c:dLbl>
              <c:idx val="597"/>
              <c:layout>
                <c:manualLayout>
                  <c:x val="-3.6593707250342097E-2"/>
                  <c:y val="-2.9227557411273562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3DF-DD9C-4DAB-B592-189BCC533B20}"/>
                </c:ext>
              </c:extLst>
            </c:dLbl>
            <c:dLbl>
              <c:idx val="603"/>
              <c:layout>
                <c:manualLayout>
                  <c:x val="-3.7961696306429552E-2"/>
                  <c:y val="-1.6701461377870562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3E0-DD9C-4DAB-B592-189BCC533B20}"/>
                </c:ext>
              </c:extLst>
            </c:dLbl>
            <c:dLbl>
              <c:idx val="604"/>
              <c:layout>
                <c:manualLayout>
                  <c:x val="-3.5225718194254546E-2"/>
                  <c:y val="-2.0876826722338281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3E1-DD9C-4DAB-B592-189BCC533B20}"/>
                </c:ext>
              </c:extLst>
            </c:dLbl>
            <c:dLbl>
              <c:idx val="605"/>
              <c:layout>
                <c:manualLayout>
                  <c:x val="-3.6593707250342E-2"/>
                  <c:y val="-1.6701461377870562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3E2-DD9C-4DAB-B592-189BCC533B20}"/>
                </c:ext>
              </c:extLst>
            </c:dLbl>
            <c:dLbl>
              <c:idx val="606"/>
              <c:layout>
                <c:manualLayout>
                  <c:x val="-4.2065663474692302E-2"/>
                  <c:y val="-2.2964509394572025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3E3-DD9C-4DAB-B592-189BCC533B20}"/>
                </c:ext>
              </c:extLst>
            </c:dLbl>
            <c:dLbl>
              <c:idx val="610"/>
              <c:layout>
                <c:manualLayout>
                  <c:x val="-4.3433652530779757E-2"/>
                  <c:y val="-2.0876826722338204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3E4-DD9C-4DAB-B592-189BCC533B20}"/>
                </c:ext>
              </c:extLst>
            </c:dLbl>
            <c:dLbl>
              <c:idx val="612"/>
              <c:layout>
                <c:manualLayout>
                  <c:x val="-4.3433652530779757E-2"/>
                  <c:y val="-2.5052192066805923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3E5-DD9C-4DAB-B592-189BCC533B20}"/>
                </c:ext>
              </c:extLst>
            </c:dLbl>
            <c:dLbl>
              <c:idx val="615"/>
              <c:layout>
                <c:manualLayout>
                  <c:x val="-3.6251709986320109E-2"/>
                  <c:y val="-2.9227557411273638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3E6-DD9C-4DAB-B592-189BCC533B20}"/>
                </c:ext>
              </c:extLst>
            </c:dLbl>
            <c:dLbl>
              <c:idx val="619"/>
              <c:layout>
                <c:manualLayout>
                  <c:x val="-2.9757464143723517E-2"/>
                  <c:y val="-3.3333333333333486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3E7-DD9C-4DAB-B592-189BCC533B20}"/>
                </c:ext>
              </c:extLst>
            </c:dLbl>
            <c:dLbl>
              <c:idx val="620"/>
              <c:layout>
                <c:manualLayout>
                  <c:x val="-3.3582061816021462E-2"/>
                  <c:y val="-3.3303149606299286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3E8-DD9C-4DAB-B592-189BCC533B20}"/>
                </c:ext>
              </c:extLst>
            </c:dLbl>
            <c:dLbl>
              <c:idx val="621"/>
              <c:layout>
                <c:manualLayout>
                  <c:x val="-3.5544787670772023E-2"/>
                  <c:y val="-3.9642486003803518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3E9-DD9C-4DAB-B592-189BCC533B20}"/>
                </c:ext>
              </c:extLst>
            </c:dLbl>
            <c:dLbl>
              <c:idx val="622"/>
              <c:layout>
                <c:manualLayout>
                  <c:x val="-3.8272025162381276E-2"/>
                  <c:y val="-2.773412457054563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3EA-DD9C-4DAB-B592-189BCC533B20}"/>
                </c:ext>
              </c:extLst>
            </c:dLbl>
            <c:dLbl>
              <c:idx val="623"/>
              <c:layout>
                <c:manualLayout>
                  <c:x val="-3.4178127734033344E-2"/>
                  <c:y val="-3.9626220431366307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3EB-DD9C-4DAB-B592-189BCC533B20}"/>
                </c:ext>
              </c:extLst>
            </c:dLbl>
            <c:dLbl>
              <c:idx val="624"/>
              <c:layout>
                <c:manualLayout>
                  <c:x val="-2.9756602311111876E-2"/>
                  <c:y val="-2.7107283464566929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3EC-DD9C-4DAB-B592-189BCC533B20}"/>
                </c:ext>
              </c:extLst>
            </c:dLbl>
            <c:dLbl>
              <c:idx val="625"/>
              <c:layout>
                <c:manualLayout>
                  <c:x val="-2.0525741974560872E-3"/>
                  <c:y val="-8.3486747255184651E-3"/>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3ED-DD9C-4DAB-B592-189BCC533B20}"/>
                </c:ext>
              </c:extLst>
            </c:dLbl>
            <c:dLbl>
              <c:idx val="626"/>
              <c:layout>
                <c:manualLayout>
                  <c:x val="-4.034188034188034E-2"/>
                  <c:y val="0"/>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3EE-DD9C-4DAB-B592-189BCC533B20}"/>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rgbClr val="FF0000"/>
                    </a:solidFill>
                    <a:latin typeface="Times New Roman" panose="02020603050405020304" pitchFamily="18" charset="0"/>
                    <a:ea typeface="+mn-ea"/>
                    <a:cs typeface="Times New Roman" panose="02020603050405020304" pitchFamily="18" charset="0"/>
                  </a:defRPr>
                </a:pPr>
                <a:endParaRPr lang="lv-LV"/>
              </a:p>
            </c:txPr>
            <c:dLblPos val="l"/>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'cet.'!$F$10:$F$38</c:f>
              <c:strCache>
                <c:ptCount val="29"/>
                <c:pt idx="0">
                  <c:v>2016. I.</c:v>
                </c:pt>
                <c:pt idx="1">
                  <c:v>2016. II.</c:v>
                </c:pt>
                <c:pt idx="2">
                  <c:v>2016. III.</c:v>
                </c:pt>
                <c:pt idx="3">
                  <c:v>2016. IV.</c:v>
                </c:pt>
                <c:pt idx="4">
                  <c:v>2017. I.</c:v>
                </c:pt>
                <c:pt idx="5">
                  <c:v>2017. II.</c:v>
                </c:pt>
                <c:pt idx="6">
                  <c:v>2017. III.</c:v>
                </c:pt>
                <c:pt idx="7">
                  <c:v>2017. IV.</c:v>
                </c:pt>
                <c:pt idx="8">
                  <c:v>2018. I</c:v>
                </c:pt>
                <c:pt idx="9">
                  <c:v>2018. II</c:v>
                </c:pt>
                <c:pt idx="10">
                  <c:v>2018. III</c:v>
                </c:pt>
                <c:pt idx="11">
                  <c:v>2018. IV</c:v>
                </c:pt>
                <c:pt idx="12">
                  <c:v>2019. I</c:v>
                </c:pt>
                <c:pt idx="13">
                  <c:v>2019. II</c:v>
                </c:pt>
                <c:pt idx="14">
                  <c:v>2019. III</c:v>
                </c:pt>
                <c:pt idx="15">
                  <c:v>2019. IV</c:v>
                </c:pt>
                <c:pt idx="16">
                  <c:v>2020. I</c:v>
                </c:pt>
                <c:pt idx="17">
                  <c:v>2020. II</c:v>
                </c:pt>
                <c:pt idx="18">
                  <c:v>2020. III</c:v>
                </c:pt>
                <c:pt idx="19">
                  <c:v>2020. IV</c:v>
                </c:pt>
                <c:pt idx="20">
                  <c:v>2021. I</c:v>
                </c:pt>
                <c:pt idx="21">
                  <c:v>2021. II</c:v>
                </c:pt>
                <c:pt idx="22">
                  <c:v>2021. III</c:v>
                </c:pt>
                <c:pt idx="23">
                  <c:v>2021. IV</c:v>
                </c:pt>
                <c:pt idx="24">
                  <c:v>2022. I</c:v>
                </c:pt>
                <c:pt idx="25">
                  <c:v>2022. II</c:v>
                </c:pt>
                <c:pt idx="26">
                  <c:v>2022. III</c:v>
                </c:pt>
                <c:pt idx="27">
                  <c:v>2022. IV</c:v>
                </c:pt>
                <c:pt idx="28">
                  <c:v>2023. I*</c:v>
                </c:pt>
              </c:strCache>
              <c:extLst/>
            </c:strRef>
          </c:cat>
          <c:val>
            <c:numRef>
              <c:f>'cet.'!$H$10:$H$38</c:f>
              <c:numCache>
                <c:formatCode>General</c:formatCode>
                <c:ptCount val="29"/>
                <c:pt idx="8">
                  <c:v>16</c:v>
                </c:pt>
                <c:pt idx="9">
                  <c:v>115</c:v>
                </c:pt>
                <c:pt idx="10">
                  <c:v>215</c:v>
                </c:pt>
                <c:pt idx="11">
                  <c:v>269</c:v>
                </c:pt>
                <c:pt idx="12">
                  <c:v>281</c:v>
                </c:pt>
                <c:pt idx="13">
                  <c:v>424</c:v>
                </c:pt>
                <c:pt idx="14">
                  <c:v>584</c:v>
                </c:pt>
                <c:pt idx="15">
                  <c:v>516</c:v>
                </c:pt>
                <c:pt idx="16">
                  <c:v>335</c:v>
                </c:pt>
                <c:pt idx="17">
                  <c:v>225</c:v>
                </c:pt>
                <c:pt idx="18">
                  <c:v>502</c:v>
                </c:pt>
                <c:pt idx="19">
                  <c:v>325</c:v>
                </c:pt>
                <c:pt idx="20">
                  <c:v>234</c:v>
                </c:pt>
                <c:pt idx="21">
                  <c:v>330</c:v>
                </c:pt>
                <c:pt idx="22">
                  <c:v>731</c:v>
                </c:pt>
                <c:pt idx="23">
                  <c:v>381</c:v>
                </c:pt>
                <c:pt idx="24">
                  <c:v>355</c:v>
                </c:pt>
                <c:pt idx="25">
                  <c:v>366</c:v>
                </c:pt>
                <c:pt idx="26">
                  <c:v>609</c:v>
                </c:pt>
                <c:pt idx="27">
                  <c:v>191</c:v>
                </c:pt>
                <c:pt idx="28">
                  <c:v>100</c:v>
                </c:pt>
              </c:numCache>
            </c:numRef>
          </c:val>
          <c:smooth val="0"/>
          <c:extLst>
            <c:ext xmlns:c16="http://schemas.microsoft.com/office/drawing/2014/chart" uri="{C3380CC4-5D6E-409C-BE32-E72D297353CC}">
              <c16:uniqueId val="{000003EF-DD9C-4DAB-B592-189BCC533B20}"/>
            </c:ext>
          </c:extLst>
        </c:ser>
        <c:dLbls>
          <c:showLegendKey val="0"/>
          <c:showVal val="0"/>
          <c:showCatName val="0"/>
          <c:showSerName val="0"/>
          <c:showPercent val="0"/>
          <c:showBubbleSize val="0"/>
        </c:dLbls>
        <c:marker val="1"/>
        <c:smooth val="0"/>
        <c:axId val="237821248"/>
        <c:axId val="237820856"/>
      </c:lineChart>
      <c:catAx>
        <c:axId val="23782007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5400000" spcFirstLastPara="1" vertOverflow="ellipsis"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lv-LV"/>
          </a:p>
        </c:txPr>
        <c:crossAx val="237820464"/>
        <c:crosses val="autoZero"/>
        <c:auto val="1"/>
        <c:lblAlgn val="ctr"/>
        <c:lblOffset val="100"/>
        <c:noMultiLvlLbl val="0"/>
      </c:catAx>
      <c:valAx>
        <c:axId val="237820464"/>
        <c:scaling>
          <c:orientation val="minMax"/>
          <c:max val="2500"/>
          <c:min val="0"/>
        </c:scaling>
        <c:delete val="0"/>
        <c:axPos val="l"/>
        <c:majorGridlines>
          <c:spPr>
            <a:ln w="9525" cap="flat" cmpd="sng" algn="ctr">
              <a:solidFill>
                <a:schemeClr val="tx1">
                  <a:lumMod val="15000"/>
                  <a:lumOff val="85000"/>
                </a:schemeClr>
              </a:solidFill>
              <a:round/>
            </a:ln>
            <a:effectLst/>
          </c:spPr>
        </c:majorGridlines>
        <c:title>
          <c:tx>
            <c:rich>
              <a:bodyPr rot="0" spcFirstLastPara="1" vertOverflow="ellipsis" wrap="square" anchor="ctr" anchorCtr="1"/>
              <a:lstStyle/>
              <a:p>
                <a:pPr>
                  <a:defRPr sz="1000" b="1"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lv-LV" b="1"/>
                  <a:t>tūkst. </a:t>
                </a:r>
                <a:r>
                  <a:rPr lang="lv-LV" b="1" i="1"/>
                  <a:t>euro</a:t>
                </a:r>
              </a:p>
            </c:rich>
          </c:tx>
          <c:layout>
            <c:manualLayout>
              <c:xMode val="edge"/>
              <c:yMode val="edge"/>
              <c:x val="4.23487061683041E-2"/>
              <c:y val="9.585944519589714E-3"/>
            </c:manualLayout>
          </c:layout>
          <c:overlay val="0"/>
          <c:spPr>
            <a:noFill/>
            <a:ln>
              <a:noFill/>
            </a:ln>
            <a:effectLst/>
          </c:spPr>
          <c:txPr>
            <a:bodyPr rot="0" spcFirstLastPara="1" vertOverflow="ellipsis" wrap="square" anchor="ctr" anchorCtr="1"/>
            <a:lstStyle/>
            <a:p>
              <a:pPr>
                <a:defRPr sz="1000" b="1"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lv-LV"/>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lv-LV"/>
          </a:p>
        </c:txPr>
        <c:crossAx val="237820072"/>
        <c:crosses val="autoZero"/>
        <c:crossBetween val="between"/>
        <c:majorUnit val="200"/>
      </c:valAx>
      <c:valAx>
        <c:axId val="237820856"/>
        <c:scaling>
          <c:orientation val="minMax"/>
          <c:max val="750"/>
          <c:min val="0"/>
        </c:scaling>
        <c:delete val="0"/>
        <c:axPos val="r"/>
        <c:title>
          <c:tx>
            <c:rich>
              <a:bodyPr rot="0" spcFirstLastPara="1" vertOverflow="ellipsis"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lv-LV" b="1" i="0"/>
                  <a:t>skaits</a:t>
                </a:r>
              </a:p>
            </c:rich>
          </c:tx>
          <c:layout>
            <c:manualLayout>
              <c:xMode val="edge"/>
              <c:yMode val="edge"/>
              <c:x val="0.93372410620565294"/>
              <c:y val="1.3167514825168317E-3"/>
            </c:manualLayout>
          </c:layout>
          <c:overlay val="0"/>
          <c:spPr>
            <a:noFill/>
            <a:ln>
              <a:noFill/>
            </a:ln>
            <a:effectLst/>
          </c:spPr>
          <c:txPr>
            <a:bodyPr rot="0" spcFirstLastPara="1" vertOverflow="ellipsis"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lv-LV"/>
            </a:p>
          </c:txPr>
        </c:title>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lv-LV"/>
          </a:p>
        </c:txPr>
        <c:crossAx val="237821248"/>
        <c:crosses val="max"/>
        <c:crossBetween val="between"/>
        <c:majorUnit val="50"/>
      </c:valAx>
      <c:catAx>
        <c:axId val="237821248"/>
        <c:scaling>
          <c:orientation val="minMax"/>
        </c:scaling>
        <c:delete val="1"/>
        <c:axPos val="b"/>
        <c:numFmt formatCode="General" sourceLinked="1"/>
        <c:majorTickMark val="out"/>
        <c:minorTickMark val="none"/>
        <c:tickLblPos val="nextTo"/>
        <c:crossAx val="237820856"/>
        <c:crosses val="autoZero"/>
        <c:auto val="1"/>
        <c:lblAlgn val="ctr"/>
        <c:lblOffset val="100"/>
        <c:noMultiLvlLbl val="0"/>
      </c:catAx>
      <c:spPr>
        <a:noFill/>
        <a:ln>
          <a:noFill/>
        </a:ln>
        <a:effectLst/>
      </c:spPr>
    </c:plotArea>
    <c:legend>
      <c:legendPos val="b"/>
      <c:layout>
        <c:manualLayout>
          <c:xMode val="edge"/>
          <c:yMode val="edge"/>
          <c:x val="8.6130835976165776E-2"/>
          <c:y val="9.0491027677334343E-2"/>
          <c:w val="0.26896525224951401"/>
          <c:h val="0.41315137884948594"/>
        </c:manualLayout>
      </c:layout>
      <c:overlay val="0"/>
      <c:spPr>
        <a:solidFill>
          <a:schemeClr val="bg1"/>
        </a:solid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lv-LV"/>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latin typeface="Times New Roman" panose="02020603050405020304" pitchFamily="18" charset="0"/>
          <a:cs typeface="Times New Roman" panose="02020603050405020304" pitchFamily="18" charset="0"/>
        </a:defRPr>
      </a:pPr>
      <a:endParaRPr lang="lv-LV"/>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32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3D974A-F435-4C8A-86FF-C536130323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7249</Words>
  <Characters>50639</Characters>
  <Application>Microsoft Office Word</Application>
  <DocSecurity>4</DocSecurity>
  <Lines>421</Lines>
  <Paragraphs>115</Paragraphs>
  <ScaleCrop>false</ScaleCrop>
  <HeadingPairs>
    <vt:vector size="2" baseType="variant">
      <vt:variant>
        <vt:lpstr>Title</vt:lpstr>
      </vt:variant>
      <vt:variant>
        <vt:i4>1</vt:i4>
      </vt:variant>
    </vt:vector>
  </HeadingPairs>
  <TitlesOfParts>
    <vt:vector size="1" baseType="lpstr">
      <vt:lpstr>Informatīvais ziņojums par Imigrācijas likuma 23.panta pirmās daļas 3., 28., 29. un 30.punktā paredzēto noteikumu īstenošanas gaitu un rezultātiem</vt:lpstr>
    </vt:vector>
  </TitlesOfParts>
  <Manager>Iekšlietu ministrija</Manager>
  <Company>PMLP</Company>
  <LinksUpToDate>false</LinksUpToDate>
  <CharactersWithSpaces>57773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Informatīvais ziņojums par Imigrācijas likuma 23.panta pirmās daļas 3., 28., 29. un 30.punktā paredzēto noteikumu īstenošanas gaitu un rezultātiem</dc:title>
  <dc:subject>Informatīvais ziņojums</dc:subject>
  <dc:creator>Ilze Briede</dc:creator>
  <cp:keywords/>
  <dc:description/>
  <cp:lastModifiedBy>Ilze Briede</cp:lastModifiedBy>
  <cp:revision>2</cp:revision>
  <cp:lastPrinted>2021-01-21T06:10:00Z</cp:lastPrinted>
  <dcterms:created xsi:type="dcterms:W3CDTF">2023-02-28T05:33:00Z</dcterms:created>
  <dcterms:modified xsi:type="dcterms:W3CDTF">2023-02-28T05:33:00Z</dcterms:modified>
</cp:coreProperties>
</file>