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3A74B" w14:textId="77777777" w:rsidR="00437EC6" w:rsidRPr="00ED3C35" w:rsidRDefault="00437EC6" w:rsidP="003B6DF9">
      <w:pPr>
        <w:ind w:right="-1"/>
        <w:jc w:val="center"/>
        <w:rPr>
          <w:rFonts w:cs="Times New Roman"/>
          <w:b/>
          <w:szCs w:val="24"/>
        </w:rPr>
      </w:pPr>
      <w:r w:rsidRPr="00ED3C35">
        <w:rPr>
          <w:rFonts w:cs="Times New Roman"/>
          <w:b/>
          <w:szCs w:val="24"/>
        </w:rPr>
        <w:t xml:space="preserve">Informatīvais ziņojums </w:t>
      </w:r>
    </w:p>
    <w:p w14:paraId="7C15B305" w14:textId="6877EA24" w:rsidR="00437EC6" w:rsidRPr="00ED3C35" w:rsidRDefault="00437EC6" w:rsidP="003B6DF9">
      <w:pPr>
        <w:ind w:right="-1"/>
        <w:jc w:val="center"/>
        <w:rPr>
          <w:rFonts w:cs="Times New Roman"/>
          <w:b/>
          <w:szCs w:val="24"/>
        </w:rPr>
      </w:pPr>
      <w:r w:rsidRPr="00ED3C35">
        <w:rPr>
          <w:rFonts w:cs="Times New Roman"/>
          <w:b/>
          <w:szCs w:val="24"/>
        </w:rPr>
        <w:t>“</w:t>
      </w:r>
      <w:r w:rsidR="00397DB5" w:rsidRPr="00ED3C35">
        <w:rPr>
          <w:b/>
          <w:szCs w:val="24"/>
        </w:rPr>
        <w:t>Par valsts sabiedrības ar ierobežotu atbildību "Paula Stradiņa klīniskā universitātes slimnīca" plānoto fiskālo ietekmi uz vispārējās valdības budžeta bilanci 2026. – 2030. gadā</w:t>
      </w:r>
      <w:r w:rsidRPr="00ED3C35">
        <w:rPr>
          <w:rFonts w:cs="Times New Roman"/>
          <w:b/>
          <w:szCs w:val="24"/>
        </w:rPr>
        <w:t>”</w:t>
      </w:r>
    </w:p>
    <w:p w14:paraId="6781D1A8" w14:textId="77777777" w:rsidR="00593164" w:rsidRPr="00ED3C35" w:rsidRDefault="00593164" w:rsidP="003B6DF9">
      <w:pPr>
        <w:ind w:right="-1"/>
        <w:jc w:val="both"/>
        <w:rPr>
          <w:b/>
          <w:szCs w:val="24"/>
        </w:rPr>
      </w:pPr>
    </w:p>
    <w:p w14:paraId="559E734E" w14:textId="28C6744A" w:rsidR="00831F8C" w:rsidRPr="00ED3C35" w:rsidRDefault="00831F8C" w:rsidP="00831F8C">
      <w:pPr>
        <w:pStyle w:val="a3"/>
        <w:numPr>
          <w:ilvl w:val="0"/>
          <w:numId w:val="15"/>
        </w:numPr>
        <w:ind w:right="-1"/>
        <w:jc w:val="both"/>
        <w:rPr>
          <w:b/>
          <w:szCs w:val="24"/>
        </w:rPr>
      </w:pPr>
      <w:r w:rsidRPr="00ED3C35">
        <w:rPr>
          <w:b/>
          <w:szCs w:val="24"/>
        </w:rPr>
        <w:t>Ievads</w:t>
      </w:r>
    </w:p>
    <w:p w14:paraId="557C9E01" w14:textId="77777777" w:rsidR="00831F8C" w:rsidRPr="00ED3C35" w:rsidRDefault="00831F8C" w:rsidP="00831F8C">
      <w:pPr>
        <w:pStyle w:val="a3"/>
        <w:ind w:right="-1"/>
        <w:jc w:val="both"/>
        <w:rPr>
          <w:b/>
          <w:szCs w:val="24"/>
        </w:rPr>
      </w:pPr>
    </w:p>
    <w:p w14:paraId="4A1B40B3" w14:textId="3D5AFBFD" w:rsidR="00B85603" w:rsidRPr="00ED3C35" w:rsidRDefault="00F75124" w:rsidP="006F6233">
      <w:pPr>
        <w:tabs>
          <w:tab w:val="left" w:pos="8364"/>
        </w:tabs>
        <w:ind w:right="-1" w:firstLine="720"/>
        <w:jc w:val="both"/>
        <w:rPr>
          <w:rFonts w:cs="Times New Roman"/>
          <w:bCs/>
          <w:szCs w:val="24"/>
        </w:rPr>
      </w:pPr>
      <w:r w:rsidRPr="00ED3C35">
        <w:t>V</w:t>
      </w:r>
      <w:r w:rsidRPr="00ED3C35">
        <w:rPr>
          <w:rFonts w:cs="Times New Roman"/>
          <w:bCs/>
          <w:szCs w:val="24"/>
        </w:rPr>
        <w:t>SIA “Paula Stradiņa klīniskās universitātes slimnīca” (turpmāk - PSKUS) ir klasificēta vispārējās valdības sektorā atbilstoši Eiropas Savienības nacionālo un reģionālo kontu sistēmas metodoloģijai un ar savu saimniecisko darbību ietekmē vispārējās valdības budžeta bilanci (tostarp fiskālo telpu) un parādu</w:t>
      </w:r>
      <w:r w:rsidR="0012458B" w:rsidRPr="00ED3C35">
        <w:rPr>
          <w:rFonts w:cs="Times New Roman"/>
          <w:bCs/>
          <w:szCs w:val="24"/>
        </w:rPr>
        <w:t>.</w:t>
      </w:r>
      <w:r w:rsidRPr="00ED3C35">
        <w:rPr>
          <w:rFonts w:cs="Times New Roman"/>
          <w:bCs/>
          <w:szCs w:val="24"/>
        </w:rPr>
        <w:t xml:space="preserve"> </w:t>
      </w:r>
      <w:r w:rsidR="00B85603" w:rsidRPr="00ED3C35">
        <w:rPr>
          <w:rFonts w:cs="Times New Roman"/>
          <w:bCs/>
          <w:szCs w:val="24"/>
        </w:rPr>
        <w:t xml:space="preserve">Veselības ministrija </w:t>
      </w:r>
      <w:r w:rsidR="00B85603" w:rsidRPr="00ED3C35">
        <w:rPr>
          <w:rFonts w:cs="Times New Roman"/>
          <w:bCs/>
          <w:iCs/>
          <w:szCs w:val="24"/>
        </w:rPr>
        <w:t>(turpmāk – VM)</w:t>
      </w:r>
      <w:r w:rsidR="00A90E7D" w:rsidRPr="00ED3C35">
        <w:rPr>
          <w:rFonts w:cs="Times New Roman"/>
          <w:bCs/>
          <w:iCs/>
          <w:szCs w:val="24"/>
        </w:rPr>
        <w:t>, atbilstoši likuma “Par valsts budžetu 2026. gadam un budžeta ietvaru 2026., 2027. un 2028. gadam” 17. p</w:t>
      </w:r>
      <w:r w:rsidR="00FE0207" w:rsidRPr="00ED3C35">
        <w:rPr>
          <w:rFonts w:cs="Times New Roman"/>
          <w:bCs/>
          <w:iCs/>
          <w:szCs w:val="24"/>
        </w:rPr>
        <w:t>antam</w:t>
      </w:r>
      <w:r w:rsidR="00A90E7D" w:rsidRPr="00ED3C35">
        <w:rPr>
          <w:rFonts w:cs="Times New Roman"/>
          <w:bCs/>
          <w:iCs/>
          <w:szCs w:val="24"/>
        </w:rPr>
        <w:t>, kas</w:t>
      </w:r>
      <w:r w:rsidR="00FE0207" w:rsidRPr="00ED3C35">
        <w:rPr>
          <w:rFonts w:cs="Times New Roman"/>
          <w:bCs/>
          <w:iCs/>
          <w:szCs w:val="24"/>
        </w:rPr>
        <w:t xml:space="preserve"> nosaka, ka vispārējās valdības sektorā iekļautās valsts kapitālsabiedrības negatīvā ietekme uz vispārējās valdības budžeta bilanci, 2027. un 2028. gadā drīkst pārsniegt 5 000 000 </w:t>
      </w:r>
      <w:proofErr w:type="spellStart"/>
      <w:r w:rsidR="00FE0207" w:rsidRPr="00ED3C35">
        <w:rPr>
          <w:rFonts w:cs="Times New Roman"/>
          <w:bCs/>
          <w:i/>
          <w:iCs/>
          <w:szCs w:val="24"/>
        </w:rPr>
        <w:t>euro</w:t>
      </w:r>
      <w:proofErr w:type="spellEnd"/>
      <w:r w:rsidR="00FE0207" w:rsidRPr="00ED3C35">
        <w:rPr>
          <w:rFonts w:cs="Times New Roman"/>
          <w:bCs/>
          <w:iCs/>
          <w:szCs w:val="24"/>
        </w:rPr>
        <w:t xml:space="preserve"> tad, ja ir saņemta Ministru kabineta piekrišana, </w:t>
      </w:r>
      <w:r w:rsidR="00B85603" w:rsidRPr="00ED3C35">
        <w:rPr>
          <w:rFonts w:cs="Times New Roman"/>
          <w:bCs/>
          <w:szCs w:val="24"/>
        </w:rPr>
        <w:t xml:space="preserve">ir sagatavojusi informatīvo ziņojumu par </w:t>
      </w:r>
      <w:r w:rsidR="00A90E7D" w:rsidRPr="00ED3C35">
        <w:rPr>
          <w:rFonts w:cs="Times New Roman"/>
          <w:szCs w:val="24"/>
        </w:rPr>
        <w:t>PSKUS</w:t>
      </w:r>
      <w:r w:rsidR="00FE0207" w:rsidRPr="00ED3C35">
        <w:rPr>
          <w:rFonts w:cs="Times New Roman"/>
          <w:bCs/>
          <w:szCs w:val="24"/>
        </w:rPr>
        <w:t xml:space="preserve"> </w:t>
      </w:r>
      <w:r w:rsidR="00B85603" w:rsidRPr="00ED3C35">
        <w:rPr>
          <w:rFonts w:cs="Times New Roman"/>
          <w:szCs w:val="24"/>
        </w:rPr>
        <w:t xml:space="preserve">plānotajiem zaudējumiem </w:t>
      </w:r>
      <w:r w:rsidR="00A90E7D" w:rsidRPr="00ED3C35">
        <w:rPr>
          <w:rFonts w:cs="Times New Roman"/>
          <w:szCs w:val="24"/>
        </w:rPr>
        <w:t xml:space="preserve">2027. - </w:t>
      </w:r>
      <w:r w:rsidR="00B85603" w:rsidRPr="00ED3C35">
        <w:rPr>
          <w:rFonts w:cs="Times New Roman"/>
          <w:szCs w:val="24"/>
        </w:rPr>
        <w:t>202</w:t>
      </w:r>
      <w:r w:rsidR="00A90E7D" w:rsidRPr="00ED3C35">
        <w:rPr>
          <w:rFonts w:cs="Times New Roman"/>
          <w:szCs w:val="24"/>
        </w:rPr>
        <w:t>8</w:t>
      </w:r>
      <w:r w:rsidR="00B85603" w:rsidRPr="00ED3C35">
        <w:rPr>
          <w:rFonts w:cs="Times New Roman"/>
          <w:szCs w:val="24"/>
        </w:rPr>
        <w:t>.</w:t>
      </w:r>
      <w:r w:rsidR="00A90E7D" w:rsidRPr="00ED3C35">
        <w:rPr>
          <w:rFonts w:cs="Times New Roman"/>
          <w:szCs w:val="24"/>
        </w:rPr>
        <w:t xml:space="preserve"> </w:t>
      </w:r>
      <w:r w:rsidR="00B85603" w:rsidRPr="00ED3C35">
        <w:rPr>
          <w:rFonts w:cs="Times New Roman"/>
          <w:szCs w:val="24"/>
        </w:rPr>
        <w:t>gadā</w:t>
      </w:r>
      <w:r w:rsidR="00A90E7D" w:rsidRPr="00ED3C35">
        <w:rPr>
          <w:rFonts w:cs="Times New Roman"/>
          <w:bCs/>
          <w:szCs w:val="24"/>
        </w:rPr>
        <w:t>.</w:t>
      </w:r>
      <w:r w:rsidR="00E916C5" w:rsidRPr="00ED3C35">
        <w:rPr>
          <w:rFonts w:cs="Times New Roman"/>
          <w:bCs/>
          <w:szCs w:val="24"/>
        </w:rPr>
        <w:t xml:space="preserve"> </w:t>
      </w:r>
    </w:p>
    <w:p w14:paraId="0A626EDA" w14:textId="03F2CD5F" w:rsidR="009F5689" w:rsidRPr="00ED3C35" w:rsidRDefault="00DE505B" w:rsidP="003B6DF9">
      <w:pPr>
        <w:tabs>
          <w:tab w:val="left" w:pos="0"/>
        </w:tabs>
        <w:jc w:val="both"/>
        <w:rPr>
          <w:rFonts w:cs="Times New Roman"/>
          <w:bCs/>
          <w:szCs w:val="24"/>
        </w:rPr>
      </w:pPr>
      <w:r w:rsidRPr="00ED3C35">
        <w:rPr>
          <w:rFonts w:cs="Times New Roman"/>
          <w:bCs/>
          <w:szCs w:val="24"/>
        </w:rPr>
        <w:tab/>
      </w:r>
      <w:r w:rsidR="009F5689" w:rsidRPr="00ED3C35">
        <w:rPr>
          <w:rFonts w:cs="Times New Roman"/>
          <w:bCs/>
          <w:szCs w:val="24"/>
        </w:rPr>
        <w:t>PSKUS negatīvās ietekmes uz vispārējās valdības budžeta bilanci 2027. un 2028. gadā prognozes ir izstrādātas, balstoties uz PSKUS 2025. gada un 2026. gada 6 mēnešu darbības un finanšu rezultātiem, kā arī spēkā esošajiem valsts apmaksāto veselības aprūpes pakalpojumu finansēšanas nosacījumiem. Prognozes veidošanā ņemts vērā, ka pašreizējie pakalpojumu apmaksas nosacījumi nenodrošina PSKUS sniegto veselības aprūpes pakalpojumu faktisko izmaksu segšanu pilnā apmērā, tādējādi saglabājot risku PSKUS negatīva finanšu rezultāta un attiecīgi negatīvas ietekmes uz vispārējās valdības budžeta bilanci veidošanai arī turpmākajos periodos.</w:t>
      </w:r>
    </w:p>
    <w:p w14:paraId="521FEF09" w14:textId="3297CB51" w:rsidR="009F5689" w:rsidRPr="00ED3C35" w:rsidRDefault="00FE0207" w:rsidP="003B6DF9">
      <w:pPr>
        <w:tabs>
          <w:tab w:val="left" w:pos="0"/>
        </w:tabs>
        <w:jc w:val="both"/>
        <w:rPr>
          <w:szCs w:val="24"/>
        </w:rPr>
      </w:pPr>
      <w:r w:rsidRPr="00ED3C35">
        <w:rPr>
          <w:szCs w:val="24"/>
        </w:rPr>
        <w:tab/>
        <w:t>Ņemot vērā to, ka PSKUS finansējumu par valsts apmaksāto veselības aprūpes pakalpojumu sniegšanu saņem atbilstoši normatīvajos aktos noteiktajiem tarifiem, PSKUS darbība būs apgrūtināta, gan saistībā ar apgrozāmo līdzekļu nepietiekamību, gan nepietiekamām investīcijām infrastruktūras atjaunošanai, kas nākotnē var ietekmēt sniegto veselības aprūpes pakalpojumu pieejamību un kvalitāti, kā arī kavēt pakalpojumu attīstību, jo valstī noteiktajos veselības aprūpes pakalpojumu tarifos joprojām nav iekļauts faktiskais inflācijas ietekmētais izmaksu pieaugums ārstniecības līdzekļiem, pacientu ēdināšanai, komunālajiem pakalpojumiem, medicīnas iekārtu atjaunošanas izmaksām un citām izmaksu pozīcijām. Līdz ar to, lai nodrošinātu PSKUS darbības turpmāku stabilitāti, būtisks nosacījums ir atbilstoši, savlaicīgi zināmi un stabili pakalpojumu apmaksas nosacījumi, tādējādi garantējot apmaksas nosacījumu ilgtspēju, kas sniedz iespēju nodrošināt nepieciešamo pakalpojumu apjomu, kā arī iespēju īstenot uzsāktos attīstības plānus.</w:t>
      </w:r>
    </w:p>
    <w:p w14:paraId="463CBC64" w14:textId="4EF6449A" w:rsidR="009F5689" w:rsidRPr="00ED3C35" w:rsidRDefault="009F5689" w:rsidP="003B6DF9">
      <w:pPr>
        <w:tabs>
          <w:tab w:val="left" w:pos="0"/>
        </w:tabs>
        <w:jc w:val="both"/>
        <w:rPr>
          <w:szCs w:val="24"/>
        </w:rPr>
      </w:pPr>
      <w:r w:rsidRPr="00ED3C35">
        <w:tab/>
        <w:t>Izvērtējot PSKUS 2025. gada un 2026. gada 6 mēnešu darbības un finanšu rezultātus, secināms, ka, saglabājoties līdzšinējām tendencēm, PSKUS finanšu stabilitāte un ilgtspēja turpmākajos periodos var būtiski pasliktināties. Ņemot vērā nepieciešamību vienlaikus nodrošināt augstu un valstiski nozīmīgu ārstniecības pakalpojumu apjomu, kā arī attīstīt stratēģisko funkciju īstenošanai nepieciešamo ārstniecības, infrastruktūras, izglītības un pētniecības kapacitāti, pastāv risks, ka pie pašreizējiem finansēšanas nosacījumiem pieaugs neatbilstība starp PSKUS ieņēmumiem un tās faktiskajām darbības izmaksām.</w:t>
      </w:r>
    </w:p>
    <w:p w14:paraId="3ACCC0BD" w14:textId="47971B15" w:rsidR="00831F8C" w:rsidRPr="00ED3C35" w:rsidRDefault="009F5689" w:rsidP="003B6DF9">
      <w:pPr>
        <w:tabs>
          <w:tab w:val="left" w:pos="0"/>
        </w:tabs>
        <w:jc w:val="both"/>
        <w:rPr>
          <w:szCs w:val="24"/>
        </w:rPr>
      </w:pPr>
      <w:r w:rsidRPr="00ED3C35">
        <w:rPr>
          <w:szCs w:val="24"/>
        </w:rPr>
        <w:tab/>
        <w:t>Vienreizēji papildu naudas līdzekļu piešķīrumi varētu sniegt īstermiņa atbalstu PSKUS finanšu situācijas stabilizēšanai un mazināt likviditātes riskus, tomēr tie nerisinātu finanšu problēmas strukturālos cēloņus. Ilgtermiņa finanšu stabilitātes nodrošināšanai nepieciešams pārskatīt valsts apmaksāto veselības aprūpes pakalpojumu finansēšanas modeli, nodrošinot tā atbilstību faktiski sniegto pakalpojumu apjomam, struktūrai un izmaksām. Pretējā gadījumā vienreizēji finanšu līdzekļu piešķīrumi būtu uzskatāmi par īstermiņa risinājumu, kas neatrisina ilgstošo neatbilstību starp PSKUS ieņēmumiem un pamatdarbības izmaksām.</w:t>
      </w:r>
    </w:p>
    <w:p w14:paraId="7EE49628" w14:textId="77777777" w:rsidR="00696864" w:rsidRPr="00ED3C35" w:rsidRDefault="00696864" w:rsidP="003B6DF9">
      <w:pPr>
        <w:tabs>
          <w:tab w:val="left" w:pos="0"/>
        </w:tabs>
        <w:jc w:val="both"/>
        <w:rPr>
          <w:szCs w:val="24"/>
        </w:rPr>
      </w:pPr>
    </w:p>
    <w:p w14:paraId="5C0AD485" w14:textId="417F3475" w:rsidR="00831F8C" w:rsidRPr="00ED3C35" w:rsidRDefault="00DC7BB7" w:rsidP="00831F8C">
      <w:pPr>
        <w:pStyle w:val="a3"/>
        <w:numPr>
          <w:ilvl w:val="0"/>
          <w:numId w:val="15"/>
        </w:numPr>
        <w:tabs>
          <w:tab w:val="left" w:pos="0"/>
        </w:tabs>
        <w:jc w:val="both"/>
        <w:rPr>
          <w:rFonts w:cs="Times New Roman"/>
          <w:b/>
          <w:szCs w:val="24"/>
        </w:rPr>
      </w:pPr>
      <w:r w:rsidRPr="00ED3C35">
        <w:rPr>
          <w:rFonts w:cs="Times New Roman"/>
          <w:b/>
          <w:szCs w:val="24"/>
        </w:rPr>
        <w:t>PSKUS ietekme uz vispārējās valdības budžeta bilanci 2026. - 2030. gadā</w:t>
      </w:r>
    </w:p>
    <w:p w14:paraId="2FD2CC47" w14:textId="77777777" w:rsidR="00831F8C" w:rsidRPr="00ED3C35" w:rsidRDefault="00831F8C" w:rsidP="00831F8C">
      <w:pPr>
        <w:tabs>
          <w:tab w:val="left" w:pos="0"/>
        </w:tabs>
        <w:ind w:left="360"/>
        <w:jc w:val="both"/>
        <w:rPr>
          <w:szCs w:val="24"/>
        </w:rPr>
      </w:pPr>
    </w:p>
    <w:p w14:paraId="65193E64" w14:textId="1B4E8A2F" w:rsidR="00A4306B" w:rsidRPr="00ED3C35" w:rsidRDefault="00A4306B" w:rsidP="006F6233">
      <w:pPr>
        <w:ind w:right="-1" w:firstLine="567"/>
        <w:jc w:val="both"/>
        <w:rPr>
          <w:rFonts w:cs="Times New Roman"/>
          <w:szCs w:val="24"/>
        </w:rPr>
      </w:pPr>
      <w:r w:rsidRPr="00ED3C35">
        <w:rPr>
          <w:rFonts w:cs="Times New Roman"/>
          <w:szCs w:val="24"/>
        </w:rPr>
        <w:t>2026. gada 27. augustā PSKUS iesniedza Valsts kases “</w:t>
      </w:r>
      <w:proofErr w:type="spellStart"/>
      <w:r w:rsidRPr="00ED3C35">
        <w:rPr>
          <w:rFonts w:cs="Times New Roman"/>
          <w:szCs w:val="24"/>
        </w:rPr>
        <w:t>ePārskati</w:t>
      </w:r>
      <w:proofErr w:type="spellEnd"/>
      <w:r w:rsidRPr="00ED3C35">
        <w:rPr>
          <w:rFonts w:cs="Times New Roman"/>
          <w:szCs w:val="24"/>
        </w:rPr>
        <w:t xml:space="preserve">” sistēmā anketu par Kapitālsabiedrības ietekmi uz vispārējās valdības sektora budžeta bilanci un parādu (iesniegšanas periods - 2026.gada 2.pusgads) periodā no 2026. gada līdz 2030. gadam (sk. pielikumu). Prognozētā negatīvā ietekme uz vispārējās valdības budžeta bilanci pārsniedz 5 000 000 </w:t>
      </w:r>
      <w:proofErr w:type="spellStart"/>
      <w:r w:rsidRPr="00ED3C35">
        <w:rPr>
          <w:rFonts w:cs="Times New Roman"/>
          <w:i/>
          <w:iCs/>
          <w:szCs w:val="24"/>
        </w:rPr>
        <w:t>euro</w:t>
      </w:r>
      <w:proofErr w:type="spellEnd"/>
      <w:r w:rsidRPr="00ED3C35">
        <w:rPr>
          <w:rFonts w:cs="Times New Roman"/>
          <w:szCs w:val="24"/>
        </w:rPr>
        <w:t> visā prognozēšanas periodā.</w:t>
      </w:r>
    </w:p>
    <w:p w14:paraId="77B5A094" w14:textId="66EF45DE" w:rsidR="00DE505B" w:rsidRPr="00ED3C35" w:rsidRDefault="00696864" w:rsidP="003B6DF9">
      <w:pPr>
        <w:ind w:left="7920" w:right="-1"/>
        <w:jc w:val="both"/>
        <w:rPr>
          <w:rFonts w:cs="Times New Roman"/>
          <w:i/>
          <w:szCs w:val="24"/>
        </w:rPr>
      </w:pPr>
      <w:r w:rsidRPr="00ED3C35">
        <w:rPr>
          <w:rFonts w:cs="Times New Roman"/>
          <w:i/>
          <w:szCs w:val="24"/>
        </w:rPr>
        <w:t>1. t</w:t>
      </w:r>
      <w:r w:rsidR="00DE505B" w:rsidRPr="00ED3C35">
        <w:rPr>
          <w:rFonts w:cs="Times New Roman"/>
          <w:i/>
          <w:szCs w:val="24"/>
        </w:rPr>
        <w:t>abula</w:t>
      </w:r>
    </w:p>
    <w:p w14:paraId="2450B59E" w14:textId="6241F14C" w:rsidR="00DE505B" w:rsidRPr="00ED3C35" w:rsidRDefault="00DC7BB7" w:rsidP="00DE505B">
      <w:pPr>
        <w:ind w:right="-1"/>
        <w:jc w:val="center"/>
        <w:rPr>
          <w:rFonts w:cs="Times New Roman"/>
          <w:b/>
          <w:szCs w:val="24"/>
        </w:rPr>
      </w:pPr>
      <w:r w:rsidRPr="00ED3C35">
        <w:rPr>
          <w:rFonts w:cs="Times New Roman"/>
          <w:b/>
          <w:szCs w:val="24"/>
        </w:rPr>
        <w:t xml:space="preserve">PSKUS ietekme uz vispārējās valdības budžeta bilanci 2026. - 2030. gadā, </w:t>
      </w:r>
      <w:proofErr w:type="spellStart"/>
      <w:r w:rsidRPr="00ED3C35">
        <w:rPr>
          <w:rFonts w:cs="Times New Roman"/>
          <w:b/>
          <w:i/>
          <w:iCs/>
          <w:szCs w:val="24"/>
        </w:rPr>
        <w:t>euro</w:t>
      </w:r>
      <w:proofErr w:type="spellEnd"/>
    </w:p>
    <w:p w14:paraId="135943F0" w14:textId="77777777" w:rsidR="00DE505B" w:rsidRPr="00ED3C35" w:rsidRDefault="00DE505B" w:rsidP="00DE505B">
      <w:pPr>
        <w:ind w:right="-1"/>
        <w:jc w:val="center"/>
        <w:rPr>
          <w:rFonts w:cs="Times New Roman"/>
          <w:b/>
          <w:szCs w:val="24"/>
        </w:rPr>
      </w:pPr>
    </w:p>
    <w:tbl>
      <w:tblPr>
        <w:tblStyle w:val="af8"/>
        <w:tblW w:w="0" w:type="auto"/>
        <w:tblLook w:val="04A0" w:firstRow="1" w:lastRow="0" w:firstColumn="1" w:lastColumn="0" w:noHBand="0" w:noVBand="1"/>
      </w:tblPr>
      <w:tblGrid>
        <w:gridCol w:w="3118"/>
        <w:gridCol w:w="1134"/>
        <w:gridCol w:w="1134"/>
        <w:gridCol w:w="1134"/>
        <w:gridCol w:w="1134"/>
        <w:gridCol w:w="1241"/>
      </w:tblGrid>
      <w:tr w:rsidR="0048780C" w:rsidRPr="00ED3C35" w14:paraId="078A5E91" w14:textId="77777777" w:rsidTr="00696864">
        <w:tc>
          <w:tcPr>
            <w:tcW w:w="3118" w:type="dxa"/>
          </w:tcPr>
          <w:p w14:paraId="6838679E" w14:textId="4338293D" w:rsidR="0048780C" w:rsidRPr="00ED3C35" w:rsidRDefault="0048780C" w:rsidP="003B6DF9">
            <w:pPr>
              <w:ind w:right="-1"/>
              <w:jc w:val="center"/>
              <w:rPr>
                <w:rFonts w:cs="Times New Roman"/>
                <w:sz w:val="18"/>
                <w:szCs w:val="18"/>
              </w:rPr>
            </w:pPr>
            <w:r w:rsidRPr="00ED3C35">
              <w:rPr>
                <w:rFonts w:cs="Times New Roman"/>
                <w:sz w:val="18"/>
                <w:szCs w:val="18"/>
              </w:rPr>
              <w:t>RĀDĪTĀJS</w:t>
            </w:r>
          </w:p>
        </w:tc>
        <w:tc>
          <w:tcPr>
            <w:tcW w:w="1134" w:type="dxa"/>
          </w:tcPr>
          <w:p w14:paraId="56EC0322" w14:textId="724F82C9" w:rsidR="0048780C" w:rsidRPr="00ED3C35" w:rsidRDefault="0048780C" w:rsidP="003B6DF9">
            <w:pPr>
              <w:ind w:right="-1"/>
              <w:jc w:val="center"/>
              <w:rPr>
                <w:rFonts w:cs="Times New Roman"/>
                <w:sz w:val="18"/>
                <w:szCs w:val="18"/>
              </w:rPr>
            </w:pPr>
            <w:r w:rsidRPr="00ED3C35">
              <w:rPr>
                <w:sz w:val="18"/>
                <w:szCs w:val="18"/>
              </w:rPr>
              <w:t>2026</w:t>
            </w:r>
          </w:p>
        </w:tc>
        <w:tc>
          <w:tcPr>
            <w:tcW w:w="1134" w:type="dxa"/>
          </w:tcPr>
          <w:p w14:paraId="374112B5" w14:textId="6F594A15" w:rsidR="0048780C" w:rsidRPr="00ED3C35" w:rsidRDefault="0048780C" w:rsidP="003B6DF9">
            <w:pPr>
              <w:ind w:right="-1"/>
              <w:jc w:val="center"/>
              <w:rPr>
                <w:rFonts w:cs="Times New Roman"/>
                <w:sz w:val="18"/>
                <w:szCs w:val="18"/>
              </w:rPr>
            </w:pPr>
            <w:r w:rsidRPr="00ED3C35">
              <w:rPr>
                <w:sz w:val="18"/>
                <w:szCs w:val="18"/>
              </w:rPr>
              <w:t>2027</w:t>
            </w:r>
          </w:p>
        </w:tc>
        <w:tc>
          <w:tcPr>
            <w:tcW w:w="1134" w:type="dxa"/>
          </w:tcPr>
          <w:p w14:paraId="56777E0C" w14:textId="4F7C0B94" w:rsidR="0048780C" w:rsidRPr="00ED3C35" w:rsidRDefault="0048780C" w:rsidP="003B6DF9">
            <w:pPr>
              <w:ind w:right="-1"/>
              <w:jc w:val="center"/>
              <w:rPr>
                <w:rFonts w:cs="Times New Roman"/>
                <w:sz w:val="18"/>
                <w:szCs w:val="18"/>
              </w:rPr>
            </w:pPr>
            <w:r w:rsidRPr="00ED3C35">
              <w:rPr>
                <w:sz w:val="18"/>
                <w:szCs w:val="18"/>
              </w:rPr>
              <w:t>2028</w:t>
            </w:r>
          </w:p>
        </w:tc>
        <w:tc>
          <w:tcPr>
            <w:tcW w:w="1134" w:type="dxa"/>
          </w:tcPr>
          <w:p w14:paraId="412B7976" w14:textId="64D501A8" w:rsidR="0048780C" w:rsidRPr="00ED3C35" w:rsidRDefault="0048780C" w:rsidP="003B6DF9">
            <w:pPr>
              <w:ind w:right="-1"/>
              <w:jc w:val="center"/>
              <w:rPr>
                <w:rFonts w:cs="Times New Roman"/>
                <w:sz w:val="18"/>
                <w:szCs w:val="18"/>
              </w:rPr>
            </w:pPr>
            <w:r w:rsidRPr="00ED3C35">
              <w:rPr>
                <w:sz w:val="18"/>
                <w:szCs w:val="18"/>
              </w:rPr>
              <w:t>2029</w:t>
            </w:r>
          </w:p>
        </w:tc>
        <w:tc>
          <w:tcPr>
            <w:tcW w:w="1241" w:type="dxa"/>
          </w:tcPr>
          <w:p w14:paraId="3BDF7B4F" w14:textId="5AAD8284" w:rsidR="0048780C" w:rsidRPr="00ED3C35" w:rsidRDefault="0048780C" w:rsidP="003B6DF9">
            <w:pPr>
              <w:ind w:right="-1"/>
              <w:jc w:val="center"/>
              <w:rPr>
                <w:rFonts w:cs="Times New Roman"/>
                <w:sz w:val="18"/>
                <w:szCs w:val="18"/>
              </w:rPr>
            </w:pPr>
            <w:r w:rsidRPr="00ED3C35">
              <w:rPr>
                <w:sz w:val="18"/>
                <w:szCs w:val="18"/>
              </w:rPr>
              <w:t>2030</w:t>
            </w:r>
          </w:p>
        </w:tc>
      </w:tr>
      <w:tr w:rsidR="00D87FA1" w:rsidRPr="00ED3C35" w14:paraId="205DFDCC" w14:textId="77777777" w:rsidTr="00696864">
        <w:tc>
          <w:tcPr>
            <w:tcW w:w="8895" w:type="dxa"/>
            <w:gridSpan w:val="6"/>
          </w:tcPr>
          <w:p w14:paraId="3E7818D8" w14:textId="7E4BD86F" w:rsidR="00D87FA1" w:rsidRPr="00ED3C35" w:rsidRDefault="00D87FA1" w:rsidP="003B6DF9">
            <w:pPr>
              <w:ind w:right="-1"/>
              <w:jc w:val="center"/>
              <w:rPr>
                <w:rFonts w:cs="Times New Roman"/>
                <w:i/>
                <w:sz w:val="18"/>
                <w:szCs w:val="18"/>
              </w:rPr>
            </w:pPr>
            <w:r w:rsidRPr="00ED3C35">
              <w:rPr>
                <w:rFonts w:cs="Times New Roman"/>
                <w:i/>
                <w:sz w:val="18"/>
                <w:szCs w:val="18"/>
              </w:rPr>
              <w:t>Sākotnējās ietekmes prognozes</w:t>
            </w:r>
          </w:p>
        </w:tc>
      </w:tr>
      <w:tr w:rsidR="0048780C" w:rsidRPr="00ED3C35" w14:paraId="1CEF9ED8" w14:textId="77777777" w:rsidTr="00696864">
        <w:tc>
          <w:tcPr>
            <w:tcW w:w="3118" w:type="dxa"/>
          </w:tcPr>
          <w:p w14:paraId="4A6511A5" w14:textId="5817BECB" w:rsidR="0048780C" w:rsidRPr="00ED3C35" w:rsidRDefault="0048780C" w:rsidP="0048780C">
            <w:pPr>
              <w:ind w:right="-1"/>
              <w:rPr>
                <w:rFonts w:cs="Times New Roman"/>
                <w:sz w:val="18"/>
                <w:szCs w:val="18"/>
              </w:rPr>
            </w:pPr>
            <w:r w:rsidRPr="00ED3C35">
              <w:rPr>
                <w:sz w:val="18"/>
                <w:szCs w:val="18"/>
              </w:rPr>
              <w:t>Ieņēmumi</w:t>
            </w:r>
          </w:p>
        </w:tc>
        <w:tc>
          <w:tcPr>
            <w:tcW w:w="1134" w:type="dxa"/>
          </w:tcPr>
          <w:p w14:paraId="2262D6A9" w14:textId="3EA6F4A9" w:rsidR="0048780C" w:rsidRPr="00ED3C35" w:rsidRDefault="0048780C" w:rsidP="003B6DF9">
            <w:pPr>
              <w:ind w:right="-1"/>
              <w:jc w:val="center"/>
              <w:rPr>
                <w:rFonts w:cs="Times New Roman"/>
                <w:sz w:val="18"/>
                <w:szCs w:val="18"/>
              </w:rPr>
            </w:pPr>
            <w:r w:rsidRPr="00ED3C35">
              <w:rPr>
                <w:sz w:val="18"/>
                <w:szCs w:val="18"/>
              </w:rPr>
              <w:t>210 130 180</w:t>
            </w:r>
          </w:p>
        </w:tc>
        <w:tc>
          <w:tcPr>
            <w:tcW w:w="1134" w:type="dxa"/>
          </w:tcPr>
          <w:p w14:paraId="44D1E491" w14:textId="228274F8" w:rsidR="0048780C" w:rsidRPr="00ED3C35" w:rsidRDefault="0048780C" w:rsidP="003B6DF9">
            <w:pPr>
              <w:ind w:right="-1"/>
              <w:jc w:val="center"/>
              <w:rPr>
                <w:rFonts w:cs="Times New Roman"/>
                <w:sz w:val="18"/>
                <w:szCs w:val="18"/>
              </w:rPr>
            </w:pPr>
            <w:r w:rsidRPr="00ED3C35">
              <w:rPr>
                <w:sz w:val="18"/>
                <w:szCs w:val="18"/>
              </w:rPr>
              <w:t>211 048 075</w:t>
            </w:r>
          </w:p>
        </w:tc>
        <w:tc>
          <w:tcPr>
            <w:tcW w:w="1134" w:type="dxa"/>
          </w:tcPr>
          <w:p w14:paraId="433A59FB" w14:textId="5B7A5D88" w:rsidR="0048780C" w:rsidRPr="00ED3C35" w:rsidRDefault="0048780C" w:rsidP="003B6DF9">
            <w:pPr>
              <w:ind w:right="-1"/>
              <w:jc w:val="center"/>
              <w:rPr>
                <w:rFonts w:cs="Times New Roman"/>
                <w:sz w:val="18"/>
                <w:szCs w:val="18"/>
              </w:rPr>
            </w:pPr>
            <w:r w:rsidRPr="00ED3C35">
              <w:rPr>
                <w:sz w:val="18"/>
                <w:szCs w:val="18"/>
              </w:rPr>
              <w:t>211 975 611</w:t>
            </w:r>
          </w:p>
        </w:tc>
        <w:tc>
          <w:tcPr>
            <w:tcW w:w="1134" w:type="dxa"/>
          </w:tcPr>
          <w:p w14:paraId="309ABAB7" w14:textId="736CF920" w:rsidR="0048780C" w:rsidRPr="00ED3C35" w:rsidRDefault="0048780C" w:rsidP="003B6DF9">
            <w:pPr>
              <w:ind w:right="-1"/>
              <w:jc w:val="center"/>
              <w:rPr>
                <w:rFonts w:cs="Times New Roman"/>
                <w:sz w:val="18"/>
                <w:szCs w:val="18"/>
              </w:rPr>
            </w:pPr>
            <w:r w:rsidRPr="00ED3C35">
              <w:rPr>
                <w:sz w:val="18"/>
                <w:szCs w:val="18"/>
              </w:rPr>
              <w:t>212 913 088</w:t>
            </w:r>
          </w:p>
        </w:tc>
        <w:tc>
          <w:tcPr>
            <w:tcW w:w="1241" w:type="dxa"/>
          </w:tcPr>
          <w:p w14:paraId="3AF9D1BA" w14:textId="6EE513AF" w:rsidR="0048780C" w:rsidRPr="00ED3C35" w:rsidRDefault="0048780C" w:rsidP="003B6DF9">
            <w:pPr>
              <w:ind w:right="-1"/>
              <w:jc w:val="center"/>
              <w:rPr>
                <w:rFonts w:cs="Times New Roman"/>
                <w:sz w:val="18"/>
                <w:szCs w:val="18"/>
              </w:rPr>
            </w:pPr>
            <w:r w:rsidRPr="00ED3C35">
              <w:rPr>
                <w:sz w:val="18"/>
                <w:szCs w:val="18"/>
              </w:rPr>
              <w:t>213 094 685</w:t>
            </w:r>
          </w:p>
        </w:tc>
      </w:tr>
      <w:tr w:rsidR="0048780C" w:rsidRPr="00ED3C35" w14:paraId="4A055AE1" w14:textId="77777777" w:rsidTr="00696864">
        <w:tc>
          <w:tcPr>
            <w:tcW w:w="3118" w:type="dxa"/>
          </w:tcPr>
          <w:p w14:paraId="2F68F35C" w14:textId="5B2F4756" w:rsidR="0048780C" w:rsidRPr="00ED3C35" w:rsidRDefault="0048780C" w:rsidP="0048780C">
            <w:pPr>
              <w:ind w:right="-1"/>
              <w:rPr>
                <w:rFonts w:cs="Times New Roman"/>
                <w:sz w:val="18"/>
                <w:szCs w:val="18"/>
              </w:rPr>
            </w:pPr>
            <w:r w:rsidRPr="00ED3C35">
              <w:rPr>
                <w:sz w:val="18"/>
                <w:szCs w:val="18"/>
              </w:rPr>
              <w:t>Izdevumi</w:t>
            </w:r>
          </w:p>
        </w:tc>
        <w:tc>
          <w:tcPr>
            <w:tcW w:w="1134" w:type="dxa"/>
          </w:tcPr>
          <w:p w14:paraId="684CDF2B" w14:textId="0D0FA7B1" w:rsidR="0048780C" w:rsidRPr="00ED3C35" w:rsidRDefault="0048780C" w:rsidP="003B6DF9">
            <w:pPr>
              <w:ind w:right="-1"/>
              <w:jc w:val="center"/>
              <w:rPr>
                <w:rFonts w:cs="Times New Roman"/>
                <w:sz w:val="18"/>
                <w:szCs w:val="18"/>
              </w:rPr>
            </w:pPr>
            <w:r w:rsidRPr="00ED3C35">
              <w:rPr>
                <w:sz w:val="18"/>
                <w:szCs w:val="18"/>
              </w:rPr>
              <w:t>217 578 799</w:t>
            </w:r>
          </w:p>
        </w:tc>
        <w:tc>
          <w:tcPr>
            <w:tcW w:w="1134" w:type="dxa"/>
          </w:tcPr>
          <w:p w14:paraId="681A7126" w14:textId="3691B424" w:rsidR="0048780C" w:rsidRPr="00ED3C35" w:rsidRDefault="0048780C" w:rsidP="003B6DF9">
            <w:pPr>
              <w:ind w:right="-1"/>
              <w:jc w:val="center"/>
              <w:rPr>
                <w:rFonts w:cs="Times New Roman"/>
                <w:sz w:val="18"/>
                <w:szCs w:val="18"/>
              </w:rPr>
            </w:pPr>
            <w:r w:rsidRPr="00ED3C35">
              <w:rPr>
                <w:sz w:val="18"/>
                <w:szCs w:val="18"/>
              </w:rPr>
              <w:t>217 676 256</w:t>
            </w:r>
          </w:p>
        </w:tc>
        <w:tc>
          <w:tcPr>
            <w:tcW w:w="1134" w:type="dxa"/>
          </w:tcPr>
          <w:p w14:paraId="5973BAA9" w14:textId="5DA4F3A7" w:rsidR="0048780C" w:rsidRPr="00ED3C35" w:rsidRDefault="0048780C" w:rsidP="003B6DF9">
            <w:pPr>
              <w:ind w:right="-1"/>
              <w:jc w:val="center"/>
              <w:rPr>
                <w:rFonts w:cs="Times New Roman"/>
                <w:sz w:val="18"/>
                <w:szCs w:val="18"/>
              </w:rPr>
            </w:pPr>
            <w:r w:rsidRPr="00ED3C35">
              <w:rPr>
                <w:sz w:val="18"/>
                <w:szCs w:val="18"/>
              </w:rPr>
              <w:t>215 911 805</w:t>
            </w:r>
          </w:p>
        </w:tc>
        <w:tc>
          <w:tcPr>
            <w:tcW w:w="1134" w:type="dxa"/>
          </w:tcPr>
          <w:p w14:paraId="47CCC8E6" w14:textId="333A4A52" w:rsidR="0048780C" w:rsidRPr="00ED3C35" w:rsidRDefault="0048780C" w:rsidP="003B6DF9">
            <w:pPr>
              <w:ind w:right="-1"/>
              <w:jc w:val="center"/>
              <w:rPr>
                <w:rFonts w:cs="Times New Roman"/>
                <w:sz w:val="18"/>
                <w:szCs w:val="18"/>
              </w:rPr>
            </w:pPr>
            <w:r w:rsidRPr="00ED3C35">
              <w:rPr>
                <w:sz w:val="18"/>
                <w:szCs w:val="18"/>
              </w:rPr>
              <w:t>217 822 407</w:t>
            </w:r>
          </w:p>
        </w:tc>
        <w:tc>
          <w:tcPr>
            <w:tcW w:w="1241" w:type="dxa"/>
          </w:tcPr>
          <w:p w14:paraId="164401CA" w14:textId="2432766F" w:rsidR="0048780C" w:rsidRPr="00ED3C35" w:rsidRDefault="0048780C" w:rsidP="003B6DF9">
            <w:pPr>
              <w:ind w:right="-1"/>
              <w:jc w:val="center"/>
              <w:rPr>
                <w:rFonts w:cs="Times New Roman"/>
                <w:sz w:val="18"/>
                <w:szCs w:val="18"/>
              </w:rPr>
            </w:pPr>
            <w:r w:rsidRPr="00ED3C35">
              <w:rPr>
                <w:sz w:val="18"/>
                <w:szCs w:val="18"/>
              </w:rPr>
              <w:t>217 816 528</w:t>
            </w:r>
          </w:p>
        </w:tc>
      </w:tr>
      <w:tr w:rsidR="0048780C" w:rsidRPr="00ED3C35" w14:paraId="362BE642" w14:textId="77777777" w:rsidTr="00696864">
        <w:tc>
          <w:tcPr>
            <w:tcW w:w="3118" w:type="dxa"/>
          </w:tcPr>
          <w:p w14:paraId="678BC8BC" w14:textId="7FF95823" w:rsidR="0048780C" w:rsidRPr="00ED3C35" w:rsidRDefault="0048780C" w:rsidP="0048780C">
            <w:pPr>
              <w:ind w:right="-1"/>
              <w:rPr>
                <w:rFonts w:cs="Times New Roman"/>
                <w:sz w:val="18"/>
                <w:szCs w:val="18"/>
              </w:rPr>
            </w:pPr>
            <w:r w:rsidRPr="00ED3C35">
              <w:rPr>
                <w:sz w:val="18"/>
                <w:szCs w:val="18"/>
              </w:rPr>
              <w:t>Neto aizdevumi (+)/neto aizņēmumi (-)</w:t>
            </w:r>
          </w:p>
        </w:tc>
        <w:tc>
          <w:tcPr>
            <w:tcW w:w="1134" w:type="dxa"/>
          </w:tcPr>
          <w:p w14:paraId="78A0CBA8" w14:textId="2D8675FF" w:rsidR="0048780C" w:rsidRPr="00ED3C35" w:rsidRDefault="0048780C" w:rsidP="003B6DF9">
            <w:pPr>
              <w:ind w:right="-1"/>
              <w:jc w:val="center"/>
              <w:rPr>
                <w:rFonts w:cs="Times New Roman"/>
                <w:sz w:val="18"/>
                <w:szCs w:val="18"/>
              </w:rPr>
            </w:pPr>
            <w:r w:rsidRPr="00ED3C35">
              <w:rPr>
                <w:sz w:val="18"/>
                <w:szCs w:val="18"/>
              </w:rPr>
              <w:t>-7 448 619</w:t>
            </w:r>
          </w:p>
        </w:tc>
        <w:tc>
          <w:tcPr>
            <w:tcW w:w="1134" w:type="dxa"/>
          </w:tcPr>
          <w:p w14:paraId="4BB1D36F" w14:textId="5E77AD12" w:rsidR="0048780C" w:rsidRPr="00ED3C35" w:rsidRDefault="0048780C" w:rsidP="003B6DF9">
            <w:pPr>
              <w:ind w:right="-1"/>
              <w:jc w:val="center"/>
              <w:rPr>
                <w:rFonts w:cs="Times New Roman"/>
                <w:sz w:val="18"/>
                <w:szCs w:val="18"/>
              </w:rPr>
            </w:pPr>
            <w:r w:rsidRPr="00ED3C35">
              <w:rPr>
                <w:sz w:val="18"/>
                <w:szCs w:val="18"/>
              </w:rPr>
              <w:t>-6 628 181</w:t>
            </w:r>
          </w:p>
        </w:tc>
        <w:tc>
          <w:tcPr>
            <w:tcW w:w="1134" w:type="dxa"/>
          </w:tcPr>
          <w:p w14:paraId="00091648" w14:textId="586FA974" w:rsidR="0048780C" w:rsidRPr="00ED3C35" w:rsidRDefault="0048780C" w:rsidP="003B6DF9">
            <w:pPr>
              <w:ind w:right="-1"/>
              <w:jc w:val="center"/>
              <w:rPr>
                <w:rFonts w:cs="Times New Roman"/>
                <w:sz w:val="18"/>
                <w:szCs w:val="18"/>
              </w:rPr>
            </w:pPr>
            <w:r w:rsidRPr="00ED3C35">
              <w:rPr>
                <w:sz w:val="18"/>
                <w:szCs w:val="18"/>
              </w:rPr>
              <w:t>-3 936 194</w:t>
            </w:r>
          </w:p>
        </w:tc>
        <w:tc>
          <w:tcPr>
            <w:tcW w:w="1134" w:type="dxa"/>
          </w:tcPr>
          <w:p w14:paraId="77A86A2C" w14:textId="6812F258" w:rsidR="0048780C" w:rsidRPr="00ED3C35" w:rsidRDefault="0048780C" w:rsidP="003B6DF9">
            <w:pPr>
              <w:ind w:right="-1"/>
              <w:jc w:val="center"/>
              <w:rPr>
                <w:rFonts w:cs="Times New Roman"/>
                <w:sz w:val="18"/>
                <w:szCs w:val="18"/>
              </w:rPr>
            </w:pPr>
            <w:r w:rsidRPr="00ED3C35">
              <w:rPr>
                <w:sz w:val="18"/>
                <w:szCs w:val="18"/>
              </w:rPr>
              <w:t>-4 909 319</w:t>
            </w:r>
          </w:p>
        </w:tc>
        <w:tc>
          <w:tcPr>
            <w:tcW w:w="1241" w:type="dxa"/>
          </w:tcPr>
          <w:p w14:paraId="12FE05A9" w14:textId="179D0308" w:rsidR="0048780C" w:rsidRPr="00ED3C35" w:rsidRDefault="0048780C" w:rsidP="003B6DF9">
            <w:pPr>
              <w:ind w:right="-1"/>
              <w:jc w:val="center"/>
              <w:rPr>
                <w:rFonts w:cs="Times New Roman"/>
                <w:sz w:val="18"/>
                <w:szCs w:val="18"/>
              </w:rPr>
            </w:pPr>
            <w:r w:rsidRPr="00ED3C35">
              <w:rPr>
                <w:sz w:val="18"/>
                <w:szCs w:val="18"/>
              </w:rPr>
              <w:t>-4 721 843</w:t>
            </w:r>
          </w:p>
        </w:tc>
      </w:tr>
      <w:tr w:rsidR="00D87FA1" w:rsidRPr="00ED3C35" w14:paraId="070AF65B" w14:textId="77777777" w:rsidTr="00696864">
        <w:tc>
          <w:tcPr>
            <w:tcW w:w="8895" w:type="dxa"/>
            <w:gridSpan w:val="6"/>
          </w:tcPr>
          <w:p w14:paraId="4BE0B84B" w14:textId="21374293" w:rsidR="00D87FA1" w:rsidRPr="00ED3C35" w:rsidRDefault="00D87FA1" w:rsidP="003B6DF9">
            <w:pPr>
              <w:ind w:right="-1"/>
              <w:jc w:val="center"/>
              <w:rPr>
                <w:rFonts w:cs="Times New Roman"/>
                <w:i/>
                <w:sz w:val="18"/>
                <w:szCs w:val="18"/>
              </w:rPr>
            </w:pPr>
            <w:r w:rsidRPr="00ED3C35">
              <w:rPr>
                <w:rFonts w:cs="Times New Roman"/>
                <w:i/>
                <w:sz w:val="18"/>
                <w:szCs w:val="18"/>
              </w:rPr>
              <w:t>Aktualizētās ietekmes prognozes</w:t>
            </w:r>
          </w:p>
        </w:tc>
      </w:tr>
      <w:tr w:rsidR="0048780C" w:rsidRPr="00ED3C35" w14:paraId="259827EF" w14:textId="77777777" w:rsidTr="00696864">
        <w:tc>
          <w:tcPr>
            <w:tcW w:w="3118" w:type="dxa"/>
          </w:tcPr>
          <w:p w14:paraId="0BB17051" w14:textId="5F692B67" w:rsidR="0048780C" w:rsidRPr="00ED3C35" w:rsidRDefault="0048780C" w:rsidP="0048780C">
            <w:pPr>
              <w:ind w:right="-1"/>
              <w:rPr>
                <w:rFonts w:cs="Times New Roman"/>
                <w:sz w:val="18"/>
                <w:szCs w:val="18"/>
              </w:rPr>
            </w:pPr>
            <w:r w:rsidRPr="00ED3C35">
              <w:rPr>
                <w:sz w:val="18"/>
                <w:szCs w:val="18"/>
              </w:rPr>
              <w:t>Ieņēmumi</w:t>
            </w:r>
          </w:p>
        </w:tc>
        <w:tc>
          <w:tcPr>
            <w:tcW w:w="1134" w:type="dxa"/>
          </w:tcPr>
          <w:p w14:paraId="312E96DD" w14:textId="08E85123" w:rsidR="0048780C" w:rsidRPr="00ED3C35" w:rsidRDefault="0048780C" w:rsidP="003B6DF9">
            <w:pPr>
              <w:ind w:right="-1"/>
              <w:jc w:val="center"/>
              <w:rPr>
                <w:rFonts w:cs="Times New Roman"/>
                <w:sz w:val="18"/>
                <w:szCs w:val="18"/>
              </w:rPr>
            </w:pPr>
            <w:r w:rsidRPr="00ED3C35">
              <w:rPr>
                <w:sz w:val="18"/>
                <w:szCs w:val="18"/>
              </w:rPr>
              <w:t>210 130 180</w:t>
            </w:r>
          </w:p>
        </w:tc>
        <w:tc>
          <w:tcPr>
            <w:tcW w:w="1134" w:type="dxa"/>
          </w:tcPr>
          <w:p w14:paraId="635E620B" w14:textId="537D6350" w:rsidR="0048780C" w:rsidRPr="00ED3C35" w:rsidRDefault="0048780C" w:rsidP="003B6DF9">
            <w:pPr>
              <w:ind w:right="-1"/>
              <w:jc w:val="center"/>
              <w:rPr>
                <w:rFonts w:cs="Times New Roman"/>
                <w:sz w:val="18"/>
                <w:szCs w:val="18"/>
              </w:rPr>
            </w:pPr>
            <w:r w:rsidRPr="00ED3C35">
              <w:rPr>
                <w:sz w:val="18"/>
                <w:szCs w:val="18"/>
              </w:rPr>
              <w:t>211 048 075</w:t>
            </w:r>
          </w:p>
        </w:tc>
        <w:tc>
          <w:tcPr>
            <w:tcW w:w="1134" w:type="dxa"/>
          </w:tcPr>
          <w:p w14:paraId="36E41DF5" w14:textId="0C57C55D" w:rsidR="0048780C" w:rsidRPr="00ED3C35" w:rsidRDefault="0048780C" w:rsidP="003B6DF9">
            <w:pPr>
              <w:ind w:right="-1"/>
              <w:jc w:val="center"/>
              <w:rPr>
                <w:rFonts w:cs="Times New Roman"/>
                <w:sz w:val="18"/>
                <w:szCs w:val="18"/>
              </w:rPr>
            </w:pPr>
            <w:r w:rsidRPr="00ED3C35">
              <w:rPr>
                <w:sz w:val="18"/>
                <w:szCs w:val="18"/>
              </w:rPr>
              <w:t>211 975 611</w:t>
            </w:r>
          </w:p>
        </w:tc>
        <w:tc>
          <w:tcPr>
            <w:tcW w:w="1134" w:type="dxa"/>
          </w:tcPr>
          <w:p w14:paraId="685E114D" w14:textId="1E3B3756" w:rsidR="0048780C" w:rsidRPr="00ED3C35" w:rsidRDefault="0048780C" w:rsidP="003B6DF9">
            <w:pPr>
              <w:ind w:right="-1"/>
              <w:jc w:val="center"/>
              <w:rPr>
                <w:rFonts w:cs="Times New Roman"/>
                <w:sz w:val="18"/>
                <w:szCs w:val="18"/>
              </w:rPr>
            </w:pPr>
            <w:r w:rsidRPr="00ED3C35">
              <w:rPr>
                <w:sz w:val="18"/>
                <w:szCs w:val="18"/>
              </w:rPr>
              <w:t>212 913 088</w:t>
            </w:r>
          </w:p>
        </w:tc>
        <w:tc>
          <w:tcPr>
            <w:tcW w:w="1241" w:type="dxa"/>
          </w:tcPr>
          <w:p w14:paraId="7BCA93E1" w14:textId="60C69AB5" w:rsidR="0048780C" w:rsidRPr="00ED3C35" w:rsidRDefault="0048780C" w:rsidP="003B6DF9">
            <w:pPr>
              <w:ind w:right="-1"/>
              <w:jc w:val="center"/>
              <w:rPr>
                <w:rFonts w:cs="Times New Roman"/>
                <w:sz w:val="18"/>
                <w:szCs w:val="18"/>
              </w:rPr>
            </w:pPr>
            <w:r w:rsidRPr="00ED3C35">
              <w:rPr>
                <w:sz w:val="18"/>
                <w:szCs w:val="18"/>
              </w:rPr>
              <w:t>213 094 685</w:t>
            </w:r>
          </w:p>
        </w:tc>
      </w:tr>
      <w:tr w:rsidR="0048780C" w:rsidRPr="00ED3C35" w14:paraId="1435F6A8" w14:textId="77777777" w:rsidTr="00696864">
        <w:tc>
          <w:tcPr>
            <w:tcW w:w="3118" w:type="dxa"/>
          </w:tcPr>
          <w:p w14:paraId="24F047D9" w14:textId="5FD7971E" w:rsidR="0048780C" w:rsidRPr="00ED3C35" w:rsidRDefault="0048780C" w:rsidP="0048780C">
            <w:pPr>
              <w:ind w:right="-1"/>
              <w:rPr>
                <w:rFonts w:cs="Times New Roman"/>
                <w:sz w:val="18"/>
                <w:szCs w:val="18"/>
              </w:rPr>
            </w:pPr>
            <w:r w:rsidRPr="00ED3C35">
              <w:rPr>
                <w:sz w:val="18"/>
                <w:szCs w:val="18"/>
              </w:rPr>
              <w:t>Izdevumi</w:t>
            </w:r>
          </w:p>
        </w:tc>
        <w:tc>
          <w:tcPr>
            <w:tcW w:w="1134" w:type="dxa"/>
          </w:tcPr>
          <w:p w14:paraId="31012088" w14:textId="6C9B7138" w:rsidR="0048780C" w:rsidRPr="00ED3C35" w:rsidRDefault="0048780C" w:rsidP="003B6DF9">
            <w:pPr>
              <w:ind w:right="-1"/>
              <w:jc w:val="center"/>
              <w:rPr>
                <w:rFonts w:cs="Times New Roman"/>
                <w:sz w:val="18"/>
                <w:szCs w:val="18"/>
              </w:rPr>
            </w:pPr>
            <w:r w:rsidRPr="00ED3C35">
              <w:rPr>
                <w:sz w:val="18"/>
                <w:szCs w:val="18"/>
              </w:rPr>
              <w:t>217 563 948</w:t>
            </w:r>
          </w:p>
        </w:tc>
        <w:tc>
          <w:tcPr>
            <w:tcW w:w="1134" w:type="dxa"/>
          </w:tcPr>
          <w:p w14:paraId="1349CCF0" w14:textId="22536C87" w:rsidR="0048780C" w:rsidRPr="00ED3C35" w:rsidRDefault="0048780C" w:rsidP="003B6DF9">
            <w:pPr>
              <w:ind w:right="-1"/>
              <w:jc w:val="center"/>
              <w:rPr>
                <w:rFonts w:cs="Times New Roman"/>
                <w:sz w:val="18"/>
                <w:szCs w:val="18"/>
              </w:rPr>
            </w:pPr>
            <w:r w:rsidRPr="00ED3C35">
              <w:rPr>
                <w:sz w:val="18"/>
                <w:szCs w:val="18"/>
              </w:rPr>
              <w:t>219 655 185</w:t>
            </w:r>
          </w:p>
        </w:tc>
        <w:tc>
          <w:tcPr>
            <w:tcW w:w="1134" w:type="dxa"/>
          </w:tcPr>
          <w:p w14:paraId="1147CA43" w14:textId="75774231" w:rsidR="0048780C" w:rsidRPr="00ED3C35" w:rsidRDefault="0048780C" w:rsidP="003B6DF9">
            <w:pPr>
              <w:ind w:right="-1"/>
              <w:jc w:val="center"/>
              <w:rPr>
                <w:rFonts w:cs="Times New Roman"/>
                <w:sz w:val="18"/>
                <w:szCs w:val="18"/>
              </w:rPr>
            </w:pPr>
            <w:r w:rsidRPr="00ED3C35">
              <w:rPr>
                <w:sz w:val="18"/>
                <w:szCs w:val="18"/>
              </w:rPr>
              <w:t>221 692 342</w:t>
            </w:r>
          </w:p>
        </w:tc>
        <w:tc>
          <w:tcPr>
            <w:tcW w:w="1134" w:type="dxa"/>
          </w:tcPr>
          <w:p w14:paraId="0A27333A" w14:textId="7B33591E" w:rsidR="0048780C" w:rsidRPr="00ED3C35" w:rsidRDefault="0048780C" w:rsidP="003B6DF9">
            <w:pPr>
              <w:ind w:right="-1"/>
              <w:jc w:val="center"/>
              <w:rPr>
                <w:rFonts w:cs="Times New Roman"/>
                <w:sz w:val="18"/>
                <w:szCs w:val="18"/>
              </w:rPr>
            </w:pPr>
            <w:r w:rsidRPr="00ED3C35">
              <w:rPr>
                <w:sz w:val="18"/>
                <w:szCs w:val="18"/>
              </w:rPr>
              <w:t>219 286 893</w:t>
            </w:r>
          </w:p>
        </w:tc>
        <w:tc>
          <w:tcPr>
            <w:tcW w:w="1241" w:type="dxa"/>
          </w:tcPr>
          <w:p w14:paraId="1CE4E51B" w14:textId="7BEED5E5" w:rsidR="0048780C" w:rsidRPr="00ED3C35" w:rsidRDefault="0048780C" w:rsidP="003B6DF9">
            <w:pPr>
              <w:ind w:right="-1"/>
              <w:jc w:val="center"/>
              <w:rPr>
                <w:rFonts w:cs="Times New Roman"/>
                <w:sz w:val="18"/>
                <w:szCs w:val="18"/>
              </w:rPr>
            </w:pPr>
            <w:r w:rsidRPr="00ED3C35">
              <w:rPr>
                <w:sz w:val="18"/>
                <w:szCs w:val="18"/>
              </w:rPr>
              <w:t>217 640 632</w:t>
            </w:r>
          </w:p>
        </w:tc>
      </w:tr>
      <w:tr w:rsidR="0048780C" w:rsidRPr="00ED3C35" w14:paraId="3558AD1C" w14:textId="77777777" w:rsidTr="00696864">
        <w:tc>
          <w:tcPr>
            <w:tcW w:w="3118" w:type="dxa"/>
          </w:tcPr>
          <w:p w14:paraId="576C43E5" w14:textId="1855754E" w:rsidR="0048780C" w:rsidRPr="00ED3C35" w:rsidRDefault="0048780C" w:rsidP="0048780C">
            <w:pPr>
              <w:ind w:right="-1"/>
              <w:rPr>
                <w:rFonts w:cs="Times New Roman"/>
                <w:sz w:val="18"/>
                <w:szCs w:val="18"/>
              </w:rPr>
            </w:pPr>
            <w:r w:rsidRPr="00ED3C35">
              <w:rPr>
                <w:sz w:val="18"/>
                <w:szCs w:val="18"/>
              </w:rPr>
              <w:t>Neto aizdevumi (+)/neto aizņēmumi (-)</w:t>
            </w:r>
          </w:p>
        </w:tc>
        <w:tc>
          <w:tcPr>
            <w:tcW w:w="1134" w:type="dxa"/>
          </w:tcPr>
          <w:p w14:paraId="6F759669" w14:textId="0EF3149D" w:rsidR="0048780C" w:rsidRPr="00ED3C35" w:rsidRDefault="0048780C" w:rsidP="003B6DF9">
            <w:pPr>
              <w:ind w:right="-1"/>
              <w:jc w:val="center"/>
              <w:rPr>
                <w:rFonts w:cs="Times New Roman"/>
                <w:sz w:val="18"/>
                <w:szCs w:val="18"/>
              </w:rPr>
            </w:pPr>
            <w:r w:rsidRPr="00ED3C35">
              <w:rPr>
                <w:sz w:val="18"/>
                <w:szCs w:val="18"/>
              </w:rPr>
              <w:t>-7 433 768</w:t>
            </w:r>
          </w:p>
        </w:tc>
        <w:tc>
          <w:tcPr>
            <w:tcW w:w="1134" w:type="dxa"/>
          </w:tcPr>
          <w:p w14:paraId="0D181B68" w14:textId="1E6A7EBD" w:rsidR="0048780C" w:rsidRPr="00ED3C35" w:rsidRDefault="0048780C" w:rsidP="003B6DF9">
            <w:pPr>
              <w:ind w:right="-1"/>
              <w:jc w:val="center"/>
              <w:rPr>
                <w:rFonts w:cs="Times New Roman"/>
                <w:sz w:val="18"/>
                <w:szCs w:val="18"/>
              </w:rPr>
            </w:pPr>
            <w:r w:rsidRPr="00ED3C35">
              <w:rPr>
                <w:sz w:val="18"/>
                <w:szCs w:val="18"/>
              </w:rPr>
              <w:t>-8 607 110</w:t>
            </w:r>
          </w:p>
        </w:tc>
        <w:tc>
          <w:tcPr>
            <w:tcW w:w="1134" w:type="dxa"/>
          </w:tcPr>
          <w:p w14:paraId="70E00F90" w14:textId="768CD8DF" w:rsidR="0048780C" w:rsidRPr="00ED3C35" w:rsidRDefault="0048780C" w:rsidP="003B6DF9">
            <w:pPr>
              <w:ind w:right="-1"/>
              <w:jc w:val="center"/>
              <w:rPr>
                <w:rFonts w:cs="Times New Roman"/>
                <w:sz w:val="18"/>
                <w:szCs w:val="18"/>
              </w:rPr>
            </w:pPr>
            <w:r w:rsidRPr="00ED3C35">
              <w:rPr>
                <w:sz w:val="18"/>
                <w:szCs w:val="18"/>
              </w:rPr>
              <w:t>-9 716 731</w:t>
            </w:r>
          </w:p>
        </w:tc>
        <w:tc>
          <w:tcPr>
            <w:tcW w:w="1134" w:type="dxa"/>
          </w:tcPr>
          <w:p w14:paraId="5EC1FCA6" w14:textId="1468D667" w:rsidR="0048780C" w:rsidRPr="00ED3C35" w:rsidRDefault="0048780C" w:rsidP="003B6DF9">
            <w:pPr>
              <w:ind w:right="-1"/>
              <w:jc w:val="center"/>
              <w:rPr>
                <w:rFonts w:cs="Times New Roman"/>
                <w:sz w:val="18"/>
                <w:szCs w:val="18"/>
              </w:rPr>
            </w:pPr>
            <w:r w:rsidRPr="00ED3C35">
              <w:rPr>
                <w:sz w:val="18"/>
                <w:szCs w:val="18"/>
              </w:rPr>
              <w:t>-6 373 805</w:t>
            </w:r>
          </w:p>
        </w:tc>
        <w:tc>
          <w:tcPr>
            <w:tcW w:w="1241" w:type="dxa"/>
          </w:tcPr>
          <w:p w14:paraId="53065787" w14:textId="14F5FCC5" w:rsidR="0048780C" w:rsidRPr="00ED3C35" w:rsidRDefault="0048780C" w:rsidP="003B6DF9">
            <w:pPr>
              <w:ind w:right="-1"/>
              <w:jc w:val="center"/>
              <w:rPr>
                <w:rFonts w:cs="Times New Roman"/>
                <w:sz w:val="18"/>
                <w:szCs w:val="18"/>
              </w:rPr>
            </w:pPr>
            <w:r w:rsidRPr="00ED3C35">
              <w:rPr>
                <w:sz w:val="18"/>
                <w:szCs w:val="18"/>
              </w:rPr>
              <w:t>-4 545 947</w:t>
            </w:r>
          </w:p>
        </w:tc>
      </w:tr>
      <w:tr w:rsidR="00D87FA1" w:rsidRPr="00ED3C35" w14:paraId="5B314D0A" w14:textId="77777777" w:rsidTr="00696864">
        <w:tc>
          <w:tcPr>
            <w:tcW w:w="8895" w:type="dxa"/>
            <w:gridSpan w:val="6"/>
          </w:tcPr>
          <w:p w14:paraId="2310EBC3" w14:textId="0F9F159D" w:rsidR="00D87FA1" w:rsidRPr="00ED3C35" w:rsidRDefault="00D87FA1" w:rsidP="003B6DF9">
            <w:pPr>
              <w:ind w:right="-1"/>
              <w:jc w:val="center"/>
              <w:rPr>
                <w:rFonts w:cs="Times New Roman"/>
                <w:i/>
                <w:sz w:val="18"/>
                <w:szCs w:val="18"/>
              </w:rPr>
            </w:pPr>
            <w:r w:rsidRPr="00ED3C35">
              <w:rPr>
                <w:rFonts w:cs="Times New Roman"/>
                <w:i/>
                <w:sz w:val="18"/>
                <w:szCs w:val="18"/>
              </w:rPr>
              <w:t>Izmaiņas</w:t>
            </w:r>
          </w:p>
        </w:tc>
      </w:tr>
      <w:tr w:rsidR="0048780C" w:rsidRPr="00ED3C35" w14:paraId="029D4DF8" w14:textId="77777777" w:rsidTr="00696864">
        <w:tc>
          <w:tcPr>
            <w:tcW w:w="3118" w:type="dxa"/>
          </w:tcPr>
          <w:p w14:paraId="02E5FFF6" w14:textId="5B31BC09" w:rsidR="0048780C" w:rsidRPr="00ED3C35" w:rsidRDefault="0048780C" w:rsidP="0048780C">
            <w:pPr>
              <w:ind w:right="-1"/>
              <w:rPr>
                <w:rFonts w:cs="Times New Roman"/>
                <w:sz w:val="18"/>
                <w:szCs w:val="18"/>
              </w:rPr>
            </w:pPr>
            <w:r w:rsidRPr="00ED3C35">
              <w:rPr>
                <w:sz w:val="18"/>
                <w:szCs w:val="18"/>
              </w:rPr>
              <w:t>Neto aizdevumi (+)/neto aizņēmumi (-)</w:t>
            </w:r>
          </w:p>
        </w:tc>
        <w:tc>
          <w:tcPr>
            <w:tcW w:w="1134" w:type="dxa"/>
          </w:tcPr>
          <w:p w14:paraId="4C9930D8" w14:textId="7166AF49" w:rsidR="0048780C" w:rsidRPr="00ED3C35" w:rsidRDefault="0048780C" w:rsidP="003B6DF9">
            <w:pPr>
              <w:ind w:right="-1"/>
              <w:jc w:val="center"/>
              <w:rPr>
                <w:rFonts w:cs="Times New Roman"/>
                <w:sz w:val="18"/>
                <w:szCs w:val="18"/>
              </w:rPr>
            </w:pPr>
            <w:r w:rsidRPr="00ED3C35">
              <w:rPr>
                <w:sz w:val="18"/>
                <w:szCs w:val="18"/>
              </w:rPr>
              <w:t>14 851</w:t>
            </w:r>
          </w:p>
        </w:tc>
        <w:tc>
          <w:tcPr>
            <w:tcW w:w="1134" w:type="dxa"/>
          </w:tcPr>
          <w:p w14:paraId="2BF3BC51" w14:textId="0B5F64A1" w:rsidR="0048780C" w:rsidRPr="00ED3C35" w:rsidRDefault="0048780C" w:rsidP="003B6DF9">
            <w:pPr>
              <w:ind w:right="-1"/>
              <w:jc w:val="center"/>
              <w:rPr>
                <w:rFonts w:cs="Times New Roman"/>
                <w:sz w:val="18"/>
                <w:szCs w:val="18"/>
              </w:rPr>
            </w:pPr>
            <w:r w:rsidRPr="00ED3C35">
              <w:rPr>
                <w:sz w:val="18"/>
                <w:szCs w:val="18"/>
              </w:rPr>
              <w:t>-1 978 929</w:t>
            </w:r>
          </w:p>
        </w:tc>
        <w:tc>
          <w:tcPr>
            <w:tcW w:w="1134" w:type="dxa"/>
          </w:tcPr>
          <w:p w14:paraId="408C44D8" w14:textId="65A4378C" w:rsidR="0048780C" w:rsidRPr="00ED3C35" w:rsidRDefault="0048780C" w:rsidP="003B6DF9">
            <w:pPr>
              <w:ind w:right="-1"/>
              <w:jc w:val="center"/>
              <w:rPr>
                <w:rFonts w:cs="Times New Roman"/>
                <w:sz w:val="18"/>
                <w:szCs w:val="18"/>
              </w:rPr>
            </w:pPr>
            <w:r w:rsidRPr="00ED3C35">
              <w:rPr>
                <w:sz w:val="18"/>
                <w:szCs w:val="18"/>
              </w:rPr>
              <w:t>-5 780 537</w:t>
            </w:r>
          </w:p>
        </w:tc>
        <w:tc>
          <w:tcPr>
            <w:tcW w:w="1134" w:type="dxa"/>
          </w:tcPr>
          <w:p w14:paraId="6039EF01" w14:textId="67F3E580" w:rsidR="0048780C" w:rsidRPr="00ED3C35" w:rsidRDefault="0048780C" w:rsidP="003B6DF9">
            <w:pPr>
              <w:ind w:right="-1"/>
              <w:jc w:val="center"/>
              <w:rPr>
                <w:rFonts w:cs="Times New Roman"/>
                <w:sz w:val="18"/>
                <w:szCs w:val="18"/>
              </w:rPr>
            </w:pPr>
            <w:r w:rsidRPr="00ED3C35">
              <w:rPr>
                <w:sz w:val="18"/>
                <w:szCs w:val="18"/>
              </w:rPr>
              <w:t>-1 464 486</w:t>
            </w:r>
          </w:p>
        </w:tc>
        <w:tc>
          <w:tcPr>
            <w:tcW w:w="1241" w:type="dxa"/>
          </w:tcPr>
          <w:p w14:paraId="2992DFB8" w14:textId="12B85212" w:rsidR="0048780C" w:rsidRPr="00ED3C35" w:rsidRDefault="0048780C" w:rsidP="003B6DF9">
            <w:pPr>
              <w:ind w:right="-1"/>
              <w:jc w:val="center"/>
              <w:rPr>
                <w:rFonts w:cs="Times New Roman"/>
                <w:sz w:val="18"/>
                <w:szCs w:val="18"/>
              </w:rPr>
            </w:pPr>
            <w:r w:rsidRPr="00ED3C35">
              <w:rPr>
                <w:sz w:val="18"/>
                <w:szCs w:val="18"/>
              </w:rPr>
              <w:t>175 896</w:t>
            </w:r>
          </w:p>
        </w:tc>
      </w:tr>
    </w:tbl>
    <w:p w14:paraId="3CE0205B" w14:textId="77777777" w:rsidR="00A4306B" w:rsidRPr="00ED3C35" w:rsidRDefault="00A4306B" w:rsidP="003B6DF9">
      <w:pPr>
        <w:ind w:right="-1"/>
        <w:jc w:val="both"/>
        <w:rPr>
          <w:rFonts w:cs="Times New Roman"/>
          <w:szCs w:val="24"/>
        </w:rPr>
      </w:pPr>
    </w:p>
    <w:p w14:paraId="0F6E879E" w14:textId="492A220A" w:rsidR="00CB7C28" w:rsidRPr="00ED3C35" w:rsidRDefault="00CB7C28" w:rsidP="00696864">
      <w:pPr>
        <w:ind w:right="-1" w:firstLine="567"/>
        <w:jc w:val="both"/>
        <w:rPr>
          <w:rFonts w:cs="Times New Roman"/>
          <w:szCs w:val="24"/>
        </w:rPr>
      </w:pPr>
      <w:r w:rsidRPr="00ED3C35">
        <w:rPr>
          <w:rFonts w:cs="Times New Roman"/>
          <w:szCs w:val="24"/>
        </w:rPr>
        <w:t>PSKUS finanšu pārskata rezultāts un ietekme uz vispārējās valdības budžeta bilanci tiek noteikti pēc atšķirīgiem principiem, tādēļ šo rādītāju apmēri savstarpēji nesakrīt.</w:t>
      </w:r>
    </w:p>
    <w:p w14:paraId="04EC148A" w14:textId="77777777" w:rsidR="0016139A" w:rsidRPr="00ED3C35" w:rsidRDefault="00B85603" w:rsidP="00801CEE">
      <w:pPr>
        <w:ind w:right="-1" w:firstLine="567"/>
        <w:jc w:val="both"/>
        <w:rPr>
          <w:rFonts w:cs="Times New Roman"/>
          <w:szCs w:val="24"/>
        </w:rPr>
      </w:pPr>
      <w:r w:rsidRPr="00ED3C35">
        <w:rPr>
          <w:rFonts w:cs="Times New Roman"/>
          <w:szCs w:val="24"/>
        </w:rPr>
        <w:t>Salīdzinot ar ietekmes prognozēm, kas tika iesniegtas, izstrādājot Ministru kabineta 202</w:t>
      </w:r>
      <w:r w:rsidR="00016E34" w:rsidRPr="00ED3C35">
        <w:rPr>
          <w:rFonts w:cs="Times New Roman"/>
          <w:szCs w:val="24"/>
        </w:rPr>
        <w:t>6</w:t>
      </w:r>
      <w:r w:rsidRPr="00ED3C35">
        <w:rPr>
          <w:rFonts w:cs="Times New Roman"/>
          <w:szCs w:val="24"/>
        </w:rPr>
        <w:t>.</w:t>
      </w:r>
      <w:r w:rsidR="00016E34" w:rsidRPr="00ED3C35">
        <w:rPr>
          <w:rFonts w:cs="Times New Roman"/>
          <w:szCs w:val="24"/>
        </w:rPr>
        <w:t xml:space="preserve"> </w:t>
      </w:r>
      <w:r w:rsidRPr="00ED3C35">
        <w:rPr>
          <w:rFonts w:cs="Times New Roman"/>
          <w:szCs w:val="24"/>
        </w:rPr>
        <w:t xml:space="preserve">gada </w:t>
      </w:r>
      <w:r w:rsidR="00016E34" w:rsidRPr="00ED3C35">
        <w:rPr>
          <w:rFonts w:cs="Times New Roman"/>
          <w:szCs w:val="24"/>
        </w:rPr>
        <w:t>24</w:t>
      </w:r>
      <w:r w:rsidRPr="00ED3C35">
        <w:rPr>
          <w:rFonts w:cs="Times New Roman"/>
          <w:szCs w:val="24"/>
        </w:rPr>
        <w:t>.</w:t>
      </w:r>
      <w:r w:rsidR="00016E34" w:rsidRPr="00ED3C35">
        <w:rPr>
          <w:rFonts w:cs="Times New Roman"/>
          <w:szCs w:val="24"/>
        </w:rPr>
        <w:t xml:space="preserve"> februārī</w:t>
      </w:r>
      <w:r w:rsidRPr="00ED3C35">
        <w:rPr>
          <w:rFonts w:cs="Times New Roman"/>
          <w:szCs w:val="24"/>
        </w:rPr>
        <w:t xml:space="preserve">, </w:t>
      </w:r>
      <w:r w:rsidR="00016E34" w:rsidRPr="00ED3C35">
        <w:rPr>
          <w:rFonts w:cs="Times New Roman"/>
          <w:iCs/>
          <w:szCs w:val="24"/>
        </w:rPr>
        <w:t>PSKUS</w:t>
      </w:r>
      <w:r w:rsidRPr="00ED3C35">
        <w:rPr>
          <w:rFonts w:cs="Times New Roman"/>
          <w:iCs/>
          <w:szCs w:val="24"/>
        </w:rPr>
        <w:t xml:space="preserve"> </w:t>
      </w:r>
      <w:r w:rsidR="00016E34" w:rsidRPr="00ED3C35">
        <w:rPr>
          <w:rFonts w:cs="Times New Roman"/>
          <w:iCs/>
          <w:szCs w:val="24"/>
        </w:rPr>
        <w:t>prognozētā</w:t>
      </w:r>
      <w:r w:rsidR="00016E34" w:rsidRPr="00ED3C35">
        <w:rPr>
          <w:rFonts w:cs="Times New Roman"/>
          <w:i/>
          <w:iCs/>
          <w:szCs w:val="24"/>
        </w:rPr>
        <w:t xml:space="preserve"> </w:t>
      </w:r>
      <w:r w:rsidR="00016E34" w:rsidRPr="00ED3C35">
        <w:rPr>
          <w:rFonts w:cs="Times New Roman"/>
          <w:szCs w:val="24"/>
        </w:rPr>
        <w:t>negatīvā ietekme uz vispārējās valdības budžeta bilanci</w:t>
      </w:r>
      <w:r w:rsidRPr="00ED3C35">
        <w:rPr>
          <w:rFonts w:cs="Times New Roman"/>
          <w:szCs w:val="24"/>
        </w:rPr>
        <w:t xml:space="preserve"> </w:t>
      </w:r>
      <w:r w:rsidR="00016E34" w:rsidRPr="00ED3C35">
        <w:rPr>
          <w:rFonts w:cs="Times New Roman"/>
          <w:szCs w:val="24"/>
        </w:rPr>
        <w:t xml:space="preserve">būtiski </w:t>
      </w:r>
      <w:r w:rsidRPr="00ED3C35">
        <w:rPr>
          <w:rFonts w:cs="Times New Roman"/>
          <w:szCs w:val="24"/>
        </w:rPr>
        <w:t>pasliktinājusies</w:t>
      </w:r>
      <w:r w:rsidR="00016E34" w:rsidRPr="00ED3C35">
        <w:rPr>
          <w:rFonts w:cs="Times New Roman"/>
          <w:szCs w:val="24"/>
        </w:rPr>
        <w:t xml:space="preserve"> – 2027. gadā</w:t>
      </w:r>
      <w:r w:rsidRPr="00ED3C35">
        <w:rPr>
          <w:rFonts w:cs="Times New Roman"/>
          <w:szCs w:val="24"/>
        </w:rPr>
        <w:t xml:space="preserve"> par </w:t>
      </w:r>
      <w:r w:rsidR="00016E34" w:rsidRPr="00ED3C35">
        <w:rPr>
          <w:rFonts w:cs="Times New Roman"/>
          <w:szCs w:val="24"/>
        </w:rPr>
        <w:t xml:space="preserve">2,0 milj. </w:t>
      </w:r>
      <w:proofErr w:type="spellStart"/>
      <w:r w:rsidRPr="00ED3C35">
        <w:rPr>
          <w:rFonts w:cs="Times New Roman"/>
          <w:i/>
          <w:szCs w:val="24"/>
        </w:rPr>
        <w:t>euro</w:t>
      </w:r>
      <w:proofErr w:type="spellEnd"/>
      <w:r w:rsidR="00016E34" w:rsidRPr="00ED3C35">
        <w:rPr>
          <w:rFonts w:cs="Times New Roman"/>
          <w:szCs w:val="24"/>
        </w:rPr>
        <w:t xml:space="preserve">, 2028. gadā par 5,8 milj. </w:t>
      </w:r>
      <w:proofErr w:type="spellStart"/>
      <w:r w:rsidR="00016E34" w:rsidRPr="00ED3C35">
        <w:rPr>
          <w:rFonts w:cs="Times New Roman"/>
          <w:i/>
          <w:szCs w:val="24"/>
        </w:rPr>
        <w:t>euro</w:t>
      </w:r>
      <w:proofErr w:type="spellEnd"/>
      <w:r w:rsidR="00016E34" w:rsidRPr="00ED3C35">
        <w:rPr>
          <w:rFonts w:cs="Times New Roman"/>
          <w:szCs w:val="24"/>
        </w:rPr>
        <w:t xml:space="preserve"> un 2029. gadā par 1,5 milj. </w:t>
      </w:r>
      <w:proofErr w:type="spellStart"/>
      <w:r w:rsidR="00016E34" w:rsidRPr="00ED3C35">
        <w:rPr>
          <w:rFonts w:cs="Times New Roman"/>
          <w:i/>
          <w:szCs w:val="24"/>
        </w:rPr>
        <w:t>euro</w:t>
      </w:r>
      <w:proofErr w:type="spellEnd"/>
      <w:r w:rsidR="00110834" w:rsidRPr="00ED3C35">
        <w:rPr>
          <w:rFonts w:cs="Times New Roman"/>
          <w:szCs w:val="24"/>
        </w:rPr>
        <w:t>.</w:t>
      </w:r>
      <w:r w:rsidR="00853411" w:rsidRPr="00ED3C35">
        <w:rPr>
          <w:rFonts w:cs="Times New Roman"/>
          <w:szCs w:val="24"/>
        </w:rPr>
        <w:t xml:space="preserve"> </w:t>
      </w:r>
      <w:r w:rsidR="00110834" w:rsidRPr="00ED3C35">
        <w:rPr>
          <w:rFonts w:cs="Times New Roman"/>
          <w:szCs w:val="24"/>
        </w:rPr>
        <w:t xml:space="preserve">Tādējādi prognozētā negatīvā ietekme pārsniedz normatīvajos aktos noteikto 5,0 milj. </w:t>
      </w:r>
      <w:proofErr w:type="spellStart"/>
      <w:r w:rsidR="00110834" w:rsidRPr="00ED3C35">
        <w:rPr>
          <w:rFonts w:cs="Times New Roman"/>
          <w:i/>
          <w:szCs w:val="24"/>
        </w:rPr>
        <w:t>euro</w:t>
      </w:r>
      <w:proofErr w:type="spellEnd"/>
      <w:r w:rsidR="00110834" w:rsidRPr="00ED3C35">
        <w:rPr>
          <w:rFonts w:cs="Times New Roman"/>
          <w:szCs w:val="24"/>
        </w:rPr>
        <w:t xml:space="preserve"> slieksni ne tikai 2027. gadā, bet arī 2028. un 2029.</w:t>
      </w:r>
      <w:r w:rsidR="008437B4" w:rsidRPr="00ED3C35">
        <w:rPr>
          <w:rFonts w:cs="Times New Roman"/>
          <w:szCs w:val="24"/>
        </w:rPr>
        <w:t> </w:t>
      </w:r>
      <w:r w:rsidR="00110834" w:rsidRPr="00ED3C35">
        <w:rPr>
          <w:rFonts w:cs="Times New Roman"/>
          <w:szCs w:val="24"/>
        </w:rPr>
        <w:t xml:space="preserve"> gadā.</w:t>
      </w:r>
      <w:r w:rsidRPr="00ED3C35">
        <w:rPr>
          <w:rFonts w:cs="Times New Roman"/>
          <w:szCs w:val="24"/>
        </w:rPr>
        <w:t xml:space="preserve"> </w:t>
      </w:r>
      <w:r w:rsidR="00207068" w:rsidRPr="00ED3C35">
        <w:rPr>
          <w:rFonts w:cs="Times New Roman"/>
          <w:szCs w:val="24"/>
        </w:rPr>
        <w:t>PSKUS</w:t>
      </w:r>
      <w:r w:rsidRPr="00ED3C35">
        <w:rPr>
          <w:rFonts w:cs="Times New Roman"/>
          <w:szCs w:val="24"/>
        </w:rPr>
        <w:t xml:space="preserve"> aktualizētā</w:t>
      </w:r>
      <w:r w:rsidR="00207068" w:rsidRPr="00ED3C35">
        <w:rPr>
          <w:rFonts w:cs="Times New Roman"/>
          <w:szCs w:val="24"/>
        </w:rPr>
        <w:t>s negatīvās ietekmes</w:t>
      </w:r>
      <w:r w:rsidRPr="00ED3C35">
        <w:rPr>
          <w:rFonts w:cs="Times New Roman"/>
          <w:szCs w:val="24"/>
        </w:rPr>
        <w:t xml:space="preserve"> prognoz</w:t>
      </w:r>
      <w:r w:rsidR="00207068" w:rsidRPr="00ED3C35">
        <w:rPr>
          <w:rFonts w:cs="Times New Roman"/>
          <w:szCs w:val="24"/>
        </w:rPr>
        <w:t>i</w:t>
      </w:r>
      <w:r w:rsidRPr="00ED3C35">
        <w:rPr>
          <w:rFonts w:cs="Times New Roman"/>
          <w:szCs w:val="24"/>
        </w:rPr>
        <w:t xml:space="preserve"> ir sagatavo</w:t>
      </w:r>
      <w:r w:rsidR="00207068" w:rsidRPr="00ED3C35">
        <w:rPr>
          <w:rFonts w:cs="Times New Roman"/>
          <w:szCs w:val="24"/>
        </w:rPr>
        <w:t>jusi</w:t>
      </w:r>
      <w:r w:rsidRPr="00ED3C35">
        <w:rPr>
          <w:rFonts w:cs="Times New Roman"/>
          <w:szCs w:val="24"/>
        </w:rPr>
        <w:t xml:space="preserve">, </w:t>
      </w:r>
      <w:r w:rsidR="00207068" w:rsidRPr="00ED3C35">
        <w:rPr>
          <w:rFonts w:cs="Times New Roman"/>
          <w:szCs w:val="24"/>
        </w:rPr>
        <w:t>ņemot vērā</w:t>
      </w:r>
      <w:r w:rsidRPr="00ED3C35">
        <w:rPr>
          <w:rFonts w:cs="Times New Roman"/>
          <w:szCs w:val="24"/>
        </w:rPr>
        <w:t xml:space="preserve"> </w:t>
      </w:r>
      <w:r w:rsidR="00207068" w:rsidRPr="00ED3C35">
        <w:rPr>
          <w:rFonts w:cs="Times New Roman"/>
          <w:szCs w:val="24"/>
        </w:rPr>
        <w:t xml:space="preserve">2025. gada </w:t>
      </w:r>
      <w:r w:rsidR="00853411" w:rsidRPr="00ED3C35">
        <w:rPr>
          <w:rFonts w:cs="Times New Roman"/>
          <w:szCs w:val="24"/>
        </w:rPr>
        <w:t xml:space="preserve">darbības un finanšu rezultātus, kā arī 2026. gada sākumā saņemto finanšu paziņojumu no Nacionālā veselības dienesta par līdzekļu apjomu </w:t>
      </w:r>
      <w:r w:rsidR="00110834" w:rsidRPr="00ED3C35">
        <w:rPr>
          <w:rFonts w:cs="Times New Roman"/>
          <w:szCs w:val="24"/>
        </w:rPr>
        <w:t>valsts nodrošināto veselības aprūpes pakalpojumu apmaksai.</w:t>
      </w:r>
      <w:r w:rsidR="00E06941" w:rsidRPr="00ED3C35">
        <w:rPr>
          <w:rFonts w:cs="Times New Roman"/>
          <w:szCs w:val="24"/>
        </w:rPr>
        <w:t xml:space="preserve"> </w:t>
      </w:r>
      <w:r w:rsidR="00CB7C28" w:rsidRPr="00ED3C35">
        <w:rPr>
          <w:rFonts w:cs="Times New Roman"/>
          <w:szCs w:val="24"/>
        </w:rPr>
        <w:t>Prognozē plānoto ieguldījumu ietekme uz vispārējās valdības budžeta bilanci ir atspoguļota atbilstoši aktualizētajiem projektu īstenošanas termiņiem un finansējuma sadalījumam pa gadiem. Līdz ar to prognozētā negatīvā ietekme atsevišķos gados ir lielāka nekā iepriekš iesniegtajā prognozē.</w:t>
      </w:r>
      <w:r w:rsidR="00F7425B" w:rsidRPr="00ED3C35">
        <w:rPr>
          <w:rFonts w:cs="Times New Roman"/>
          <w:szCs w:val="24"/>
        </w:rPr>
        <w:t xml:space="preserve"> </w:t>
      </w:r>
      <w:r w:rsidR="0016139A" w:rsidRPr="00ED3C35">
        <w:rPr>
          <w:rFonts w:cs="Times New Roman"/>
          <w:szCs w:val="24"/>
        </w:rPr>
        <w:t>Ņemot vērā pašreizējo finanšu situāciju, neraugoties uz veiktajiem pasākumiem negatīvās ietekmes mazināšanai, aktuālā finanšu rezultāta prognoze joprojām saglabājas negatīva. Slimnīcas izmaksu struktūras specifika ierobežo iespējas samazināt izmaksas, neietekmējot pacientu ārstēšanas un drošības kvalitāti.</w:t>
      </w:r>
    </w:p>
    <w:p w14:paraId="2BBAF1A2" w14:textId="0D294FEE" w:rsidR="00036F28" w:rsidRPr="00ED3C35" w:rsidRDefault="00995BC3" w:rsidP="00801CEE">
      <w:pPr>
        <w:ind w:right="-1" w:firstLine="567"/>
        <w:jc w:val="both"/>
        <w:rPr>
          <w:rFonts w:cs="Times New Roman"/>
          <w:szCs w:val="24"/>
        </w:rPr>
      </w:pPr>
      <w:r w:rsidRPr="00ED3C35">
        <w:rPr>
          <w:rFonts w:cs="Times New Roman"/>
          <w:szCs w:val="24"/>
        </w:rPr>
        <w:t>PSKUS sagatavotā negatīvās ietekmes prognoze liecina, ka, saglabājoties pašreizējai valsts apmaksāto veselības aprūpes pakalpojumu finansēšanas politikai, PSKUS turpmākā darbība un attīstība būs būtiski apgrūtināta. Ierobežotie finanšu resursi var radīt nepietiekamu apgrozāmo līdzekļu apjomu un ierobežot iespējas veikt nepieciešamās investīcijas infrastruktūras atjaunošanā un attīstībā. Savukārt ilgstoši nepietiekams finansējums var negatīvi ietekmēt PSKUS spēju attīstīt un pilnveidot sniegto veselības aprūpes pakalpojumu klāstu, pieejamību un kvalitāti.</w:t>
      </w:r>
    </w:p>
    <w:p w14:paraId="1E0109E1" w14:textId="796ABB8A" w:rsidR="0077128D" w:rsidRPr="00ED3C35" w:rsidRDefault="00F30972" w:rsidP="0077128D">
      <w:pPr>
        <w:tabs>
          <w:tab w:val="left" w:pos="0"/>
        </w:tabs>
        <w:jc w:val="both"/>
        <w:rPr>
          <w:szCs w:val="24"/>
        </w:rPr>
      </w:pPr>
      <w:r w:rsidRPr="00ED3C35">
        <w:rPr>
          <w:szCs w:val="24"/>
        </w:rPr>
        <w:tab/>
      </w:r>
      <w:r w:rsidR="0077128D" w:rsidRPr="00ED3C35">
        <w:rPr>
          <w:szCs w:val="24"/>
        </w:rPr>
        <w:t xml:space="preserve">VM kā PSKUS kapitāla daļu turētāja vērš uzmanību uz to, ka PSKUS ieņēmumus par valsts apmaksāto veselības aprūpes pakalpojumu sniegšanu saņem atbilstoši normatīvajos aktos noteiktajiem tarifiem un citiem pakalpojumu apmaksas nosacījumiem. Vienlaikus pastāvošā pakalpojumu apmaksas sistēma pilnā apmērā neatspoguļo pakalpojumu sniegšanas faktiskās izmaksas, tostarp inflācijas ietekmē pieaugušās ārstniecības līdzekļu, pacientu ēdināšanas, komunālo pakalpojumu, medicīnisko iekārtu uzturēšanas un atjaunošanas, kā arī citu ar ārstniecības pakalpojumu sniegšanu saistīto resursu izmaksas. Spēkā esošais veselības </w:t>
      </w:r>
      <w:r w:rsidR="0077128D" w:rsidRPr="00ED3C35">
        <w:rPr>
          <w:szCs w:val="24"/>
        </w:rPr>
        <w:lastRenderedPageBreak/>
        <w:t>pakalpojumu tarifa aprēķins nenodrošina pakalpojumu sniegšanas faktisko izmaksu kompensēšanu, jo tarifa aprēķinā izmantotie elementi galvenokārt balstās uz iepriekšējo periodu datiem, kas var būtiski atšķirties no reālās situācijas preču un pakalpojumu tirgū.</w:t>
      </w:r>
    </w:p>
    <w:p w14:paraId="595144A3" w14:textId="77777777" w:rsidR="0077128D" w:rsidRPr="00ED3C35" w:rsidRDefault="0077128D" w:rsidP="0077128D">
      <w:pPr>
        <w:tabs>
          <w:tab w:val="left" w:pos="0"/>
        </w:tabs>
        <w:jc w:val="both"/>
        <w:rPr>
          <w:szCs w:val="24"/>
        </w:rPr>
      </w:pPr>
      <w:r w:rsidRPr="00ED3C35">
        <w:rPr>
          <w:szCs w:val="24"/>
        </w:rPr>
        <w:tab/>
        <w:t>PSKUS finanšu ilgtspēja ir cieši saistīta ar valsts apmaksāto veselības aprūpes pakalpojumu finansēšanas modeļa atbilstību faktiskajām pakalpojumu sniegšanas izmaksām. Tādēļ būtiska nozīme ir savlaicīgai un sistemātiskai tarifu un to aprēķinā izmantoto izmaksu elementu pārskatīšanai, ņemot vērā faktiskās izmaksas, inflācijas ietekmi un citu izmaksu faktoru izmaiņas, kā arī pietiekami prognozējamiem pakalpojumu apmaksas nosacījumiem un efektīvai pakalpojumu plānošanai.</w:t>
      </w:r>
    </w:p>
    <w:p w14:paraId="197C1B38" w14:textId="35632B3D" w:rsidR="0077128D" w:rsidRPr="00ED3C35" w:rsidRDefault="0077128D" w:rsidP="0077128D">
      <w:pPr>
        <w:tabs>
          <w:tab w:val="left" w:pos="0"/>
        </w:tabs>
        <w:jc w:val="both"/>
        <w:rPr>
          <w:szCs w:val="24"/>
        </w:rPr>
      </w:pPr>
      <w:r w:rsidRPr="00ED3C35">
        <w:rPr>
          <w:szCs w:val="24"/>
        </w:rPr>
        <w:tab/>
      </w:r>
      <w:r w:rsidR="00345EA6" w:rsidRPr="00ED3C35">
        <w:rPr>
          <w:szCs w:val="24"/>
        </w:rPr>
        <w:t>Papildus VM vērš uzmanību uz to, ka PSKUS kā no publiskas personas</w:t>
      </w:r>
      <w:r w:rsidR="00336F54" w:rsidRPr="00ED3C35">
        <w:rPr>
          <w:szCs w:val="24"/>
        </w:rPr>
        <w:t xml:space="preserve"> atkarīgā nekomerciālā</w:t>
      </w:r>
      <w:r w:rsidR="00345EA6" w:rsidRPr="00ED3C35">
        <w:rPr>
          <w:szCs w:val="24"/>
        </w:rPr>
        <w:t xml:space="preserve"> kapitālsabiedrība, kas nodrošina valsts apmaksātos veselības aprūpes pakalpojumus, darbojas īpašos tirgus apstākļos. Proti, valsts apmaksāto veselības aprūpes pakalpojumu segmentā Nacionālais veselības dienests ir PSKUS pakalpojumu pasūtītājs un apmaksātājs, kura rīcībā esošais valsts budžeta finansējums un noteiktie pakalpojumu apmaksas nosacījumi būtiski ietekmē gan apmaksājamo pakalpojumu apjomu, gan par to sniegšanu saņemamo finansējumu. Tādējādi PSKUS iespējas ietekmēt šo pakalpojumu cenas un apmaksas apjomu ir ierobežotas, savukārt kapitālsabiedrībai vienlaikus ir jānodrošina tai noteikto ārstniecības funkciju nepārtraukta izpilde un jāsedz ar šo funkciju īstenošanu saistītās faktiskās izmaksas.</w:t>
      </w:r>
    </w:p>
    <w:p w14:paraId="49C42244" w14:textId="77777777" w:rsidR="0077128D" w:rsidRPr="00ED3C35" w:rsidRDefault="0077128D" w:rsidP="0077128D">
      <w:pPr>
        <w:tabs>
          <w:tab w:val="left" w:pos="0"/>
        </w:tabs>
        <w:jc w:val="both"/>
        <w:rPr>
          <w:szCs w:val="24"/>
        </w:rPr>
      </w:pPr>
      <w:r w:rsidRPr="00ED3C35">
        <w:rPr>
          <w:szCs w:val="24"/>
        </w:rPr>
        <w:tab/>
        <w:t>Ja pašreizējās tendences PSKUS saimnieciskajā darbībā saglabāsies un finansējums arī turpmāk neatbildīs pakalpojumu sniegšanas faktiskajām izmaksām, pastāv risks, ka PSKUS finanšu situācija turpinās pasliktināties, vienlaikus saglabājoties nepieciešamībai nodrošināt lielu ārstniecības pakalpojumu apjomu un attīstīt slimnīcas stratēģisko funkciju īstenošanai nepieciešamo ārstniecības, infrastruktūras, izglītības un pētniecības kapacitāti. Vienreizēji papildu finansējuma piešķīrumi var sniegt īstermiņa atbalstu finanšu situācijas stabilizēšanai, taču tie paši par sevi nenovērš strukturālo neatbilstību starp pakalpojumu sniegšanas faktiskajām izmaksām un par to nodrošināšanu saņemto finansējumu. Ja netiks risināts šīs neatbilstības cēlonis, saglabāsies risks, ka finansiālās grūtības atkārtosies.</w:t>
      </w:r>
    </w:p>
    <w:p w14:paraId="0791F0D4" w14:textId="04636119" w:rsidR="00675B41" w:rsidRPr="00ED3C35" w:rsidRDefault="0077128D" w:rsidP="0077128D">
      <w:pPr>
        <w:tabs>
          <w:tab w:val="left" w:pos="0"/>
        </w:tabs>
        <w:jc w:val="both"/>
        <w:rPr>
          <w:szCs w:val="24"/>
        </w:rPr>
      </w:pPr>
      <w:r w:rsidRPr="00ED3C35">
        <w:rPr>
          <w:szCs w:val="24"/>
        </w:rPr>
        <w:tab/>
        <w:t>Līdz ar to PSKUS ilgtermiņa finanšu stabilitātes nodrošināšanai nepieciešams ne tikai izvērtēt kapitālsabiedrības finanšu vadības un darbības efektivitātes pilnveidošanas iespējas, bet arī nodrošināt valsts apmaksāto veselības aprūpes pakalpojumu finansēšanas modeļa pilnveidošanu. Tam nepieciešami ekonomiski pamatoti, savlaicīgi pārskatīti un prognozējami pakalpojumu apmaksas nosacījumi, kas pēc iespējas atbilst pakalpojumu faktiskajām sniegšanas izmaksām un ļauj PSKUS plānot savu darbību ilgtermiņā, nodrošināt nepieciešamo veselības aprūpes pakalpojumu apjomu un īstenot slimnīcas stratēģiskos attīstības plānus.</w:t>
      </w:r>
    </w:p>
    <w:p w14:paraId="78EBF05D" w14:textId="7DF39EC3" w:rsidR="004B4B06" w:rsidRPr="00ED3C35" w:rsidRDefault="004B4B06" w:rsidP="004B4B06">
      <w:pPr>
        <w:pStyle w:val="a3"/>
        <w:ind w:left="0" w:firstLine="720"/>
        <w:jc w:val="both"/>
        <w:rPr>
          <w:rFonts w:cs="Times New Roman"/>
          <w:bCs/>
          <w:szCs w:val="24"/>
        </w:rPr>
      </w:pPr>
      <w:r w:rsidRPr="00ED3C35">
        <w:rPr>
          <w:rFonts w:cs="Times New Roman"/>
          <w:bCs/>
          <w:szCs w:val="24"/>
        </w:rPr>
        <w:t>VM, apzinoties ierobežoto fiskālo telpu un nepieciešamību nodrošināt valsts budžeta ilgtspēju, atbalsta tādu kompensējošu pasākumu izvērtēšanu un īstenošanu, kas mazina negatīvo ietekmi uz vispārējās valdības budžeta bilanci, primāri paredzot izdevumu samazināšanas un ieņēmumu palielināšanas iespējas.</w:t>
      </w:r>
    </w:p>
    <w:p w14:paraId="21054B5A" w14:textId="7DE46A47" w:rsidR="004B4B06" w:rsidRPr="00ED3C35" w:rsidRDefault="004B4B06" w:rsidP="004B4B06">
      <w:pPr>
        <w:pStyle w:val="a3"/>
        <w:ind w:left="0" w:firstLine="720"/>
        <w:jc w:val="both"/>
        <w:rPr>
          <w:rFonts w:cs="Times New Roman"/>
          <w:bCs/>
          <w:szCs w:val="24"/>
        </w:rPr>
      </w:pPr>
      <w:r w:rsidRPr="00ED3C35">
        <w:rPr>
          <w:rFonts w:cs="Times New Roman"/>
          <w:bCs/>
          <w:szCs w:val="24"/>
        </w:rPr>
        <w:t>Vienlaikus VM vērš uzmanību, ka veselības nozare jau darbojas ierobežota finansējuma apstākļos, nodrošinot valsts apmaksātos veselības aprūpes pakalpojumus pieejamo finanšu un personāla resursu ietvaros. PSKUS turpina īstenot izdevumu un resursu vadības pasākumus, pārskatot iekšējo resursu sadalījumu un izmaksu efektivitāti. Tomēr turpmāka izdevumu samazināšana bez izvērtējuma par tās ietekmi uz pakalpojumu pieejamību, kvalitāti un savlaicīgumu var radīt riskus valsts noteikto veselības aprūpes funkciju izpildei un ilgtermiņā palielināt nepieciešamību pēc papildu valsts budžeta finansējuma.</w:t>
      </w:r>
    </w:p>
    <w:p w14:paraId="239C415F" w14:textId="6BA167CE" w:rsidR="004B4B06" w:rsidRPr="00ED3C35" w:rsidRDefault="004B4B06" w:rsidP="004B4B06">
      <w:pPr>
        <w:pStyle w:val="a3"/>
        <w:ind w:left="0" w:firstLine="720"/>
        <w:jc w:val="both"/>
        <w:rPr>
          <w:rFonts w:cs="Times New Roman"/>
          <w:bCs/>
          <w:szCs w:val="24"/>
        </w:rPr>
      </w:pPr>
      <w:r w:rsidRPr="00ED3C35">
        <w:rPr>
          <w:rFonts w:cs="Times New Roman"/>
          <w:bCs/>
          <w:szCs w:val="24"/>
        </w:rPr>
        <w:t xml:space="preserve">Ņemot vērā minēto, VM kompensējošu pasākumu noteikšanā par prioritāti uzskata iespējas, kas ļauj panākt fiskālo efektu, pēc iespējas saglabājot veselības aprūpes pakalpojumu pieejamību un kvalitāti. </w:t>
      </w:r>
      <w:r w:rsidR="00A83F84" w:rsidRPr="00A83F84">
        <w:rPr>
          <w:rFonts w:cs="Times New Roman"/>
          <w:bCs/>
          <w:szCs w:val="24"/>
        </w:rPr>
        <w:t xml:space="preserve">Veselības ministrija kā PSKUS kapitāla daļu turētāja apņemas </w:t>
      </w:r>
      <w:r w:rsidR="00A83F84" w:rsidRPr="00A83F84">
        <w:rPr>
          <w:rFonts w:cs="Times New Roman"/>
          <w:bCs/>
          <w:szCs w:val="24"/>
        </w:rPr>
        <w:lastRenderedPageBreak/>
        <w:t>sadarbībā ar kapitālsabiedrību izvērtēt izdevumu optimizācijas iespējas, administratīvo un saimniecisko izmaksu mazināšanu, resursu efektīvākas izmantošanas iespējas, kā arī citus īstenojamus pasākumus ar identificējamu un pamatotu ietekmi uz vispārējās valdības budžeta bilanci un veicināt to īsteno</w:t>
      </w:r>
      <w:r w:rsidR="00A83F84">
        <w:rPr>
          <w:rFonts w:cs="Times New Roman"/>
          <w:bCs/>
          <w:szCs w:val="24"/>
        </w:rPr>
        <w:t>šanu savas kompetences ietvaros</w:t>
      </w:r>
      <w:r w:rsidRPr="00ED3C35">
        <w:rPr>
          <w:rFonts w:cs="Times New Roman"/>
          <w:bCs/>
          <w:szCs w:val="24"/>
        </w:rPr>
        <w:t>.</w:t>
      </w:r>
    </w:p>
    <w:p w14:paraId="6092CEDD" w14:textId="6DCBF591" w:rsidR="004B4B06" w:rsidRDefault="00A83F84" w:rsidP="00A83F84">
      <w:pPr>
        <w:pStyle w:val="a3"/>
        <w:ind w:left="0" w:firstLine="720"/>
        <w:jc w:val="both"/>
      </w:pPr>
      <w:r w:rsidRPr="00A83F84">
        <w:t>VM savas kompetences ietvaros sadarbībā ar PSKUS izvērtēs iespējamos kompensējošos pasākumus, nosakot to potenciālo fiskālo ietekmi, īstenošanas termiņus un ietekmi uz veselības aprūpes pakalpojumu pieejamību un kvalitāti. Ja izvērtējuma rezultātā tiks secināts, ka nepieciešamo fiskālo efektu nav iespējams sasniegt, īstenojot izdevumu optimizācijas vai ieņēmumu palielināšanas pasākumus, neapdraudot veselības aprūpes pakalpojumu nodrošināšanu, VM sadarbībā ar PSKUS izvērtēs alternatīvus risinājumus, to iespējamo ietekmi uz valsts budžetu un veselības aprūpes sistēmas ilgtspēju, kā arī sagatavos priekšlikumus turpmākajai rīcībai.</w:t>
      </w:r>
    </w:p>
    <w:p w14:paraId="4498BA74" w14:textId="77777777" w:rsidR="00A83F84" w:rsidRPr="00ED3C35" w:rsidRDefault="00A83F84" w:rsidP="0077128D">
      <w:pPr>
        <w:pStyle w:val="a3"/>
        <w:rPr>
          <w:rFonts w:cs="Times New Roman"/>
          <w:b/>
          <w:szCs w:val="24"/>
        </w:rPr>
      </w:pPr>
    </w:p>
    <w:p w14:paraId="63C469C8" w14:textId="7390C01D" w:rsidR="00675B41" w:rsidRPr="00ED3C35" w:rsidRDefault="00675B41" w:rsidP="00831F8C">
      <w:pPr>
        <w:pStyle w:val="a3"/>
        <w:numPr>
          <w:ilvl w:val="0"/>
          <w:numId w:val="15"/>
        </w:numPr>
        <w:rPr>
          <w:rFonts w:cs="Times New Roman"/>
          <w:b/>
          <w:szCs w:val="24"/>
        </w:rPr>
      </w:pPr>
      <w:r w:rsidRPr="00ED3C35">
        <w:rPr>
          <w:rFonts w:cs="Times New Roman"/>
          <w:b/>
          <w:szCs w:val="24"/>
        </w:rPr>
        <w:t xml:space="preserve">PSKUS </w:t>
      </w:r>
      <w:r w:rsidR="00831F8C" w:rsidRPr="00ED3C35">
        <w:rPr>
          <w:rFonts w:cs="Times New Roman"/>
          <w:b/>
          <w:szCs w:val="24"/>
        </w:rPr>
        <w:t>finansiālās</w:t>
      </w:r>
      <w:r w:rsidRPr="00ED3C35">
        <w:rPr>
          <w:rFonts w:cs="Times New Roman"/>
          <w:b/>
          <w:szCs w:val="24"/>
        </w:rPr>
        <w:t xml:space="preserve"> situācijas rak</w:t>
      </w:r>
      <w:r w:rsidR="00DE505B" w:rsidRPr="00ED3C35">
        <w:rPr>
          <w:rFonts w:cs="Times New Roman"/>
          <w:b/>
          <w:szCs w:val="24"/>
        </w:rPr>
        <w:t>s</w:t>
      </w:r>
      <w:r w:rsidRPr="00ED3C35">
        <w:rPr>
          <w:rFonts w:cs="Times New Roman"/>
          <w:b/>
          <w:szCs w:val="24"/>
        </w:rPr>
        <w:t>turojums</w:t>
      </w:r>
    </w:p>
    <w:p w14:paraId="04D0A473" w14:textId="77777777" w:rsidR="00675B41" w:rsidRPr="00ED3C35" w:rsidRDefault="00675B41" w:rsidP="003B6DF9">
      <w:pPr>
        <w:ind w:firstLine="708"/>
        <w:jc w:val="both"/>
        <w:rPr>
          <w:rFonts w:cs="Times New Roman"/>
          <w:szCs w:val="24"/>
        </w:rPr>
      </w:pPr>
    </w:p>
    <w:p w14:paraId="4FD74443" w14:textId="6681FA77" w:rsidR="00831F8C" w:rsidRPr="00ED3C35" w:rsidRDefault="00036F28" w:rsidP="0012458B">
      <w:pPr>
        <w:ind w:firstLine="708"/>
        <w:jc w:val="both"/>
        <w:rPr>
          <w:rFonts w:eastAsia="Times New Roman" w:cs="Times New Roman"/>
          <w:szCs w:val="24"/>
          <w:lang w:eastAsia="ru-RU"/>
        </w:rPr>
      </w:pPr>
      <w:r w:rsidRPr="00ED3C35">
        <w:rPr>
          <w:rFonts w:eastAsia="Times New Roman" w:cs="Times New Roman"/>
          <w:szCs w:val="24"/>
          <w:lang w:eastAsia="ru-RU"/>
        </w:rPr>
        <w:t xml:space="preserve">2025. gada finanšu rezultāti un 2026. gada pirmajā pusgadā konstatētais finansējuma deficīts kopumā liecina par ilgstošu un sistēmisku neatbilstību starp PSKUS sniegto valsts apmaksāto veselības aprūpes pakalpojumu apjomu un struktūru, šo pakalpojumu faktiskajām izmaksām un tiem piešķirto finansējumu. Minētā neatbilstība nav vērtējama tikai kā atsevišķu veselības aprūpes programmu vai pakalpojumu finansējuma jautājums, bet </w:t>
      </w:r>
      <w:r w:rsidR="0060608C" w:rsidRPr="00ED3C35">
        <w:rPr>
          <w:rFonts w:eastAsia="Times New Roman" w:cs="Times New Roman"/>
          <w:szCs w:val="24"/>
          <w:lang w:eastAsia="ru-RU"/>
        </w:rPr>
        <w:t>rada</w:t>
      </w:r>
      <w:r w:rsidRPr="00ED3C35">
        <w:rPr>
          <w:rFonts w:eastAsia="Times New Roman" w:cs="Times New Roman"/>
          <w:szCs w:val="24"/>
          <w:lang w:eastAsia="ru-RU"/>
        </w:rPr>
        <w:t xml:space="preserve"> būtisku risku PSKUS finanšu stabilitātei un ilgtermiņa darbības un attīstības iespējām.</w:t>
      </w:r>
    </w:p>
    <w:p w14:paraId="26CAD5F5" w14:textId="63D741BA" w:rsidR="00036F28" w:rsidRPr="00ED3C35" w:rsidRDefault="003B6DF9" w:rsidP="003B6DF9">
      <w:pPr>
        <w:ind w:firstLine="708"/>
        <w:jc w:val="both"/>
        <w:rPr>
          <w:rFonts w:eastAsia="Times New Roman" w:cs="Times New Roman"/>
          <w:szCs w:val="24"/>
          <w:lang w:eastAsia="ru-RU"/>
        </w:rPr>
      </w:pPr>
      <w:r w:rsidRPr="00ED3C35">
        <w:rPr>
          <w:rFonts w:eastAsia="Times New Roman" w:cs="Times New Roman"/>
          <w:szCs w:val="24"/>
          <w:lang w:eastAsia="ru-RU"/>
        </w:rPr>
        <w:t xml:space="preserve">2025. </w:t>
      </w:r>
      <w:r w:rsidR="00036F28" w:rsidRPr="00ED3C35">
        <w:rPr>
          <w:rFonts w:eastAsia="Times New Roman" w:cs="Times New Roman"/>
          <w:szCs w:val="24"/>
          <w:lang w:eastAsia="ru-RU"/>
        </w:rPr>
        <w:t xml:space="preserve">gadā PSKUS kopējie ieņēmumi sasniedza 208,6 milj. </w:t>
      </w:r>
      <w:proofErr w:type="spellStart"/>
      <w:r w:rsidRPr="00ED3C35">
        <w:rPr>
          <w:rFonts w:eastAsia="Times New Roman" w:cs="Times New Roman"/>
          <w:i/>
          <w:szCs w:val="24"/>
          <w:lang w:eastAsia="ru-RU"/>
        </w:rPr>
        <w:t>euro</w:t>
      </w:r>
      <w:proofErr w:type="spellEnd"/>
      <w:r w:rsidR="00036F28" w:rsidRPr="00ED3C35">
        <w:rPr>
          <w:rFonts w:eastAsia="Times New Roman" w:cs="Times New Roman"/>
          <w:szCs w:val="24"/>
          <w:lang w:eastAsia="ru-RU"/>
        </w:rPr>
        <w:t xml:space="preserve">, kas, salīdzinot ar 2024. gadu, bija par 5,0 milj. </w:t>
      </w:r>
      <w:proofErr w:type="spellStart"/>
      <w:r w:rsidRPr="00ED3C35">
        <w:rPr>
          <w:rFonts w:eastAsia="Times New Roman" w:cs="Times New Roman"/>
          <w:i/>
          <w:szCs w:val="24"/>
          <w:lang w:eastAsia="ru-RU"/>
        </w:rPr>
        <w:t>euro</w:t>
      </w:r>
      <w:proofErr w:type="spellEnd"/>
      <w:r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jeb 2,45 % vairāk, savukārt kopējās izmaksas palielinājās līdz 221,5 milj. </w:t>
      </w:r>
      <w:proofErr w:type="spellStart"/>
      <w:r w:rsidRPr="00ED3C35">
        <w:rPr>
          <w:rFonts w:eastAsia="Times New Roman" w:cs="Times New Roman"/>
          <w:i/>
          <w:szCs w:val="24"/>
          <w:lang w:eastAsia="ru-RU"/>
        </w:rPr>
        <w:t>euro</w:t>
      </w:r>
      <w:proofErr w:type="spellEnd"/>
      <w:r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jeb par 17,2 milj. </w:t>
      </w:r>
      <w:proofErr w:type="spellStart"/>
      <w:r w:rsidRPr="00ED3C35">
        <w:rPr>
          <w:rFonts w:eastAsia="Times New Roman" w:cs="Times New Roman"/>
          <w:i/>
          <w:szCs w:val="24"/>
          <w:lang w:eastAsia="ru-RU"/>
        </w:rPr>
        <w:t>euro</w:t>
      </w:r>
      <w:proofErr w:type="spellEnd"/>
      <w:r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jeb 8,4 %. Tādējādi izmaksu pieaugums būtiski pārsniedza ieņēmumu pieaugumu, un pārskata gadu PSKUS noslēdza ar 12,9 milj. </w:t>
      </w:r>
      <w:proofErr w:type="spellStart"/>
      <w:r w:rsidRPr="00ED3C35">
        <w:rPr>
          <w:rFonts w:eastAsia="Times New Roman" w:cs="Times New Roman"/>
          <w:i/>
          <w:szCs w:val="24"/>
          <w:lang w:eastAsia="ru-RU"/>
        </w:rPr>
        <w:t>euro</w:t>
      </w:r>
      <w:proofErr w:type="spellEnd"/>
      <w:r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zaudējumiem. Salīdzinot ar 2024. gadu, zaudējumu apmērs bija palielinājies par 12,2 milj. </w:t>
      </w:r>
      <w:proofErr w:type="spellStart"/>
      <w:r w:rsidRPr="00ED3C35">
        <w:rPr>
          <w:rFonts w:eastAsia="Times New Roman" w:cs="Times New Roman"/>
          <w:i/>
          <w:szCs w:val="24"/>
          <w:lang w:eastAsia="ru-RU"/>
        </w:rPr>
        <w:t>euro</w:t>
      </w:r>
      <w:proofErr w:type="spellEnd"/>
      <w:r w:rsidR="00036F28" w:rsidRPr="00ED3C35">
        <w:rPr>
          <w:rFonts w:eastAsia="Times New Roman" w:cs="Times New Roman"/>
          <w:szCs w:val="24"/>
          <w:lang w:eastAsia="ru-RU"/>
        </w:rPr>
        <w:t>. Būtiska nozīme šādu finanšu rezultātu veidošanā bija valsts apmaksāto veselības aprūpes pakalpojumu finansēšanas nosacījumiem un spēkā esošās tarifu metodikas ierobežojumiem.</w:t>
      </w:r>
    </w:p>
    <w:p w14:paraId="2CF68CF6" w14:textId="2372941A" w:rsidR="00831F8C" w:rsidRPr="00ED3C35" w:rsidRDefault="0060608C" w:rsidP="0012458B">
      <w:pPr>
        <w:ind w:firstLine="708"/>
        <w:jc w:val="both"/>
        <w:rPr>
          <w:rFonts w:eastAsia="Times New Roman" w:cs="Times New Roman"/>
          <w:szCs w:val="24"/>
          <w:lang w:eastAsia="ru-RU"/>
        </w:rPr>
      </w:pPr>
      <w:r w:rsidRPr="00ED3C35">
        <w:rPr>
          <w:rFonts w:eastAsia="Times New Roman" w:cs="Times New Roman"/>
          <w:szCs w:val="24"/>
          <w:lang w:eastAsia="ru-RU"/>
        </w:rPr>
        <w:t xml:space="preserve">2025. gada rezultāti liecina, ka finansējuma neatbilstība skar ne tikai atsevišķus pakalpojumu veidus, bet arī PSKUS pamatdarbību kopumā. </w:t>
      </w:r>
      <w:r w:rsidR="003B6DF9" w:rsidRPr="00ED3C35">
        <w:rPr>
          <w:rFonts w:eastAsia="Times New Roman" w:cs="Times New Roman"/>
          <w:szCs w:val="24"/>
          <w:lang w:eastAsia="ru-RU"/>
        </w:rPr>
        <w:t xml:space="preserve">Vairāk nekā </w:t>
      </w:r>
      <w:r w:rsidR="00675B41" w:rsidRPr="00ED3C35">
        <w:rPr>
          <w:rFonts w:eastAsia="Times New Roman" w:cs="Times New Roman"/>
          <w:szCs w:val="24"/>
          <w:lang w:eastAsia="ru-RU"/>
        </w:rPr>
        <w:t>8</w:t>
      </w:r>
      <w:r w:rsidR="003B6DF9" w:rsidRPr="00ED3C35">
        <w:rPr>
          <w:rFonts w:eastAsia="Times New Roman" w:cs="Times New Roman"/>
          <w:szCs w:val="24"/>
          <w:lang w:eastAsia="ru-RU"/>
        </w:rPr>
        <w:t>0</w:t>
      </w:r>
      <w:r w:rsidR="00036F28" w:rsidRPr="00ED3C35">
        <w:rPr>
          <w:rFonts w:eastAsia="Times New Roman" w:cs="Times New Roman"/>
          <w:szCs w:val="24"/>
          <w:lang w:eastAsia="ru-RU"/>
        </w:rPr>
        <w:t xml:space="preserve">% PSKUS ieņēmumu veido valsts apmaksātie veselības aprūpes pakalpojumi, tādēļ slimnīcas finanšu stabilitāte ir tieši atkarīga no tā, vai noteiktais finansējums un pakalpojumu tarifi atbilst faktiskajām pakalpojumu sniegšanas izmaksām. 2025. gadā īpaši izteikta neatbilstība tika konstatēta DRG </w:t>
      </w:r>
      <w:r w:rsidR="00675B41" w:rsidRPr="00ED3C35">
        <w:rPr>
          <w:rFonts w:eastAsia="Times New Roman" w:cs="Times New Roman"/>
          <w:szCs w:val="24"/>
          <w:lang w:eastAsia="ru-RU"/>
        </w:rPr>
        <w:t>(</w:t>
      </w:r>
      <w:proofErr w:type="spellStart"/>
      <w:r w:rsidR="00675B41" w:rsidRPr="00ED3C35">
        <w:rPr>
          <w:rFonts w:eastAsia="Times New Roman" w:cs="Times New Roman"/>
          <w:i/>
          <w:szCs w:val="24"/>
          <w:lang w:eastAsia="ru-RU"/>
        </w:rPr>
        <w:t>Diagnosis-related</w:t>
      </w:r>
      <w:proofErr w:type="spellEnd"/>
      <w:r w:rsidR="00675B41" w:rsidRPr="00ED3C35">
        <w:rPr>
          <w:rFonts w:eastAsia="Times New Roman" w:cs="Times New Roman"/>
          <w:i/>
          <w:szCs w:val="24"/>
          <w:lang w:eastAsia="ru-RU"/>
        </w:rPr>
        <w:t xml:space="preserve"> </w:t>
      </w:r>
      <w:proofErr w:type="spellStart"/>
      <w:r w:rsidR="00675B41" w:rsidRPr="00ED3C35">
        <w:rPr>
          <w:rFonts w:eastAsia="Times New Roman" w:cs="Times New Roman"/>
          <w:i/>
          <w:szCs w:val="24"/>
          <w:lang w:eastAsia="ru-RU"/>
        </w:rPr>
        <w:t>group</w:t>
      </w:r>
      <w:proofErr w:type="spellEnd"/>
      <w:r w:rsidR="00675B41"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programmā, kur sniegto stacionāro pakalpojumu faktiskās izmaksas pārsniedza piešķirto finansējumu par 7,5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jeb vidēji 184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uz vienu ārstēto pacientu. Papildus tam sirds ritma traucējumu ārstēšanas programmā finansējuma deficīts sasniedza 4,9 milj. </w:t>
      </w:r>
      <w:proofErr w:type="spellStart"/>
      <w:r w:rsidR="003B6DF9" w:rsidRPr="00ED3C35">
        <w:rPr>
          <w:rFonts w:eastAsia="Times New Roman" w:cs="Times New Roman"/>
          <w:i/>
          <w:szCs w:val="24"/>
          <w:lang w:eastAsia="ru-RU"/>
        </w:rPr>
        <w:t>euro</w:t>
      </w:r>
      <w:proofErr w:type="spellEnd"/>
      <w:r w:rsidR="00036F28" w:rsidRPr="00ED3C35">
        <w:rPr>
          <w:rFonts w:eastAsia="Times New Roman" w:cs="Times New Roman"/>
          <w:szCs w:val="24"/>
          <w:lang w:eastAsia="ru-RU"/>
        </w:rPr>
        <w:t>.</w:t>
      </w:r>
    </w:p>
    <w:p w14:paraId="67A9831E" w14:textId="77777777" w:rsidR="003B6DF9" w:rsidRPr="00ED3C35" w:rsidRDefault="00036F28" w:rsidP="003B6DF9">
      <w:pPr>
        <w:ind w:firstLine="708"/>
        <w:jc w:val="both"/>
        <w:rPr>
          <w:rFonts w:eastAsia="Times New Roman" w:cs="Times New Roman"/>
          <w:szCs w:val="24"/>
          <w:lang w:eastAsia="ru-RU"/>
        </w:rPr>
      </w:pPr>
      <w:r w:rsidRPr="00ED3C35">
        <w:rPr>
          <w:rFonts w:eastAsia="Times New Roman" w:cs="Times New Roman"/>
          <w:szCs w:val="24"/>
          <w:lang w:eastAsia="ru-RU"/>
        </w:rPr>
        <w:t xml:space="preserve">Šo tendenci apstiprina arī 2026. gada pirmā pusgada finanšu dati. Valsts apmaksāto stacionāro veselības aprūpes pakalpojumu finansējuma deficīta aplēse, neieskaitot virs līguma summas apmaksājamos pakalpojumus, jau sešu mēnešu laikā sasniedza 10,3 milj. </w:t>
      </w:r>
      <w:proofErr w:type="spellStart"/>
      <w:r w:rsidR="003B6DF9" w:rsidRPr="00ED3C35">
        <w:rPr>
          <w:rFonts w:eastAsia="Times New Roman" w:cs="Times New Roman"/>
          <w:i/>
          <w:szCs w:val="24"/>
          <w:lang w:eastAsia="ru-RU"/>
        </w:rPr>
        <w:t>euro</w:t>
      </w:r>
      <w:proofErr w:type="spellEnd"/>
      <w:r w:rsidRPr="00ED3C35">
        <w:rPr>
          <w:rFonts w:eastAsia="Times New Roman" w:cs="Times New Roman"/>
          <w:szCs w:val="24"/>
          <w:lang w:eastAsia="ru-RU"/>
        </w:rPr>
        <w:t xml:space="preserve">. No minētā deficīta 6,9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attiecināmi uz DRG programmu, 0,4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 transplantāciju programmām, 0,3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 akūtajām programmām, 2,5</w:t>
      </w:r>
      <w:r w:rsidRPr="00ED3C35">
        <w:rPr>
          <w:rFonts w:eastAsia="Times New Roman" w:cs="Times New Roman"/>
          <w:szCs w:val="24"/>
          <w:lang w:eastAsia="ru-RU"/>
        </w:rPr>
        <w:t xml:space="preserve">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 piemaksājamām manipulācijām un pēc iesniegtajiem rēķiniem apmaksājamiem veselības aprūpes pakalpojumiem, 0,1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 </w:t>
      </w:r>
      <w:proofErr w:type="spellStart"/>
      <w:r w:rsidRPr="00ED3C35">
        <w:rPr>
          <w:rFonts w:eastAsia="Times New Roman" w:cs="Times New Roman"/>
          <w:szCs w:val="24"/>
          <w:lang w:eastAsia="ru-RU"/>
        </w:rPr>
        <w:t>paliatīvās</w:t>
      </w:r>
      <w:proofErr w:type="spellEnd"/>
      <w:r w:rsidRPr="00ED3C35">
        <w:rPr>
          <w:rFonts w:eastAsia="Times New Roman" w:cs="Times New Roman"/>
          <w:szCs w:val="24"/>
          <w:lang w:eastAsia="ru-RU"/>
        </w:rPr>
        <w:t xml:space="preserve"> un hroniskās aprūpes programmām un 0,1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 plānveida programmām. </w:t>
      </w:r>
    </w:p>
    <w:p w14:paraId="75840EFC" w14:textId="159AF6F4" w:rsidR="00036F28" w:rsidRPr="00ED3C35" w:rsidRDefault="0060608C" w:rsidP="003B6DF9">
      <w:pPr>
        <w:ind w:firstLine="708"/>
        <w:jc w:val="both"/>
        <w:rPr>
          <w:rFonts w:eastAsia="Times New Roman" w:cs="Times New Roman"/>
          <w:szCs w:val="24"/>
          <w:lang w:eastAsia="ru-RU"/>
        </w:rPr>
      </w:pPr>
      <w:r w:rsidRPr="00ED3C35">
        <w:rPr>
          <w:rFonts w:eastAsia="Times New Roman" w:cs="Times New Roman"/>
          <w:szCs w:val="24"/>
          <w:lang w:eastAsia="ru-RU"/>
        </w:rPr>
        <w:t xml:space="preserve">Papildus stacionāro pakalpojumu finansējuma deficītam sekundārajā ambulatorajā veselības aprūpē finansējuma deficīts aplēsts 0,9 milj. </w:t>
      </w:r>
      <w:proofErr w:type="spellStart"/>
      <w:r w:rsidRPr="00ED3C35">
        <w:rPr>
          <w:rFonts w:eastAsia="Times New Roman" w:cs="Times New Roman"/>
          <w:i/>
          <w:iCs/>
          <w:szCs w:val="24"/>
          <w:lang w:eastAsia="ru-RU"/>
        </w:rPr>
        <w:t>euro</w:t>
      </w:r>
      <w:proofErr w:type="spellEnd"/>
      <w:r w:rsidRPr="00ED3C35">
        <w:rPr>
          <w:rFonts w:eastAsia="Times New Roman" w:cs="Times New Roman"/>
          <w:szCs w:val="24"/>
          <w:lang w:eastAsia="ru-RU"/>
        </w:rPr>
        <w:t xml:space="preserve"> apmērā, savukārt ambulatoro laboratorisko pakalpojumu finansējumā – 0,11 milj. </w:t>
      </w:r>
      <w:proofErr w:type="spellStart"/>
      <w:r w:rsidRPr="00ED3C35">
        <w:rPr>
          <w:rFonts w:eastAsia="Times New Roman" w:cs="Times New Roman"/>
          <w:i/>
          <w:iCs/>
          <w:szCs w:val="24"/>
          <w:lang w:eastAsia="ru-RU"/>
        </w:rPr>
        <w:t>euro</w:t>
      </w:r>
      <w:proofErr w:type="spellEnd"/>
      <w:r w:rsidRPr="00ED3C35">
        <w:rPr>
          <w:rFonts w:eastAsia="Times New Roman" w:cs="Times New Roman"/>
          <w:szCs w:val="24"/>
          <w:lang w:eastAsia="ru-RU"/>
        </w:rPr>
        <w:t xml:space="preserve"> apmērā.</w:t>
      </w:r>
    </w:p>
    <w:p w14:paraId="663FD28E" w14:textId="7DF4FEB6" w:rsidR="00036F28" w:rsidRPr="00ED3C35" w:rsidRDefault="00036F28" w:rsidP="003B6DF9">
      <w:pPr>
        <w:ind w:firstLine="708"/>
        <w:jc w:val="both"/>
        <w:rPr>
          <w:rFonts w:eastAsia="Times New Roman" w:cs="Times New Roman"/>
          <w:szCs w:val="24"/>
          <w:lang w:eastAsia="ru-RU"/>
        </w:rPr>
      </w:pPr>
      <w:r w:rsidRPr="00ED3C35">
        <w:rPr>
          <w:rFonts w:eastAsia="Times New Roman" w:cs="Times New Roman"/>
          <w:szCs w:val="24"/>
          <w:lang w:eastAsia="ru-RU"/>
        </w:rPr>
        <w:t xml:space="preserve">Tādējādi 2026. gada </w:t>
      </w:r>
      <w:r w:rsidR="0060608C" w:rsidRPr="00ED3C35">
        <w:rPr>
          <w:rFonts w:eastAsia="Times New Roman" w:cs="Times New Roman"/>
          <w:szCs w:val="24"/>
          <w:lang w:eastAsia="ru-RU"/>
        </w:rPr>
        <w:t>pirmajos sešos</w:t>
      </w:r>
      <w:r w:rsidRPr="00ED3C35">
        <w:rPr>
          <w:rFonts w:eastAsia="Times New Roman" w:cs="Times New Roman"/>
          <w:szCs w:val="24"/>
          <w:lang w:eastAsia="ru-RU"/>
        </w:rPr>
        <w:t xml:space="preserve"> mēnešos identificētais finansējuma deficīts stacionārajos, sekundārajos ambulatorajos un laboratoriskajos pakalp</w:t>
      </w:r>
      <w:r w:rsidR="003B6DF9" w:rsidRPr="00ED3C35">
        <w:rPr>
          <w:rFonts w:eastAsia="Times New Roman" w:cs="Times New Roman"/>
          <w:szCs w:val="24"/>
          <w:lang w:eastAsia="ru-RU"/>
        </w:rPr>
        <w:t xml:space="preserve">ojumos kopumā veido </w:t>
      </w:r>
      <w:r w:rsidR="003B6DF9" w:rsidRPr="00ED3C35">
        <w:rPr>
          <w:rFonts w:eastAsia="Times New Roman" w:cs="Times New Roman"/>
          <w:szCs w:val="24"/>
          <w:lang w:eastAsia="ru-RU"/>
        </w:rPr>
        <w:lastRenderedPageBreak/>
        <w:t>vismaz 11,3</w:t>
      </w:r>
      <w:r w:rsidRPr="00ED3C35">
        <w:rPr>
          <w:rFonts w:eastAsia="Times New Roman" w:cs="Times New Roman"/>
          <w:szCs w:val="24"/>
          <w:lang w:eastAsia="ru-RU"/>
        </w:rPr>
        <w:t xml:space="preserve"> milj. </w:t>
      </w:r>
      <w:proofErr w:type="spellStart"/>
      <w:r w:rsidR="003B6DF9" w:rsidRPr="00ED3C35">
        <w:rPr>
          <w:rFonts w:eastAsia="Times New Roman" w:cs="Times New Roman"/>
          <w:i/>
          <w:szCs w:val="24"/>
          <w:lang w:eastAsia="ru-RU"/>
        </w:rPr>
        <w:t>euro</w:t>
      </w:r>
      <w:proofErr w:type="spellEnd"/>
      <w:r w:rsidRPr="00ED3C35">
        <w:rPr>
          <w:rFonts w:eastAsia="Times New Roman" w:cs="Times New Roman"/>
          <w:szCs w:val="24"/>
          <w:lang w:eastAsia="ru-RU"/>
        </w:rPr>
        <w:t>. Turklāt šajā apmērā nav ietverta tarifu neatbilstība faktiskajām pakalpojumu izmaksām un infl</w:t>
      </w:r>
      <w:r w:rsidR="003B6DF9" w:rsidRPr="00ED3C35">
        <w:rPr>
          <w:rFonts w:eastAsia="Times New Roman" w:cs="Times New Roman"/>
          <w:szCs w:val="24"/>
          <w:lang w:eastAsia="ru-RU"/>
        </w:rPr>
        <w:t>ācijas ietekme. Līdz ar to 11,3</w:t>
      </w:r>
      <w:r w:rsidRPr="00ED3C35">
        <w:rPr>
          <w:rFonts w:eastAsia="Times New Roman" w:cs="Times New Roman"/>
          <w:szCs w:val="24"/>
          <w:lang w:eastAsia="ru-RU"/>
        </w:rPr>
        <w:t xml:space="preserve">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0060608C" w:rsidRPr="00ED3C35">
        <w:rPr>
          <w:rFonts w:eastAsia="Times New Roman" w:cs="Times New Roman"/>
          <w:szCs w:val="24"/>
          <w:lang w:eastAsia="ru-RU"/>
        </w:rPr>
        <w:t xml:space="preserve">raksturo identificēto finansējuma trūkumu, bet ne tā kopējo apmēru, kas var būt lielāks. </w:t>
      </w:r>
    </w:p>
    <w:p w14:paraId="098A80DA" w14:textId="7DA8805C" w:rsidR="00831F8C" w:rsidRPr="00ED3C35" w:rsidRDefault="00E5442E" w:rsidP="0012458B">
      <w:pPr>
        <w:ind w:firstLine="708"/>
        <w:jc w:val="both"/>
        <w:rPr>
          <w:rFonts w:eastAsia="Times New Roman" w:cs="Times New Roman"/>
          <w:szCs w:val="24"/>
          <w:lang w:eastAsia="ru-RU"/>
        </w:rPr>
      </w:pPr>
      <w:r w:rsidRPr="00ED3C35">
        <w:rPr>
          <w:rFonts w:eastAsia="Times New Roman" w:cs="Times New Roman"/>
          <w:szCs w:val="24"/>
          <w:lang w:eastAsia="ru-RU"/>
        </w:rPr>
        <w:t>2026. gada pirmā pusgada dati apstiprina, ka 2025. gadā konstatētā finansējuma neatbilstība turpinās un tai ir strukturāls raksturs.</w:t>
      </w:r>
      <w:r w:rsidR="00036F28" w:rsidRPr="00ED3C35">
        <w:rPr>
          <w:rFonts w:eastAsia="Times New Roman" w:cs="Times New Roman"/>
          <w:szCs w:val="24"/>
          <w:lang w:eastAsia="ru-RU"/>
        </w:rPr>
        <w:t xml:space="preserve"> Ja sešu mēnešu laikā vien stacionāro pakalpojumu finansējuma deficīts sasniedz 10,3 milj. </w:t>
      </w:r>
      <w:proofErr w:type="spellStart"/>
      <w:r w:rsidR="003B6DF9" w:rsidRPr="00ED3C35">
        <w:rPr>
          <w:rFonts w:eastAsia="Times New Roman" w:cs="Times New Roman"/>
          <w:i/>
          <w:szCs w:val="24"/>
          <w:lang w:eastAsia="ru-RU"/>
        </w:rPr>
        <w:t>euro</w:t>
      </w:r>
      <w:proofErr w:type="spellEnd"/>
      <w:r w:rsidR="00036F28" w:rsidRPr="00ED3C35">
        <w:rPr>
          <w:rFonts w:eastAsia="Times New Roman" w:cs="Times New Roman"/>
          <w:szCs w:val="24"/>
          <w:lang w:eastAsia="ru-RU"/>
        </w:rPr>
        <w:t xml:space="preserve">, bet kopējais identificētais deficīts, ietverot ambulatoros un laboratoriskos pakalpojumus, pārsniedz 11 milj. </w:t>
      </w:r>
      <w:proofErr w:type="spellStart"/>
      <w:r w:rsidR="003B6DF9" w:rsidRPr="00ED3C35">
        <w:rPr>
          <w:rFonts w:eastAsia="Times New Roman" w:cs="Times New Roman"/>
          <w:i/>
          <w:szCs w:val="24"/>
          <w:lang w:eastAsia="ru-RU"/>
        </w:rPr>
        <w:t>euro</w:t>
      </w:r>
      <w:proofErr w:type="spellEnd"/>
      <w:r w:rsidR="00036F28" w:rsidRPr="00ED3C35">
        <w:rPr>
          <w:rFonts w:eastAsia="Times New Roman" w:cs="Times New Roman"/>
          <w:szCs w:val="24"/>
          <w:lang w:eastAsia="ru-RU"/>
        </w:rPr>
        <w:t xml:space="preserve">, finansējuma neatbilstība </w:t>
      </w:r>
      <w:r w:rsidRPr="00ED3C35">
        <w:rPr>
          <w:rFonts w:eastAsia="Times New Roman" w:cs="Times New Roman"/>
          <w:szCs w:val="24"/>
          <w:lang w:eastAsia="ru-RU"/>
        </w:rPr>
        <w:t>nav skaidrojama tikai ar atsevišķu periodu vai programmu īslaicīgu finansējuma nepietiekamību. Tā liecina par ilgstošu neatbilstību starp PSKUS pacientu struktūru, sniegto pakalpojumu izmaksām un spēkā esošo valsts apmaksāto veselības aprūpes pakalpojumu finansēšanas modeli.</w:t>
      </w:r>
    </w:p>
    <w:p w14:paraId="1D946EFE" w14:textId="77777777" w:rsidR="00036F28" w:rsidRPr="00ED3C35" w:rsidRDefault="00036F28" w:rsidP="003B6DF9">
      <w:pPr>
        <w:ind w:firstLine="708"/>
        <w:jc w:val="both"/>
        <w:rPr>
          <w:rFonts w:eastAsia="Times New Roman" w:cs="Times New Roman"/>
          <w:szCs w:val="24"/>
          <w:lang w:eastAsia="ru-RU"/>
        </w:rPr>
      </w:pPr>
      <w:r w:rsidRPr="00ED3C35">
        <w:rPr>
          <w:rFonts w:eastAsia="Times New Roman" w:cs="Times New Roman"/>
          <w:szCs w:val="24"/>
          <w:lang w:eastAsia="ru-RU"/>
        </w:rPr>
        <w:t xml:space="preserve">Finansējuma nepietiekamību papildus pastiprina pakalpojumu programmu skaita palielināšana un finansējuma sadrumstalotība. PSKUS kā V līmeņa slimnīcai ir jānodrošina augstas sarežģītības pacientu ārstēšana, tostarp pacientiem ar </w:t>
      </w:r>
      <w:proofErr w:type="spellStart"/>
      <w:r w:rsidRPr="00ED3C35">
        <w:rPr>
          <w:rFonts w:eastAsia="Times New Roman" w:cs="Times New Roman"/>
          <w:szCs w:val="24"/>
          <w:lang w:eastAsia="ru-RU"/>
        </w:rPr>
        <w:t>multimorbiditāti</w:t>
      </w:r>
      <w:proofErr w:type="spellEnd"/>
      <w:r w:rsidRPr="00ED3C35">
        <w:rPr>
          <w:rFonts w:eastAsia="Times New Roman" w:cs="Times New Roman"/>
          <w:szCs w:val="24"/>
          <w:lang w:eastAsia="ru-RU"/>
        </w:rPr>
        <w:t xml:space="preserve"> un smagām kombinētām patoloģijām, kuru ārstēšana vienas hospitalizācijas vai ārstēšanas epizodes laikā var ietvert vairākas izmaksu ietilpīgas diagnostikas un ārstniecības manipulācijas. Šādu pacientu ārstēšanas faktiskās izmaksas ne vienmēr pilnā apmērā atspoguļojas spēkā esošajos tarifos. Vienlaikus finansējuma sadalījums pa atsevišķām programmām ierobežo iespējas elastīgi pārdalīt pieejamos līdzekļus atbilstoši faktiskajam pacientu pieprasījumam un PSKUS sniegto pakalpojumu struktūrai.</w:t>
      </w:r>
    </w:p>
    <w:p w14:paraId="217DE99D" w14:textId="44513E3C" w:rsidR="00831F8C" w:rsidRPr="00ED3C35" w:rsidRDefault="00036F28" w:rsidP="0012458B">
      <w:pPr>
        <w:ind w:firstLine="708"/>
        <w:jc w:val="both"/>
        <w:rPr>
          <w:rFonts w:eastAsia="Times New Roman" w:cs="Times New Roman"/>
          <w:szCs w:val="24"/>
          <w:lang w:eastAsia="ru-RU"/>
        </w:rPr>
      </w:pPr>
      <w:r w:rsidRPr="00ED3C35">
        <w:rPr>
          <w:rFonts w:eastAsia="Times New Roman" w:cs="Times New Roman"/>
          <w:szCs w:val="24"/>
          <w:lang w:eastAsia="ru-RU"/>
        </w:rPr>
        <w:t xml:space="preserve">Finansējuma neatbilstības ietekme izpaužas arī PSKUS apgrozāmo līdzekļu pieejamībā. 2026. gada pirmā pusgada beigās bija uzkrāti 2,3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neapmaksātu, bet jau sniegtu veselības aprūpes pakalpojumu, tostarp 1,2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stacionārajās programmās, 1,0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ambulatorajos pakalpojumos un 0,1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Pr="00ED3C35">
        <w:rPr>
          <w:rFonts w:eastAsia="Times New Roman" w:cs="Times New Roman"/>
          <w:szCs w:val="24"/>
          <w:lang w:eastAsia="ru-RU"/>
        </w:rPr>
        <w:t xml:space="preserve">laboratorijas pakalpojumos. Tas nozīmē, ka PSKUS jau ir nodrošinājusi attiecīgo pakalpojumu sniegšanu un ar to saistīto resursu patēriņu, taču par daļu no šiem pakalpojumiem finansējums pārskata perioda beigās vēl nebija saņemts. Šāda situācija palielina nepieciešamību pēc apgrozāmajiem līdzekļiem un var ierobežot PSKUS iespējas </w:t>
      </w:r>
      <w:r w:rsidR="00FD37B8" w:rsidRPr="00ED3C35">
        <w:rPr>
          <w:rFonts w:eastAsia="Times New Roman" w:cs="Times New Roman"/>
          <w:szCs w:val="24"/>
          <w:lang w:eastAsia="ru-RU"/>
        </w:rPr>
        <w:t>novirzīt finanšu resursus citām būtiskām darbības vajadzībām</w:t>
      </w:r>
      <w:r w:rsidRPr="00ED3C35">
        <w:rPr>
          <w:rFonts w:eastAsia="Times New Roman" w:cs="Times New Roman"/>
          <w:szCs w:val="24"/>
          <w:lang w:eastAsia="ru-RU"/>
        </w:rPr>
        <w:t>.</w:t>
      </w:r>
    </w:p>
    <w:p w14:paraId="6A0CE13A" w14:textId="3E5E59A9" w:rsidR="00036F28" w:rsidRPr="00ED3C35" w:rsidRDefault="00414D4C" w:rsidP="003B6DF9">
      <w:pPr>
        <w:ind w:firstLine="708"/>
        <w:jc w:val="both"/>
        <w:rPr>
          <w:rFonts w:eastAsia="Times New Roman" w:cs="Times New Roman"/>
          <w:szCs w:val="24"/>
          <w:lang w:eastAsia="ru-RU"/>
        </w:rPr>
      </w:pPr>
      <w:r w:rsidRPr="00ED3C35">
        <w:rPr>
          <w:rFonts w:eastAsia="Times New Roman" w:cs="Times New Roman"/>
          <w:szCs w:val="24"/>
          <w:lang w:eastAsia="ru-RU"/>
        </w:rPr>
        <w:t>PSKUS finanšu stabilitāte vienlaikus ir cieši saistīta ar slimnīcas investīciju un attīstības vajadzībām.</w:t>
      </w:r>
      <w:r w:rsidR="00036F28" w:rsidRPr="00ED3C35">
        <w:rPr>
          <w:rFonts w:eastAsia="Times New Roman" w:cs="Times New Roman"/>
          <w:szCs w:val="24"/>
          <w:lang w:eastAsia="ru-RU"/>
        </w:rPr>
        <w:t xml:space="preserve"> Neraugoties uz 12,9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zaudējumiem 2025. gadā, PSKUS turpināja īstenot nozīmīgas investīcijas – 2025. gadā investīciju apjoms sasniedza 23,0 milj. </w:t>
      </w:r>
      <w:proofErr w:type="spellStart"/>
      <w:r w:rsidR="003B6DF9" w:rsidRPr="00ED3C35">
        <w:rPr>
          <w:rFonts w:eastAsia="Times New Roman" w:cs="Times New Roman"/>
          <w:i/>
          <w:szCs w:val="24"/>
          <w:lang w:eastAsia="ru-RU"/>
        </w:rPr>
        <w:t>euro</w:t>
      </w:r>
      <w:proofErr w:type="spellEnd"/>
      <w:r w:rsidR="00036F28" w:rsidRPr="00ED3C35">
        <w:rPr>
          <w:rFonts w:eastAsia="Times New Roman" w:cs="Times New Roman"/>
          <w:szCs w:val="24"/>
          <w:lang w:eastAsia="ru-RU"/>
        </w:rPr>
        <w:t xml:space="preserve">, kas bija par 3,0 milj. </w:t>
      </w:r>
      <w:proofErr w:type="spellStart"/>
      <w:r w:rsidR="003B6DF9" w:rsidRPr="00ED3C35">
        <w:rPr>
          <w:rFonts w:eastAsia="Times New Roman" w:cs="Times New Roman"/>
          <w:i/>
          <w:szCs w:val="24"/>
          <w:lang w:eastAsia="ru-RU"/>
        </w:rPr>
        <w:t>euro</w:t>
      </w:r>
      <w:proofErr w:type="spellEnd"/>
      <w:r w:rsidR="003B6DF9" w:rsidRPr="00ED3C35">
        <w:rPr>
          <w:rFonts w:eastAsia="Times New Roman" w:cs="Times New Roman"/>
          <w:szCs w:val="24"/>
          <w:lang w:eastAsia="ru-RU"/>
        </w:rPr>
        <w:t xml:space="preserve"> </w:t>
      </w:r>
      <w:r w:rsidR="00036F28" w:rsidRPr="00ED3C35">
        <w:rPr>
          <w:rFonts w:eastAsia="Times New Roman" w:cs="Times New Roman"/>
          <w:szCs w:val="24"/>
          <w:lang w:eastAsia="ru-RU"/>
        </w:rPr>
        <w:t xml:space="preserve">jeb 15 % vairāk nekā 2024. gadā. Investīcijas tika veiktas nekustamajos īpašumos, medicīnas iekārtās un datortehnikā, tostarp izmantojot Eiropas Reģionālās attīstības fonda un Atveseļošanās fonda finansējumu. </w:t>
      </w:r>
      <w:r w:rsidR="0059344F" w:rsidRPr="00ED3C35">
        <w:rPr>
          <w:rFonts w:eastAsia="Times New Roman" w:cs="Times New Roman"/>
          <w:szCs w:val="24"/>
          <w:lang w:eastAsia="ru-RU"/>
        </w:rPr>
        <w:t xml:space="preserve">Būtiska daļa no šī finansējuma ir paredzēta konkrētu investīciju projektu īstenošanai un nav izmantojama PSKUS pamatdarbības izdevumu segšanai. </w:t>
      </w:r>
      <w:r w:rsidR="00A64644" w:rsidRPr="00ED3C35">
        <w:rPr>
          <w:rFonts w:eastAsia="Times New Roman" w:cs="Times New Roman"/>
          <w:szCs w:val="24"/>
          <w:lang w:eastAsia="ru-RU"/>
        </w:rPr>
        <w:t>Šīs investīcijas nodrošina PSKUS infrastruktūras un tehnoloģiskās bāzes attīstību, kas nepieciešama augstas sarežģītības veselības aprūpes pakalpojumu sniegšanai.</w:t>
      </w:r>
      <w:r w:rsidR="00801CEE" w:rsidRPr="00ED3C35">
        <w:rPr>
          <w:rFonts w:eastAsia="Times New Roman" w:cs="Times New Roman"/>
          <w:szCs w:val="24"/>
          <w:lang w:eastAsia="ru-RU"/>
        </w:rPr>
        <w:t xml:space="preserve"> </w:t>
      </w:r>
      <w:r w:rsidR="00B67D83" w:rsidRPr="00ED3C35">
        <w:rPr>
          <w:rFonts w:eastAsia="Times New Roman" w:cs="Times New Roman"/>
          <w:szCs w:val="24"/>
          <w:lang w:eastAsia="ru-RU"/>
        </w:rPr>
        <w:t xml:space="preserve">Neraugoties uz sarežģīto finansiālo situāciju, finanšu rezultāta prognozē ir iekļautas investīcijas no </w:t>
      </w:r>
      <w:r w:rsidR="006115AD" w:rsidRPr="00ED3C35">
        <w:rPr>
          <w:rFonts w:eastAsia="Times New Roman" w:cs="Times New Roman"/>
          <w:szCs w:val="24"/>
          <w:lang w:eastAsia="ru-RU"/>
        </w:rPr>
        <w:t>PSKUS</w:t>
      </w:r>
      <w:r w:rsidR="00B67D83" w:rsidRPr="00ED3C35">
        <w:rPr>
          <w:rFonts w:eastAsia="Times New Roman" w:cs="Times New Roman"/>
          <w:szCs w:val="24"/>
          <w:lang w:eastAsia="ru-RU"/>
        </w:rPr>
        <w:t xml:space="preserve"> pašu līdzekļiem, no kurām lielākā daļa paredzēta infrastruktūras projektu pabeigšanai. Ņemot vērā projektu īstenošanas gaitā radušos izaicinājumus, lielāko daļu plānoto investīciju nav iespējams segt no projektu finansējuma. Līdz ar to attiecīgās izmaksas jāsedz no </w:t>
      </w:r>
      <w:r w:rsidR="006115AD" w:rsidRPr="00ED3C35">
        <w:rPr>
          <w:rFonts w:eastAsia="Times New Roman" w:cs="Times New Roman"/>
          <w:szCs w:val="24"/>
          <w:lang w:eastAsia="ru-RU"/>
        </w:rPr>
        <w:t>PSKUS</w:t>
      </w:r>
      <w:r w:rsidR="00B67D83" w:rsidRPr="00ED3C35">
        <w:rPr>
          <w:rFonts w:eastAsia="Times New Roman" w:cs="Times New Roman"/>
          <w:szCs w:val="24"/>
          <w:lang w:eastAsia="ru-RU"/>
        </w:rPr>
        <w:t xml:space="preserve"> pašu līdzekļiem, radot papildu finansiālo slogu, kura rašanos un apmēru </w:t>
      </w:r>
      <w:r w:rsidR="006115AD" w:rsidRPr="00ED3C35">
        <w:rPr>
          <w:rFonts w:eastAsia="Times New Roman" w:cs="Times New Roman"/>
          <w:szCs w:val="24"/>
          <w:lang w:eastAsia="ru-RU"/>
        </w:rPr>
        <w:t>PSKUS</w:t>
      </w:r>
      <w:r w:rsidR="00B67D83" w:rsidRPr="00ED3C35">
        <w:rPr>
          <w:rFonts w:eastAsia="Times New Roman" w:cs="Times New Roman"/>
          <w:szCs w:val="24"/>
          <w:lang w:eastAsia="ru-RU"/>
        </w:rPr>
        <w:t xml:space="preserve"> nevar pilnībā kontrolēt vai ietekmēt.</w:t>
      </w:r>
    </w:p>
    <w:p w14:paraId="71150185" w14:textId="79122BE0" w:rsidR="00A95274" w:rsidRPr="00ED3C35" w:rsidRDefault="00696864" w:rsidP="00A95274">
      <w:pPr>
        <w:ind w:left="7920" w:right="-1"/>
        <w:jc w:val="both"/>
        <w:rPr>
          <w:rFonts w:cs="Times New Roman"/>
          <w:i/>
          <w:szCs w:val="24"/>
        </w:rPr>
      </w:pPr>
      <w:r w:rsidRPr="00ED3C35">
        <w:rPr>
          <w:rFonts w:cs="Times New Roman"/>
          <w:i/>
          <w:szCs w:val="24"/>
        </w:rPr>
        <w:t>2. t</w:t>
      </w:r>
      <w:r w:rsidR="00A95274" w:rsidRPr="00ED3C35">
        <w:rPr>
          <w:rFonts w:cs="Times New Roman"/>
          <w:i/>
          <w:szCs w:val="24"/>
        </w:rPr>
        <w:t>abula</w:t>
      </w:r>
    </w:p>
    <w:p w14:paraId="195FC48D" w14:textId="724877F4" w:rsidR="00A95274" w:rsidRPr="00ED3C35" w:rsidRDefault="00A95274" w:rsidP="0012458B">
      <w:pPr>
        <w:jc w:val="center"/>
        <w:rPr>
          <w:rFonts w:cs="Times New Roman"/>
          <w:b/>
          <w:szCs w:val="24"/>
        </w:rPr>
      </w:pPr>
      <w:r w:rsidRPr="00ED3C35">
        <w:rPr>
          <w:rFonts w:cs="Times New Roman"/>
          <w:b/>
          <w:szCs w:val="24"/>
        </w:rPr>
        <w:t>PSKUS plānotās investīcijas no pašu līdzekļiem (milj. EUR)</w:t>
      </w:r>
    </w:p>
    <w:tbl>
      <w:tblPr>
        <w:tblStyle w:val="GridTable4Accent5"/>
        <w:tblW w:w="8840" w:type="dxa"/>
        <w:jc w:val="center"/>
        <w:tblLook w:val="06A0" w:firstRow="1" w:lastRow="0" w:firstColumn="1" w:lastColumn="0" w:noHBand="1" w:noVBand="1"/>
      </w:tblPr>
      <w:tblGrid>
        <w:gridCol w:w="2830"/>
        <w:gridCol w:w="890"/>
        <w:gridCol w:w="1280"/>
        <w:gridCol w:w="1280"/>
        <w:gridCol w:w="1280"/>
        <w:gridCol w:w="1280"/>
      </w:tblGrid>
      <w:tr w:rsidR="00956F05" w:rsidRPr="00ED3C35" w14:paraId="7227E3E9" w14:textId="77777777" w:rsidTr="0012458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5089E2FC" w14:textId="42DE1509" w:rsidR="00956F05" w:rsidRPr="00ED3C35" w:rsidRDefault="00956F05" w:rsidP="00956F05">
            <w:pPr>
              <w:jc w:val="center"/>
              <w:rPr>
                <w:rFonts w:eastAsia="Times New Roman" w:cs="Times New Roman"/>
                <w:b w:val="0"/>
                <w:bCs w:val="0"/>
                <w:color w:val="auto"/>
                <w:sz w:val="20"/>
                <w:szCs w:val="20"/>
                <w:lang w:eastAsia="lv-LV"/>
              </w:rPr>
            </w:pPr>
            <w:r w:rsidRPr="00ED3C35">
              <w:rPr>
                <w:rFonts w:cs="Times New Roman"/>
                <w:color w:val="auto"/>
                <w:sz w:val="20"/>
                <w:szCs w:val="20"/>
              </w:rPr>
              <w:t>Nosaukums</w:t>
            </w:r>
          </w:p>
        </w:tc>
        <w:tc>
          <w:tcPr>
            <w:tcW w:w="890" w:type="dxa"/>
            <w:hideMark/>
          </w:tcPr>
          <w:p w14:paraId="54D5BA62" w14:textId="2CE179E1" w:rsidR="00956F05" w:rsidRPr="00ED3C35" w:rsidRDefault="00956F05" w:rsidP="00956F0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ED3C35">
              <w:rPr>
                <w:rFonts w:cs="Times New Roman"/>
                <w:color w:val="auto"/>
                <w:sz w:val="20"/>
                <w:szCs w:val="20"/>
              </w:rPr>
              <w:t>2026</w:t>
            </w:r>
          </w:p>
        </w:tc>
        <w:tc>
          <w:tcPr>
            <w:tcW w:w="1280" w:type="dxa"/>
            <w:hideMark/>
          </w:tcPr>
          <w:p w14:paraId="265C1D77" w14:textId="5B6A160B" w:rsidR="00956F05" w:rsidRPr="00ED3C35" w:rsidRDefault="00956F05" w:rsidP="00956F0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ED3C35">
              <w:rPr>
                <w:rFonts w:cs="Times New Roman"/>
                <w:color w:val="auto"/>
                <w:sz w:val="20"/>
                <w:szCs w:val="20"/>
              </w:rPr>
              <w:t>2027</w:t>
            </w:r>
          </w:p>
        </w:tc>
        <w:tc>
          <w:tcPr>
            <w:tcW w:w="1280" w:type="dxa"/>
            <w:hideMark/>
          </w:tcPr>
          <w:p w14:paraId="36E32C3B" w14:textId="1CF61CD3" w:rsidR="00956F05" w:rsidRPr="00ED3C35" w:rsidRDefault="00956F05" w:rsidP="00956F0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ED3C35">
              <w:rPr>
                <w:rFonts w:cs="Times New Roman"/>
                <w:color w:val="auto"/>
                <w:sz w:val="20"/>
                <w:szCs w:val="20"/>
              </w:rPr>
              <w:t>2028</w:t>
            </w:r>
          </w:p>
        </w:tc>
        <w:tc>
          <w:tcPr>
            <w:tcW w:w="1280" w:type="dxa"/>
            <w:hideMark/>
          </w:tcPr>
          <w:p w14:paraId="4424B0A5" w14:textId="64E02B65" w:rsidR="00956F05" w:rsidRPr="00ED3C35" w:rsidRDefault="00956F05" w:rsidP="00956F0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ED3C35">
              <w:rPr>
                <w:rFonts w:cs="Times New Roman"/>
                <w:color w:val="auto"/>
                <w:sz w:val="20"/>
                <w:szCs w:val="20"/>
              </w:rPr>
              <w:t>2029</w:t>
            </w:r>
          </w:p>
        </w:tc>
        <w:tc>
          <w:tcPr>
            <w:tcW w:w="1280" w:type="dxa"/>
            <w:hideMark/>
          </w:tcPr>
          <w:p w14:paraId="4E998248" w14:textId="6959C9B1" w:rsidR="00956F05" w:rsidRPr="00ED3C35" w:rsidRDefault="00956F05" w:rsidP="00956F0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ED3C35">
              <w:rPr>
                <w:rFonts w:cs="Times New Roman"/>
                <w:color w:val="auto"/>
                <w:sz w:val="20"/>
                <w:szCs w:val="20"/>
              </w:rPr>
              <w:t>2030</w:t>
            </w:r>
          </w:p>
        </w:tc>
      </w:tr>
      <w:tr w:rsidR="00956F05" w:rsidRPr="00ED3C35" w14:paraId="54176B65" w14:textId="77777777" w:rsidTr="0012458B">
        <w:trPr>
          <w:jc w:val="center"/>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F5F6717" w14:textId="49641DAA" w:rsidR="00956F05" w:rsidRPr="00ED3C35" w:rsidRDefault="00956F05" w:rsidP="00956F05">
            <w:pPr>
              <w:rPr>
                <w:rFonts w:eastAsia="Times New Roman" w:cs="Times New Roman"/>
                <w:sz w:val="22"/>
                <w:lang w:eastAsia="lv-LV"/>
              </w:rPr>
            </w:pPr>
            <w:r w:rsidRPr="00ED3C35">
              <w:rPr>
                <w:rFonts w:cs="Times New Roman"/>
                <w:sz w:val="22"/>
              </w:rPr>
              <w:t>Intelektuālais īpašums</w:t>
            </w:r>
          </w:p>
        </w:tc>
        <w:tc>
          <w:tcPr>
            <w:tcW w:w="890" w:type="dxa"/>
            <w:noWrap/>
            <w:hideMark/>
          </w:tcPr>
          <w:p w14:paraId="0A02CA88" w14:textId="5226C51E"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0,13</w:t>
            </w:r>
          </w:p>
        </w:tc>
        <w:tc>
          <w:tcPr>
            <w:tcW w:w="1280" w:type="dxa"/>
            <w:noWrap/>
            <w:hideMark/>
          </w:tcPr>
          <w:p w14:paraId="2820698C" w14:textId="4FD06D91"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0,2</w:t>
            </w:r>
          </w:p>
        </w:tc>
        <w:tc>
          <w:tcPr>
            <w:tcW w:w="1280" w:type="dxa"/>
            <w:noWrap/>
            <w:hideMark/>
          </w:tcPr>
          <w:p w14:paraId="7E7DE4CA" w14:textId="0A08468B"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0,2</w:t>
            </w:r>
          </w:p>
        </w:tc>
        <w:tc>
          <w:tcPr>
            <w:tcW w:w="1280" w:type="dxa"/>
            <w:noWrap/>
            <w:hideMark/>
          </w:tcPr>
          <w:p w14:paraId="3EBF1DC8" w14:textId="7A87076D"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0,2</w:t>
            </w:r>
          </w:p>
        </w:tc>
        <w:tc>
          <w:tcPr>
            <w:tcW w:w="1280" w:type="dxa"/>
            <w:noWrap/>
            <w:hideMark/>
          </w:tcPr>
          <w:p w14:paraId="44E659FF" w14:textId="2934E4FF"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0,2</w:t>
            </w:r>
          </w:p>
        </w:tc>
      </w:tr>
      <w:tr w:rsidR="00956F05" w:rsidRPr="00ED3C35" w14:paraId="69028356" w14:textId="77777777" w:rsidTr="0012458B">
        <w:trPr>
          <w:jc w:val="center"/>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17FE0C7" w14:textId="01D2F904" w:rsidR="00956F05" w:rsidRPr="00ED3C35" w:rsidRDefault="00956F05" w:rsidP="00956F05">
            <w:pPr>
              <w:rPr>
                <w:rFonts w:eastAsia="Times New Roman" w:cs="Times New Roman"/>
                <w:sz w:val="22"/>
                <w:lang w:eastAsia="lv-LV"/>
              </w:rPr>
            </w:pPr>
            <w:r w:rsidRPr="00ED3C35">
              <w:rPr>
                <w:rFonts w:cs="Times New Roman"/>
                <w:sz w:val="22"/>
              </w:rPr>
              <w:t>Kustamais īpašums</w:t>
            </w:r>
          </w:p>
        </w:tc>
        <w:tc>
          <w:tcPr>
            <w:tcW w:w="890" w:type="dxa"/>
            <w:noWrap/>
            <w:hideMark/>
          </w:tcPr>
          <w:p w14:paraId="41DEF907" w14:textId="0AB337F9"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1,2</w:t>
            </w:r>
          </w:p>
        </w:tc>
        <w:tc>
          <w:tcPr>
            <w:tcW w:w="1280" w:type="dxa"/>
            <w:noWrap/>
            <w:hideMark/>
          </w:tcPr>
          <w:p w14:paraId="22044701" w14:textId="6A48ECD9"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2,0</w:t>
            </w:r>
          </w:p>
        </w:tc>
        <w:tc>
          <w:tcPr>
            <w:tcW w:w="1280" w:type="dxa"/>
            <w:noWrap/>
            <w:hideMark/>
          </w:tcPr>
          <w:p w14:paraId="1924B374" w14:textId="39937DAB"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1,5</w:t>
            </w:r>
          </w:p>
        </w:tc>
        <w:tc>
          <w:tcPr>
            <w:tcW w:w="1280" w:type="dxa"/>
            <w:noWrap/>
            <w:hideMark/>
          </w:tcPr>
          <w:p w14:paraId="3005248F" w14:textId="7FC4BCFF"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1,5</w:t>
            </w:r>
          </w:p>
        </w:tc>
        <w:tc>
          <w:tcPr>
            <w:tcW w:w="1280" w:type="dxa"/>
            <w:noWrap/>
            <w:hideMark/>
          </w:tcPr>
          <w:p w14:paraId="50585D5C" w14:textId="6D41E2FA"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1,5</w:t>
            </w:r>
          </w:p>
        </w:tc>
      </w:tr>
      <w:tr w:rsidR="00956F05" w:rsidRPr="00ED3C35" w14:paraId="61E7C837" w14:textId="77777777" w:rsidTr="0012458B">
        <w:trPr>
          <w:jc w:val="center"/>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075702E" w14:textId="115B230F" w:rsidR="00956F05" w:rsidRPr="00ED3C35" w:rsidRDefault="00956F05" w:rsidP="00956F05">
            <w:pPr>
              <w:rPr>
                <w:rFonts w:eastAsia="Times New Roman" w:cs="Times New Roman"/>
                <w:sz w:val="22"/>
                <w:lang w:eastAsia="lv-LV"/>
              </w:rPr>
            </w:pPr>
            <w:r w:rsidRPr="00ED3C35">
              <w:rPr>
                <w:rFonts w:cs="Times New Roman"/>
                <w:sz w:val="22"/>
              </w:rPr>
              <w:t>Nekustamais īpašums</w:t>
            </w:r>
          </w:p>
        </w:tc>
        <w:tc>
          <w:tcPr>
            <w:tcW w:w="890" w:type="dxa"/>
            <w:noWrap/>
            <w:hideMark/>
          </w:tcPr>
          <w:p w14:paraId="545D6ACD" w14:textId="2705352C"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2,5</w:t>
            </w:r>
          </w:p>
        </w:tc>
        <w:tc>
          <w:tcPr>
            <w:tcW w:w="1280" w:type="dxa"/>
            <w:noWrap/>
            <w:hideMark/>
          </w:tcPr>
          <w:p w14:paraId="1ED72F5D" w14:textId="0DD5A03F"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3,3</w:t>
            </w:r>
          </w:p>
        </w:tc>
        <w:tc>
          <w:tcPr>
            <w:tcW w:w="1280" w:type="dxa"/>
            <w:noWrap/>
            <w:hideMark/>
          </w:tcPr>
          <w:p w14:paraId="4040C40C" w14:textId="57713A65"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5,4</w:t>
            </w:r>
          </w:p>
        </w:tc>
        <w:tc>
          <w:tcPr>
            <w:tcW w:w="1280" w:type="dxa"/>
            <w:noWrap/>
            <w:hideMark/>
          </w:tcPr>
          <w:p w14:paraId="0FADE238" w14:textId="2509DF70"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2,6</w:t>
            </w:r>
          </w:p>
        </w:tc>
        <w:tc>
          <w:tcPr>
            <w:tcW w:w="1280" w:type="dxa"/>
            <w:noWrap/>
            <w:hideMark/>
          </w:tcPr>
          <w:p w14:paraId="1CCC3A5D" w14:textId="13AD7095"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3C35">
              <w:rPr>
                <w:rFonts w:cs="Times New Roman"/>
                <w:sz w:val="22"/>
              </w:rPr>
              <w:t>0,5</w:t>
            </w:r>
          </w:p>
        </w:tc>
      </w:tr>
      <w:tr w:rsidR="00956F05" w:rsidRPr="00ED3C35" w14:paraId="6DDF9E98" w14:textId="77777777" w:rsidTr="0012458B">
        <w:trPr>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CB9CA" w:themeFill="text2" w:themeFillTint="66"/>
            <w:noWrap/>
            <w:hideMark/>
          </w:tcPr>
          <w:p w14:paraId="13F8DC4C" w14:textId="09E6B207" w:rsidR="00956F05" w:rsidRPr="00ED3C35" w:rsidRDefault="00956F05" w:rsidP="00956F05">
            <w:pPr>
              <w:rPr>
                <w:rFonts w:eastAsia="Times New Roman" w:cs="Times New Roman"/>
                <w:b w:val="0"/>
                <w:bCs w:val="0"/>
                <w:sz w:val="22"/>
                <w:lang w:eastAsia="lv-LV"/>
              </w:rPr>
            </w:pPr>
            <w:r w:rsidRPr="00ED3C35">
              <w:rPr>
                <w:rFonts w:cs="Times New Roman"/>
                <w:sz w:val="22"/>
              </w:rPr>
              <w:t xml:space="preserve">Investīcijas kopā, </w:t>
            </w:r>
            <w:proofErr w:type="spellStart"/>
            <w:r w:rsidRPr="00ED3C35">
              <w:rPr>
                <w:rFonts w:cs="Times New Roman"/>
                <w:sz w:val="22"/>
              </w:rPr>
              <w:t>milj.EUR</w:t>
            </w:r>
            <w:proofErr w:type="spellEnd"/>
          </w:p>
        </w:tc>
        <w:tc>
          <w:tcPr>
            <w:tcW w:w="890" w:type="dxa"/>
            <w:shd w:val="clear" w:color="auto" w:fill="ACB9CA" w:themeFill="text2" w:themeFillTint="66"/>
            <w:noWrap/>
            <w:hideMark/>
          </w:tcPr>
          <w:p w14:paraId="4D27FBD1" w14:textId="06CD8E74"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2"/>
                <w:lang w:eastAsia="lv-LV"/>
              </w:rPr>
            </w:pPr>
            <w:r w:rsidRPr="00ED3C35">
              <w:rPr>
                <w:rFonts w:cs="Times New Roman"/>
                <w:b/>
                <w:bCs/>
                <w:sz w:val="22"/>
              </w:rPr>
              <w:t>3,8</w:t>
            </w:r>
          </w:p>
        </w:tc>
        <w:tc>
          <w:tcPr>
            <w:tcW w:w="1280" w:type="dxa"/>
            <w:shd w:val="clear" w:color="auto" w:fill="ACB9CA" w:themeFill="text2" w:themeFillTint="66"/>
            <w:noWrap/>
            <w:hideMark/>
          </w:tcPr>
          <w:p w14:paraId="11F46136" w14:textId="16DEA58D"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2"/>
                <w:lang w:eastAsia="lv-LV"/>
              </w:rPr>
            </w:pPr>
            <w:r w:rsidRPr="00ED3C35">
              <w:rPr>
                <w:rFonts w:cs="Times New Roman"/>
                <w:b/>
                <w:bCs/>
                <w:sz w:val="22"/>
              </w:rPr>
              <w:t>5,5</w:t>
            </w:r>
          </w:p>
        </w:tc>
        <w:tc>
          <w:tcPr>
            <w:tcW w:w="1280" w:type="dxa"/>
            <w:shd w:val="clear" w:color="auto" w:fill="ACB9CA" w:themeFill="text2" w:themeFillTint="66"/>
            <w:noWrap/>
            <w:hideMark/>
          </w:tcPr>
          <w:p w14:paraId="674217C0" w14:textId="7681C88B"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2"/>
                <w:lang w:eastAsia="lv-LV"/>
              </w:rPr>
            </w:pPr>
            <w:r w:rsidRPr="00ED3C35">
              <w:rPr>
                <w:rFonts w:cs="Times New Roman"/>
                <w:b/>
                <w:bCs/>
                <w:sz w:val="22"/>
              </w:rPr>
              <w:t>7,1</w:t>
            </w:r>
          </w:p>
        </w:tc>
        <w:tc>
          <w:tcPr>
            <w:tcW w:w="1280" w:type="dxa"/>
            <w:shd w:val="clear" w:color="auto" w:fill="ACB9CA" w:themeFill="text2" w:themeFillTint="66"/>
            <w:noWrap/>
            <w:hideMark/>
          </w:tcPr>
          <w:p w14:paraId="6D96175C" w14:textId="0EAEA544"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2"/>
                <w:lang w:eastAsia="lv-LV"/>
              </w:rPr>
            </w:pPr>
            <w:r w:rsidRPr="00ED3C35">
              <w:rPr>
                <w:rFonts w:cs="Times New Roman"/>
                <w:b/>
                <w:bCs/>
                <w:sz w:val="22"/>
              </w:rPr>
              <w:t>4,3</w:t>
            </w:r>
          </w:p>
        </w:tc>
        <w:tc>
          <w:tcPr>
            <w:tcW w:w="1280" w:type="dxa"/>
            <w:shd w:val="clear" w:color="auto" w:fill="ACB9CA" w:themeFill="text2" w:themeFillTint="66"/>
            <w:noWrap/>
            <w:hideMark/>
          </w:tcPr>
          <w:p w14:paraId="320B12DE" w14:textId="5D06D7E0" w:rsidR="00956F05" w:rsidRPr="00ED3C35" w:rsidRDefault="00956F05" w:rsidP="00956F0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2"/>
                <w:lang w:eastAsia="lv-LV"/>
              </w:rPr>
            </w:pPr>
            <w:r w:rsidRPr="00ED3C35">
              <w:rPr>
                <w:rFonts w:cs="Times New Roman"/>
                <w:b/>
                <w:bCs/>
                <w:sz w:val="22"/>
              </w:rPr>
              <w:t>2,2</w:t>
            </w:r>
          </w:p>
        </w:tc>
      </w:tr>
    </w:tbl>
    <w:p w14:paraId="1DB5DCFC" w14:textId="77777777" w:rsidR="00285B6B" w:rsidRPr="00ED3C35" w:rsidRDefault="00285B6B" w:rsidP="0012458B">
      <w:pPr>
        <w:jc w:val="both"/>
        <w:rPr>
          <w:rFonts w:eastAsia="Times New Roman" w:cs="Times New Roman"/>
          <w:szCs w:val="24"/>
          <w:lang w:eastAsia="ru-RU"/>
        </w:rPr>
      </w:pPr>
    </w:p>
    <w:p w14:paraId="7677EB46" w14:textId="095DBCB3" w:rsidR="00831F8C" w:rsidRPr="00ED3C35" w:rsidRDefault="0059344F" w:rsidP="00696864">
      <w:pPr>
        <w:ind w:firstLine="708"/>
        <w:jc w:val="both"/>
        <w:rPr>
          <w:rFonts w:eastAsia="Times New Roman" w:cs="Times New Roman"/>
          <w:szCs w:val="24"/>
          <w:lang w:eastAsia="ru-RU"/>
        </w:rPr>
      </w:pPr>
      <w:r w:rsidRPr="00ED3C35">
        <w:rPr>
          <w:rFonts w:eastAsia="Times New Roman" w:cs="Times New Roman"/>
          <w:szCs w:val="24"/>
          <w:lang w:eastAsia="ru-RU"/>
        </w:rPr>
        <w:lastRenderedPageBreak/>
        <w:t>Vienlaikus investīciju projektu finansējums neatrisina pamatdarbības finansējuma nepietiekamību</w:t>
      </w:r>
      <w:r w:rsidR="00835E3A" w:rsidRPr="00ED3C35">
        <w:rPr>
          <w:rFonts w:eastAsia="Times New Roman" w:cs="Times New Roman"/>
          <w:szCs w:val="24"/>
          <w:lang w:eastAsia="ru-RU"/>
        </w:rPr>
        <w:t>.</w:t>
      </w:r>
      <w:r w:rsidR="00036F28" w:rsidRPr="00ED3C35">
        <w:rPr>
          <w:rFonts w:eastAsia="Times New Roman" w:cs="Times New Roman"/>
          <w:szCs w:val="24"/>
          <w:lang w:eastAsia="ru-RU"/>
        </w:rPr>
        <w:t xml:space="preserve"> Investīciju projektu īstenošana nodrošina atsevišķu infrastruktūras, medicīnas tehnoloģiju vai informācijas tehnoloģiju attīstības vajadzību segšanu, savukārt PSKUS ikdienas darbības nodrošināšanai nepieciešami pietiekami un izmaksām atbilstoši ieņēmumi no valsts apmaksātajiem veselības aprūpes pakalpojumiem. Ja pamatdarbības finansējums ilgstoši nesedz faktiskās pakalpojumu sniegšanas izmaksas, rodas risks, ka pieejamie finanšu resursi, kas būtu novirzāmi attīstībai un investīcijām, arvien lielākā apmērā jāizmanto </w:t>
      </w:r>
      <w:r w:rsidR="00E06941" w:rsidRPr="00ED3C35">
        <w:rPr>
          <w:rFonts w:eastAsia="Times New Roman" w:cs="Times New Roman"/>
          <w:szCs w:val="24"/>
          <w:lang w:eastAsia="ru-RU"/>
        </w:rPr>
        <w:t>pamatdarbības</w:t>
      </w:r>
      <w:r w:rsidR="00036F28" w:rsidRPr="00ED3C35">
        <w:rPr>
          <w:rFonts w:eastAsia="Times New Roman" w:cs="Times New Roman"/>
          <w:szCs w:val="24"/>
          <w:lang w:eastAsia="ru-RU"/>
        </w:rPr>
        <w:t xml:space="preserve"> finansēšanai</w:t>
      </w:r>
      <w:r w:rsidR="00696864" w:rsidRPr="00ED3C35">
        <w:rPr>
          <w:rFonts w:eastAsia="Times New Roman" w:cs="Times New Roman"/>
          <w:szCs w:val="24"/>
          <w:lang w:eastAsia="ru-RU"/>
        </w:rPr>
        <w:t>.</w:t>
      </w:r>
    </w:p>
    <w:p w14:paraId="4A598013" w14:textId="34D4DBAE" w:rsidR="00036F28" w:rsidRPr="00ED3C35" w:rsidRDefault="00036F28" w:rsidP="003B6DF9">
      <w:pPr>
        <w:ind w:firstLine="708"/>
        <w:jc w:val="both"/>
        <w:rPr>
          <w:rFonts w:eastAsia="Times New Roman" w:cs="Times New Roman"/>
          <w:szCs w:val="24"/>
          <w:lang w:eastAsia="ru-RU"/>
        </w:rPr>
      </w:pPr>
      <w:r w:rsidRPr="00ED3C35">
        <w:rPr>
          <w:rFonts w:eastAsia="Times New Roman" w:cs="Times New Roman"/>
          <w:szCs w:val="24"/>
          <w:lang w:eastAsia="ru-RU"/>
        </w:rPr>
        <w:t xml:space="preserve">Ņemot vērā PSKUS funkciju un nozīmi valsts veselības aprūpes sistēmā, šādas finansējuma neatbilstības ilgstoša saglabāšanās rada riskus, kas pārsniedz atsevišķa finanšu gada rezultātus. </w:t>
      </w:r>
      <w:r w:rsidR="00A64644" w:rsidRPr="00ED3C35">
        <w:rPr>
          <w:rFonts w:eastAsia="Times New Roman" w:cs="Times New Roman"/>
          <w:szCs w:val="24"/>
          <w:lang w:eastAsia="ru-RU"/>
        </w:rPr>
        <w:t>PSKUS iespējas samazināt izmaksas ir ierobežotas ar slimnīcai noteikto funkciju un sniedzamo pakalpojumu specifiku.</w:t>
      </w:r>
      <w:r w:rsidRPr="00ED3C35">
        <w:rPr>
          <w:rFonts w:eastAsia="Times New Roman" w:cs="Times New Roman"/>
          <w:szCs w:val="24"/>
          <w:lang w:eastAsia="ru-RU"/>
        </w:rPr>
        <w:t xml:space="preserve"> </w:t>
      </w:r>
      <w:r w:rsidR="00A64644" w:rsidRPr="00ED3C35">
        <w:rPr>
          <w:rFonts w:eastAsia="Times New Roman" w:cs="Times New Roman"/>
          <w:szCs w:val="24"/>
          <w:lang w:eastAsia="ru-RU"/>
        </w:rPr>
        <w:t>A</w:t>
      </w:r>
      <w:r w:rsidRPr="00ED3C35">
        <w:rPr>
          <w:rFonts w:eastAsia="Times New Roman" w:cs="Times New Roman"/>
          <w:szCs w:val="24"/>
          <w:lang w:eastAsia="ru-RU"/>
        </w:rPr>
        <w:t>ugstas sarežģītības pacientu ārstēšana, ārstēšanas pēctecības nodrošināšana, dzīvību uzturošas terapijas nepārtrauktība un nepieciešamo medikamentu un tehnoloģiju pieejamība ir būtiska PSKUS funkciju sastāvdaļa. Tādēļ finansējuma neatbilstības novēršana nav risināma tikai ar iekšējiem efektivitātes pasākumiem.</w:t>
      </w:r>
    </w:p>
    <w:p w14:paraId="669331B1" w14:textId="013A2ADA" w:rsidR="00036F28" w:rsidRPr="00ED3C35" w:rsidRDefault="00036F28" w:rsidP="003B6DF9">
      <w:pPr>
        <w:ind w:firstLine="708"/>
        <w:jc w:val="both"/>
        <w:rPr>
          <w:rFonts w:eastAsia="Times New Roman" w:cs="Times New Roman"/>
          <w:szCs w:val="24"/>
          <w:lang w:eastAsia="ru-RU"/>
        </w:rPr>
      </w:pPr>
      <w:r w:rsidRPr="00ED3C35">
        <w:rPr>
          <w:rFonts w:eastAsia="Times New Roman" w:cs="Times New Roman"/>
          <w:szCs w:val="24"/>
          <w:lang w:eastAsia="ru-RU"/>
        </w:rPr>
        <w:t xml:space="preserve">Kopumā 2025. gada un 2026. gada pirmā pusgada finanšu dati liecina, ka PSKUS finanšu rezultātu negatīvā tendence ir cieši saistīta ar ilgstošu neatbilstību starp valsts apmaksāto veselības aprūpes pakalpojumu faktiskajām izmaksām un to finansējumu. </w:t>
      </w:r>
      <w:r w:rsidR="006239B2" w:rsidRPr="00ED3C35">
        <w:rPr>
          <w:rFonts w:eastAsia="Times New Roman" w:cs="Times New Roman"/>
          <w:szCs w:val="24"/>
          <w:lang w:eastAsia="ru-RU"/>
        </w:rPr>
        <w:t xml:space="preserve">2025. gadā PSKUS zaudējumi sasniedza 12,9 milj. </w:t>
      </w:r>
      <w:proofErr w:type="spellStart"/>
      <w:r w:rsidR="006239B2" w:rsidRPr="00ED3C35">
        <w:rPr>
          <w:rFonts w:eastAsia="Times New Roman" w:cs="Times New Roman"/>
          <w:i/>
          <w:iCs/>
          <w:szCs w:val="24"/>
          <w:lang w:eastAsia="ru-RU"/>
        </w:rPr>
        <w:t>euro</w:t>
      </w:r>
      <w:proofErr w:type="spellEnd"/>
      <w:r w:rsidR="006239B2" w:rsidRPr="00ED3C35">
        <w:rPr>
          <w:rFonts w:eastAsia="Times New Roman" w:cs="Times New Roman"/>
          <w:szCs w:val="24"/>
          <w:lang w:eastAsia="ru-RU"/>
        </w:rPr>
        <w:t xml:space="preserve">. Vienlaikus būtiska finansējuma neatbilstība tika identificēta DRG programmā – 7,5 milj. </w:t>
      </w:r>
      <w:proofErr w:type="spellStart"/>
      <w:r w:rsidR="006239B2" w:rsidRPr="00ED3C35">
        <w:rPr>
          <w:rFonts w:eastAsia="Times New Roman" w:cs="Times New Roman"/>
          <w:i/>
          <w:iCs/>
          <w:szCs w:val="24"/>
          <w:lang w:eastAsia="ru-RU"/>
        </w:rPr>
        <w:t>euro</w:t>
      </w:r>
      <w:proofErr w:type="spellEnd"/>
      <w:r w:rsidR="006239B2" w:rsidRPr="00ED3C35">
        <w:rPr>
          <w:rFonts w:eastAsia="Times New Roman" w:cs="Times New Roman"/>
          <w:szCs w:val="24"/>
          <w:lang w:eastAsia="ru-RU"/>
        </w:rPr>
        <w:t xml:space="preserve"> – un sirds ritma traucējumu ārstēšanas programmā – 4,9 milj. </w:t>
      </w:r>
      <w:proofErr w:type="spellStart"/>
      <w:r w:rsidR="006239B2" w:rsidRPr="00ED3C35">
        <w:rPr>
          <w:rFonts w:eastAsia="Times New Roman" w:cs="Times New Roman"/>
          <w:i/>
          <w:iCs/>
          <w:szCs w:val="24"/>
          <w:lang w:eastAsia="ru-RU"/>
        </w:rPr>
        <w:t>euro</w:t>
      </w:r>
      <w:proofErr w:type="spellEnd"/>
      <w:r w:rsidR="006239B2" w:rsidRPr="00ED3C35">
        <w:rPr>
          <w:rFonts w:eastAsia="Times New Roman" w:cs="Times New Roman"/>
          <w:szCs w:val="24"/>
          <w:lang w:eastAsia="ru-RU"/>
        </w:rPr>
        <w:t xml:space="preserve">. </w:t>
      </w:r>
      <w:r w:rsidR="0065749B" w:rsidRPr="00ED3C35">
        <w:rPr>
          <w:rFonts w:eastAsia="Times New Roman" w:cs="Times New Roman"/>
          <w:szCs w:val="24"/>
          <w:lang w:eastAsia="ru-RU"/>
        </w:rPr>
        <w:t>S</w:t>
      </w:r>
      <w:r w:rsidRPr="00ED3C35">
        <w:rPr>
          <w:rFonts w:eastAsia="Times New Roman" w:cs="Times New Roman"/>
          <w:szCs w:val="24"/>
          <w:lang w:eastAsia="ru-RU"/>
        </w:rPr>
        <w:t>avukārt 2026.</w:t>
      </w:r>
      <w:r w:rsidR="0065749B" w:rsidRPr="00ED3C35">
        <w:rPr>
          <w:rFonts w:eastAsia="Times New Roman" w:cs="Times New Roman"/>
          <w:szCs w:val="24"/>
          <w:lang w:eastAsia="ru-RU"/>
        </w:rPr>
        <w:t> </w:t>
      </w:r>
      <w:r w:rsidRPr="00ED3C35">
        <w:rPr>
          <w:rFonts w:eastAsia="Times New Roman" w:cs="Times New Roman"/>
          <w:szCs w:val="24"/>
          <w:lang w:eastAsia="ru-RU"/>
        </w:rPr>
        <w:t xml:space="preserve">gada pirmajos sešos mēnešos identificētais finansējuma deficīts sasniedza vismaz 11,3 milj. </w:t>
      </w:r>
      <w:proofErr w:type="spellStart"/>
      <w:r w:rsidR="003B6DF9" w:rsidRPr="00ED3C35">
        <w:rPr>
          <w:rFonts w:eastAsia="Times New Roman" w:cs="Times New Roman"/>
          <w:i/>
          <w:szCs w:val="24"/>
          <w:lang w:eastAsia="ru-RU"/>
        </w:rPr>
        <w:t>euro</w:t>
      </w:r>
      <w:proofErr w:type="spellEnd"/>
      <w:r w:rsidRPr="00ED3C35">
        <w:rPr>
          <w:rFonts w:eastAsia="Times New Roman" w:cs="Times New Roman"/>
          <w:szCs w:val="24"/>
          <w:lang w:eastAsia="ru-RU"/>
        </w:rPr>
        <w:t xml:space="preserve">, </w:t>
      </w:r>
      <w:r w:rsidR="00C81471" w:rsidRPr="00ED3C35">
        <w:rPr>
          <w:rFonts w:eastAsia="Times New Roman" w:cs="Times New Roman"/>
          <w:szCs w:val="24"/>
          <w:lang w:eastAsia="ru-RU"/>
        </w:rPr>
        <w:t xml:space="preserve">bet neapmaksāto, jau sniegto pakalpojumu apjoms – 2,3 milj. </w:t>
      </w:r>
      <w:proofErr w:type="spellStart"/>
      <w:r w:rsidR="00C81471" w:rsidRPr="00ED3C35">
        <w:rPr>
          <w:rFonts w:eastAsia="Times New Roman" w:cs="Times New Roman"/>
          <w:i/>
          <w:iCs/>
          <w:szCs w:val="24"/>
          <w:lang w:eastAsia="ru-RU"/>
        </w:rPr>
        <w:t>euro</w:t>
      </w:r>
      <w:proofErr w:type="spellEnd"/>
      <w:r w:rsidR="00835E3A" w:rsidRPr="00ED3C35">
        <w:rPr>
          <w:rFonts w:eastAsia="Times New Roman" w:cs="Times New Roman"/>
          <w:szCs w:val="24"/>
          <w:lang w:eastAsia="ru-RU"/>
        </w:rPr>
        <w:t>.</w:t>
      </w:r>
    </w:p>
    <w:p w14:paraId="3325102A" w14:textId="4EACA611" w:rsidR="00DE505B" w:rsidRPr="00ED3C35" w:rsidRDefault="00036F28" w:rsidP="00831F8C">
      <w:pPr>
        <w:ind w:firstLine="708"/>
        <w:jc w:val="both"/>
        <w:rPr>
          <w:rFonts w:eastAsia="Times New Roman" w:cs="Times New Roman"/>
          <w:szCs w:val="24"/>
          <w:lang w:eastAsia="ru-RU"/>
        </w:rPr>
      </w:pPr>
      <w:r w:rsidRPr="00ED3C35">
        <w:rPr>
          <w:rFonts w:eastAsia="Times New Roman" w:cs="Times New Roman"/>
          <w:szCs w:val="24"/>
          <w:lang w:eastAsia="ru-RU"/>
        </w:rPr>
        <w:t>Minētie rādītāji liecina, ka, saglabājoties pašreizējiem valsts apmaksāto veselības aprūpes pakalpojumu finansēšanas nosacījumiem un tarifu pieejai, PSKUS finanšu stabilitātes nodrošināšana ilgtermiņā kļūs arvien sarežģītāka. Finansējuma neatbilstība var turpināt radīt spiedienu uz apgrozāmajiem līdzekļiem un ierobežot iespējas novirzīt pietiekamus resursus infrastruktūras un tehnoloģiskās bāzes atjaunošanai, kā arī jaunu un esošo veselības aprūpes pakalpojumu attīstībai. Tādēļ PSKUS ilgtermiņa finanšu stabilitātei būtiska ir tāda valsts apmaksāto veselības aprūpes pakalpojumu finansēšanas sistēma, kas nodrošina savlaicīgu tarifu un finansējuma pārskatīšanu atbilstoši faktiskajām pakalpojumu izmaksām, pacientu struktūras izmaiņām un izmaksu, tostarp inflācijas, pieaugumam.</w:t>
      </w:r>
    </w:p>
    <w:p w14:paraId="7A935280" w14:textId="44713356" w:rsidR="00995BC3" w:rsidRPr="00ED3C35" w:rsidRDefault="0037267D" w:rsidP="003B6DF9">
      <w:pPr>
        <w:ind w:firstLine="708"/>
        <w:jc w:val="both"/>
        <w:rPr>
          <w:rFonts w:cs="Times New Roman"/>
          <w:szCs w:val="24"/>
        </w:rPr>
      </w:pPr>
      <w:r w:rsidRPr="00ED3C35">
        <w:rPr>
          <w:rFonts w:cs="Times New Roman"/>
          <w:szCs w:val="24"/>
        </w:rPr>
        <w:t>Finansējuma atbilstība faktiskajām pakalpojumu izmaksām ir īpaši būtiska, ņemot vērā PSKUS kā V līmeņa slimnīcas lomu</w:t>
      </w:r>
      <w:r w:rsidR="00C332B7" w:rsidRPr="00ED3C35">
        <w:rPr>
          <w:rFonts w:cs="Times New Roman"/>
          <w:szCs w:val="24"/>
        </w:rPr>
        <w:t xml:space="preserve"> un pienākumu nodrošināt augstas sarežģītības pacientu ārstēšanu, ārstēšanas pēctecību, dzīvību uzturošas terapijas nepārtrauktību un nepieciešamo medikamentu pieejamību.</w:t>
      </w:r>
      <w:r w:rsidR="00995BC3" w:rsidRPr="00ED3C35">
        <w:rPr>
          <w:rFonts w:cs="Times New Roman"/>
          <w:szCs w:val="24"/>
        </w:rPr>
        <w:t xml:space="preserve"> </w:t>
      </w:r>
      <w:r w:rsidR="00C332B7" w:rsidRPr="00ED3C35">
        <w:rPr>
          <w:rFonts w:cs="Times New Roman"/>
          <w:szCs w:val="24"/>
        </w:rPr>
        <w:t>I</w:t>
      </w:r>
      <w:r w:rsidR="00995BC3" w:rsidRPr="00ED3C35">
        <w:rPr>
          <w:rFonts w:cs="Times New Roman"/>
          <w:szCs w:val="24"/>
        </w:rPr>
        <w:t xml:space="preserve">lgstoša neatbilstība starp sniegto pakalpojumu izmaksām un to finansējumu rada ne tikai finansiālu slogu, </w:t>
      </w:r>
      <w:r w:rsidR="00CB7C28" w:rsidRPr="00ED3C35">
        <w:rPr>
          <w:rFonts w:cs="Times New Roman"/>
          <w:szCs w:val="24"/>
        </w:rPr>
        <w:t>bet arī riskus PSKUS darbības stabilitātei un turpmākajai attīstībai.</w:t>
      </w:r>
      <w:r w:rsidR="000C7152" w:rsidRPr="00ED3C35">
        <w:rPr>
          <w:rFonts w:cs="Times New Roman"/>
          <w:szCs w:val="24"/>
        </w:rPr>
        <w:t xml:space="preserve"> </w:t>
      </w:r>
      <w:r w:rsidR="006F498E" w:rsidRPr="00ED3C35">
        <w:rPr>
          <w:rFonts w:cs="Times New Roman"/>
          <w:szCs w:val="24"/>
        </w:rPr>
        <w:t>Saglabājoties pašreizējiem finansēšanas nosacījumiem, PSKUS iespējas nodrošināt nepieciešamās investīcijas infrastruktūras un tehnoloģiskās bāzes atjaunošanā, attīstīt veselības aprūpes pakalpojumus un saglabāt nepieciešamo kapacitāti augstas sarežģītības pacientu ārstēšanai tiks būtiski ierobežotas.</w:t>
      </w:r>
    </w:p>
    <w:p w14:paraId="2FE9FAB8" w14:textId="77777777" w:rsidR="00DE505B" w:rsidRPr="00ED3C35" w:rsidRDefault="00DE505B" w:rsidP="00675B41">
      <w:pPr>
        <w:jc w:val="both"/>
        <w:rPr>
          <w:rFonts w:cs="Times New Roman"/>
          <w:szCs w:val="24"/>
        </w:rPr>
      </w:pPr>
      <w:bookmarkStart w:id="0" w:name="_GoBack"/>
      <w:bookmarkEnd w:id="0"/>
    </w:p>
    <w:p w14:paraId="70F1A639" w14:textId="35AD4E80" w:rsidR="00B85603" w:rsidRPr="00ED3C35" w:rsidRDefault="00B85603" w:rsidP="00831F8C">
      <w:pPr>
        <w:pStyle w:val="a3"/>
        <w:numPr>
          <w:ilvl w:val="0"/>
          <w:numId w:val="15"/>
        </w:numPr>
        <w:ind w:right="-1"/>
        <w:rPr>
          <w:rFonts w:cs="Times New Roman"/>
          <w:b/>
          <w:szCs w:val="24"/>
        </w:rPr>
      </w:pPr>
      <w:r w:rsidRPr="00ED3C35">
        <w:rPr>
          <w:rFonts w:cs="Times New Roman"/>
          <w:b/>
          <w:szCs w:val="24"/>
        </w:rPr>
        <w:t>Priekšlikumi turpmākajai rīcībai</w:t>
      </w:r>
    </w:p>
    <w:p w14:paraId="3E44280E" w14:textId="77777777" w:rsidR="00DE505B" w:rsidRPr="00ED3C35" w:rsidRDefault="00DE505B" w:rsidP="00DE505B">
      <w:pPr>
        <w:pStyle w:val="a3"/>
        <w:ind w:left="1068" w:right="-1"/>
        <w:rPr>
          <w:rFonts w:cs="Times New Roman"/>
          <w:b/>
          <w:szCs w:val="24"/>
        </w:rPr>
      </w:pPr>
    </w:p>
    <w:p w14:paraId="0182C236" w14:textId="77777777" w:rsidR="00B85603" w:rsidRPr="00ED3C35" w:rsidRDefault="00B85603" w:rsidP="00696864">
      <w:pPr>
        <w:ind w:right="-1"/>
        <w:jc w:val="both"/>
        <w:rPr>
          <w:rFonts w:cs="Times New Roman"/>
          <w:szCs w:val="24"/>
        </w:rPr>
      </w:pPr>
      <w:r w:rsidRPr="00ED3C35">
        <w:rPr>
          <w:rFonts w:cs="Times New Roman"/>
          <w:szCs w:val="24"/>
        </w:rPr>
        <w:t>Ņemot vērā iepriekš minēto, VM aicina Ministru kabinetu:</w:t>
      </w:r>
    </w:p>
    <w:p w14:paraId="10613B81" w14:textId="7F254D43" w:rsidR="00B85603" w:rsidRPr="00ED3C35" w:rsidRDefault="00DE505B" w:rsidP="002E5994">
      <w:pPr>
        <w:pStyle w:val="a3"/>
        <w:numPr>
          <w:ilvl w:val="0"/>
          <w:numId w:val="10"/>
        </w:numPr>
        <w:ind w:left="426" w:right="-1"/>
        <w:jc w:val="both"/>
        <w:rPr>
          <w:rFonts w:cs="Times New Roman"/>
          <w:szCs w:val="24"/>
        </w:rPr>
      </w:pPr>
      <w:r w:rsidRPr="00ED3C35">
        <w:rPr>
          <w:rFonts w:cs="Times New Roman"/>
          <w:szCs w:val="24"/>
        </w:rPr>
        <w:t>pieņemt zināšanai Veselības ministrijas iesniegto informatīvo ziņojumu “</w:t>
      </w:r>
      <w:r w:rsidR="002E5994" w:rsidRPr="002E5994">
        <w:rPr>
          <w:rFonts w:cs="Times New Roman"/>
          <w:szCs w:val="24"/>
        </w:rPr>
        <w:t xml:space="preserve">Par valsts sabiedrības ar ierobežotu atbildību "Paula Stradiņa klīniskā universitātes slimnīca" plānoto fiskālo ietekmi uz vispārējās valdības budžeta bilanci </w:t>
      </w:r>
      <w:proofErr w:type="gramStart"/>
      <w:r w:rsidR="002E5994" w:rsidRPr="002E5994">
        <w:rPr>
          <w:rFonts w:cs="Times New Roman"/>
          <w:szCs w:val="24"/>
        </w:rPr>
        <w:t>2026. – 2030.</w:t>
      </w:r>
      <w:proofErr w:type="gramEnd"/>
      <w:r w:rsidR="002E5994" w:rsidRPr="002E5994">
        <w:rPr>
          <w:rFonts w:cs="Times New Roman"/>
          <w:szCs w:val="24"/>
        </w:rPr>
        <w:t xml:space="preserve"> gadā</w:t>
      </w:r>
      <w:r w:rsidRPr="00ED3C35">
        <w:rPr>
          <w:rFonts w:cs="Times New Roman"/>
          <w:szCs w:val="24"/>
        </w:rPr>
        <w:t>”;</w:t>
      </w:r>
    </w:p>
    <w:p w14:paraId="7D348BF1" w14:textId="710C3CA7" w:rsidR="00B85603" w:rsidRPr="00ED3C35" w:rsidRDefault="00397DB5" w:rsidP="00DE505B">
      <w:pPr>
        <w:pStyle w:val="a3"/>
        <w:numPr>
          <w:ilvl w:val="0"/>
          <w:numId w:val="10"/>
        </w:numPr>
        <w:ind w:left="426" w:right="-1"/>
        <w:jc w:val="both"/>
        <w:rPr>
          <w:szCs w:val="24"/>
        </w:rPr>
      </w:pPr>
      <w:r w:rsidRPr="00ED3C35">
        <w:rPr>
          <w:rFonts w:cs="Times New Roman"/>
          <w:szCs w:val="24"/>
        </w:rPr>
        <w:t>pieņemt zināšanai, ka valsts sabiedrības ar ierobežotu atbildību "Paula Stradiņa klīniskā universitātes sli</w:t>
      </w:r>
      <w:r w:rsidR="002E5994">
        <w:rPr>
          <w:rFonts w:cs="Times New Roman"/>
          <w:szCs w:val="24"/>
        </w:rPr>
        <w:t>mnīca"</w:t>
      </w:r>
      <w:r w:rsidRPr="00ED3C35">
        <w:rPr>
          <w:rFonts w:cs="Times New Roman"/>
          <w:szCs w:val="24"/>
        </w:rPr>
        <w:t xml:space="preserve"> ietekme uz vispārējās valdības budžeta bilanci 2026. gadā ir - </w:t>
      </w:r>
      <w:r w:rsidRPr="00ED3C35">
        <w:rPr>
          <w:rFonts w:cs="Times New Roman"/>
          <w:szCs w:val="24"/>
        </w:rPr>
        <w:lastRenderedPageBreak/>
        <w:t>7 433 768  </w:t>
      </w:r>
      <w:proofErr w:type="spellStart"/>
      <w:r w:rsidRPr="00ED3C35">
        <w:rPr>
          <w:rFonts w:cs="Times New Roman"/>
          <w:i/>
          <w:iCs/>
          <w:szCs w:val="24"/>
        </w:rPr>
        <w:t>euro</w:t>
      </w:r>
      <w:proofErr w:type="spellEnd"/>
      <w:r w:rsidRPr="00ED3C35">
        <w:rPr>
          <w:rFonts w:cs="Times New Roman"/>
          <w:szCs w:val="24"/>
        </w:rPr>
        <w:t>, 2027. gadā - 8 607 110 </w:t>
      </w:r>
      <w:proofErr w:type="spellStart"/>
      <w:r w:rsidRPr="00ED3C35">
        <w:rPr>
          <w:rFonts w:cs="Times New Roman"/>
          <w:i/>
          <w:iCs/>
          <w:szCs w:val="24"/>
        </w:rPr>
        <w:t>euro</w:t>
      </w:r>
      <w:proofErr w:type="spellEnd"/>
      <w:r w:rsidRPr="00ED3C35">
        <w:rPr>
          <w:rFonts w:cs="Times New Roman"/>
          <w:szCs w:val="24"/>
        </w:rPr>
        <w:t xml:space="preserve">, 2028. </w:t>
      </w:r>
      <w:proofErr w:type="gramStart"/>
      <w:r w:rsidRPr="00ED3C35">
        <w:rPr>
          <w:rFonts w:cs="Times New Roman"/>
          <w:szCs w:val="24"/>
        </w:rPr>
        <w:t>gadā -9</w:t>
      </w:r>
      <w:proofErr w:type="gramEnd"/>
      <w:r w:rsidRPr="00ED3C35">
        <w:rPr>
          <w:rFonts w:cs="Times New Roman"/>
          <w:szCs w:val="24"/>
        </w:rPr>
        <w:t xml:space="preserve"> 716 731 </w:t>
      </w:r>
      <w:proofErr w:type="spellStart"/>
      <w:r w:rsidRPr="00ED3C35">
        <w:rPr>
          <w:rFonts w:cs="Times New Roman"/>
          <w:i/>
          <w:iCs/>
          <w:szCs w:val="24"/>
        </w:rPr>
        <w:t>euro</w:t>
      </w:r>
      <w:proofErr w:type="spellEnd"/>
      <w:r w:rsidRPr="00ED3C35">
        <w:rPr>
          <w:rFonts w:cs="Times New Roman"/>
          <w:szCs w:val="24"/>
        </w:rPr>
        <w:t>, 2029. gadā -6 373 805 </w:t>
      </w:r>
      <w:proofErr w:type="spellStart"/>
      <w:r w:rsidRPr="00ED3C35">
        <w:rPr>
          <w:rFonts w:cs="Times New Roman"/>
          <w:i/>
          <w:iCs/>
          <w:szCs w:val="24"/>
        </w:rPr>
        <w:t>euro</w:t>
      </w:r>
      <w:proofErr w:type="spellEnd"/>
      <w:r w:rsidRPr="00ED3C35">
        <w:rPr>
          <w:rFonts w:cs="Times New Roman"/>
          <w:szCs w:val="24"/>
        </w:rPr>
        <w:t xml:space="preserve"> un 2030. gadā - 4 545 947 </w:t>
      </w:r>
      <w:proofErr w:type="spellStart"/>
      <w:r w:rsidRPr="00ED3C35">
        <w:rPr>
          <w:rFonts w:cs="Times New Roman"/>
          <w:i/>
          <w:iCs/>
          <w:szCs w:val="24"/>
        </w:rPr>
        <w:t>euro</w:t>
      </w:r>
      <w:proofErr w:type="spellEnd"/>
      <w:r w:rsidR="00FB2E72" w:rsidRPr="00ED3C35">
        <w:rPr>
          <w:rFonts w:cs="Times New Roman"/>
          <w:szCs w:val="24"/>
        </w:rPr>
        <w:t>;</w:t>
      </w:r>
    </w:p>
    <w:p w14:paraId="0547EBC0" w14:textId="4BD33F21" w:rsidR="00FB2E72" w:rsidRPr="00ED3C35" w:rsidRDefault="002E5994" w:rsidP="00DE505B">
      <w:pPr>
        <w:pStyle w:val="a3"/>
        <w:numPr>
          <w:ilvl w:val="0"/>
          <w:numId w:val="10"/>
        </w:numPr>
        <w:ind w:left="426" w:right="-1"/>
        <w:jc w:val="both"/>
        <w:rPr>
          <w:szCs w:val="24"/>
        </w:rPr>
      </w:pPr>
      <w:r>
        <w:rPr>
          <w:szCs w:val="24"/>
        </w:rPr>
        <w:t>pieņemt zināšanai, ka Finanšu ministrija</w:t>
      </w:r>
      <w:r w:rsidR="00FB2E72" w:rsidRPr="00ED3C35">
        <w:rPr>
          <w:szCs w:val="24"/>
        </w:rPr>
        <w:t>, izstrādājot likumprojektu “Par valsts budžetu 2027. gadam un budžeta ietvaru 2027., 20</w:t>
      </w:r>
      <w:r>
        <w:rPr>
          <w:szCs w:val="24"/>
        </w:rPr>
        <w:t>28., 2029. un 2030. gadam”, ņem vērā</w:t>
      </w:r>
      <w:r w:rsidR="00FB2E72" w:rsidRPr="00ED3C35">
        <w:rPr>
          <w:szCs w:val="24"/>
        </w:rPr>
        <w:t xml:space="preserve"> 2. punktā norādīto VSIA "Paula </w:t>
      </w:r>
      <w:proofErr w:type="gramStart"/>
      <w:r w:rsidR="00FB2E72" w:rsidRPr="00ED3C35">
        <w:rPr>
          <w:szCs w:val="24"/>
        </w:rPr>
        <w:t>Stradiņa klīniskā universitātes slimnīca</w:t>
      </w:r>
      <w:proofErr w:type="gramEnd"/>
      <w:r w:rsidR="00FB2E72" w:rsidRPr="00ED3C35">
        <w:rPr>
          <w:szCs w:val="24"/>
        </w:rPr>
        <w:t>" ietekmi uz vispārējās valdības budžeta bilanci.</w:t>
      </w:r>
    </w:p>
    <w:p w14:paraId="1DE7DDE4" w14:textId="77777777" w:rsidR="006F4C61" w:rsidRPr="00ED3C35" w:rsidRDefault="006F4C61" w:rsidP="003B6DF9">
      <w:pPr>
        <w:ind w:right="-1"/>
        <w:jc w:val="both"/>
        <w:rPr>
          <w:szCs w:val="24"/>
        </w:rPr>
      </w:pPr>
    </w:p>
    <w:p w14:paraId="4480F6B4" w14:textId="62D0AE91" w:rsidR="00A4306B" w:rsidRPr="00ED3C35" w:rsidRDefault="00A4306B" w:rsidP="003735C9">
      <w:pPr>
        <w:ind w:right="-1" w:firstLine="720"/>
        <w:jc w:val="both"/>
        <w:rPr>
          <w:szCs w:val="24"/>
        </w:rPr>
      </w:pPr>
      <w:r w:rsidRPr="00ED3C35">
        <w:rPr>
          <w:szCs w:val="24"/>
        </w:rPr>
        <w:t xml:space="preserve">Pielikumā: Anketa par Kapitālsabiedrības ietekmi uz vispārējās valdības sektora budžeta bilanci un parādu (iesniegšanas periods - 2026.gada 2.pusgads) periodā no 2026. gada līdz 2030. gadam (datne: </w:t>
      </w:r>
      <w:r w:rsidR="009A0BAE" w:rsidRPr="009A0BAE">
        <w:rPr>
          <w:szCs w:val="24"/>
        </w:rPr>
        <w:t>VMzinp_170926_PSKUS_zaudejumi_2026-2030</w:t>
      </w:r>
      <w:r w:rsidRPr="00ED3C35">
        <w:rPr>
          <w:szCs w:val="24"/>
        </w:rPr>
        <w:t>.xlsx).</w:t>
      </w:r>
    </w:p>
    <w:p w14:paraId="02171C02" w14:textId="77777777" w:rsidR="00502BCA" w:rsidRPr="00ED3C35" w:rsidRDefault="00502BCA" w:rsidP="003B6DF9">
      <w:pPr>
        <w:ind w:right="-1" w:firstLine="567"/>
        <w:jc w:val="both"/>
        <w:rPr>
          <w:szCs w:val="24"/>
        </w:rPr>
      </w:pPr>
    </w:p>
    <w:p w14:paraId="2F2AABBF" w14:textId="77777777" w:rsidR="00A4306B" w:rsidRPr="00ED3C35" w:rsidRDefault="00A4306B" w:rsidP="003B6DF9">
      <w:pPr>
        <w:ind w:right="-1" w:firstLine="567"/>
        <w:jc w:val="both"/>
        <w:rPr>
          <w:szCs w:val="24"/>
        </w:rPr>
      </w:pPr>
    </w:p>
    <w:p w14:paraId="1BD64616" w14:textId="317E3596" w:rsidR="002D7E71" w:rsidRPr="00ED3C35" w:rsidRDefault="002D7E71" w:rsidP="002D7E71">
      <w:pPr>
        <w:jc w:val="both"/>
        <w:rPr>
          <w:rFonts w:cs="Times New Roman"/>
          <w:szCs w:val="24"/>
        </w:rPr>
      </w:pPr>
      <w:r w:rsidRPr="00ED3C35">
        <w:rPr>
          <w:rFonts w:cs="Times New Roman"/>
          <w:szCs w:val="24"/>
        </w:rPr>
        <w:t xml:space="preserve">Veselības ministrs </w:t>
      </w:r>
      <w:r w:rsidRPr="00ED3C35">
        <w:rPr>
          <w:rFonts w:cs="Times New Roman"/>
          <w:szCs w:val="24"/>
        </w:rPr>
        <w:tab/>
      </w:r>
      <w:r w:rsidRPr="00ED3C35">
        <w:rPr>
          <w:rFonts w:cs="Times New Roman"/>
          <w:szCs w:val="24"/>
        </w:rPr>
        <w:tab/>
      </w:r>
      <w:r w:rsidRPr="00ED3C35">
        <w:rPr>
          <w:rFonts w:cs="Times New Roman"/>
          <w:szCs w:val="24"/>
        </w:rPr>
        <w:tab/>
      </w:r>
      <w:r w:rsidRPr="00ED3C35">
        <w:rPr>
          <w:rFonts w:cs="Times New Roman"/>
          <w:szCs w:val="24"/>
        </w:rPr>
        <w:tab/>
      </w:r>
      <w:r w:rsidRPr="00ED3C35">
        <w:rPr>
          <w:rFonts w:cs="Times New Roman"/>
          <w:szCs w:val="24"/>
        </w:rPr>
        <w:tab/>
      </w:r>
      <w:r w:rsidRPr="00ED3C35">
        <w:rPr>
          <w:rFonts w:cs="Times New Roman"/>
          <w:szCs w:val="24"/>
        </w:rPr>
        <w:tab/>
      </w:r>
      <w:r w:rsidRPr="00ED3C35">
        <w:rPr>
          <w:rFonts w:cs="Times New Roman"/>
          <w:szCs w:val="24"/>
        </w:rPr>
        <w:tab/>
      </w:r>
      <w:r w:rsidRPr="00ED3C35">
        <w:rPr>
          <w:rFonts w:cs="Times New Roman"/>
          <w:szCs w:val="24"/>
        </w:rPr>
        <w:tab/>
      </w:r>
      <w:proofErr w:type="spellStart"/>
      <w:r w:rsidRPr="00ED3C35">
        <w:rPr>
          <w:rFonts w:cs="Times New Roman"/>
          <w:szCs w:val="24"/>
        </w:rPr>
        <w:t>Hosams</w:t>
      </w:r>
      <w:proofErr w:type="spellEnd"/>
      <w:r w:rsidRPr="00ED3C35">
        <w:rPr>
          <w:rFonts w:cs="Times New Roman"/>
          <w:szCs w:val="24"/>
        </w:rPr>
        <w:t xml:space="preserve"> Abu </w:t>
      </w:r>
      <w:proofErr w:type="spellStart"/>
      <w:r w:rsidRPr="00ED3C35">
        <w:rPr>
          <w:rFonts w:cs="Times New Roman"/>
          <w:szCs w:val="24"/>
        </w:rPr>
        <w:t>Meri</w:t>
      </w:r>
      <w:proofErr w:type="spellEnd"/>
    </w:p>
    <w:p w14:paraId="650F7B1D" w14:textId="77777777" w:rsidR="00CF101D" w:rsidRPr="00ED3C35" w:rsidRDefault="00CF101D" w:rsidP="003B6DF9">
      <w:pPr>
        <w:ind w:right="-1"/>
        <w:jc w:val="both"/>
        <w:rPr>
          <w:rFonts w:eastAsia="Times New Roman" w:cs="Times New Roman"/>
          <w:szCs w:val="24"/>
          <w:lang w:eastAsia="lv-LV"/>
        </w:rPr>
      </w:pPr>
    </w:p>
    <w:p w14:paraId="1DF3069E" w14:textId="77777777" w:rsidR="00222C70" w:rsidRPr="00ED3C35" w:rsidRDefault="00222C70" w:rsidP="003B6DF9">
      <w:pPr>
        <w:ind w:right="-1"/>
        <w:jc w:val="both"/>
        <w:rPr>
          <w:rFonts w:eastAsia="Times New Roman" w:cs="Times New Roman"/>
          <w:szCs w:val="24"/>
          <w:lang w:eastAsia="lv-LV"/>
        </w:rPr>
      </w:pPr>
    </w:p>
    <w:p w14:paraId="0F519146" w14:textId="77777777" w:rsidR="00222C70" w:rsidRPr="00ED3C35" w:rsidRDefault="00222C70" w:rsidP="003B6DF9">
      <w:pPr>
        <w:ind w:right="-1"/>
        <w:jc w:val="both"/>
        <w:rPr>
          <w:rFonts w:eastAsia="Times New Roman" w:cs="Times New Roman"/>
          <w:szCs w:val="24"/>
          <w:lang w:eastAsia="lv-LV"/>
        </w:rPr>
      </w:pPr>
    </w:p>
    <w:p w14:paraId="473EF4E9" w14:textId="77777777" w:rsidR="00222C70" w:rsidRPr="00ED3C35" w:rsidRDefault="00222C70" w:rsidP="003B6DF9">
      <w:pPr>
        <w:ind w:right="-1"/>
        <w:jc w:val="both"/>
        <w:rPr>
          <w:rFonts w:eastAsia="Times New Roman" w:cs="Times New Roman"/>
          <w:szCs w:val="24"/>
          <w:lang w:eastAsia="lv-LV"/>
        </w:rPr>
      </w:pPr>
    </w:p>
    <w:p w14:paraId="55465740" w14:textId="77777777" w:rsidR="00222C70" w:rsidRPr="00ED3C35" w:rsidRDefault="00222C70" w:rsidP="003B6DF9">
      <w:pPr>
        <w:ind w:right="-1"/>
        <w:jc w:val="both"/>
        <w:rPr>
          <w:rFonts w:eastAsia="Times New Roman" w:cs="Times New Roman"/>
          <w:szCs w:val="24"/>
          <w:lang w:eastAsia="lv-LV"/>
        </w:rPr>
      </w:pPr>
    </w:p>
    <w:p w14:paraId="068E0C78" w14:textId="77777777" w:rsidR="00222C70" w:rsidRPr="00ED3C35" w:rsidRDefault="00222C70" w:rsidP="003B6DF9">
      <w:pPr>
        <w:ind w:right="-1"/>
        <w:jc w:val="both"/>
        <w:rPr>
          <w:rFonts w:eastAsia="Times New Roman" w:cs="Times New Roman"/>
          <w:szCs w:val="24"/>
          <w:lang w:eastAsia="lv-LV"/>
        </w:rPr>
      </w:pPr>
    </w:p>
    <w:p w14:paraId="1280FF62" w14:textId="77777777" w:rsidR="00222C70" w:rsidRPr="00ED3C35" w:rsidRDefault="00222C70" w:rsidP="003B6DF9">
      <w:pPr>
        <w:ind w:right="-1"/>
        <w:jc w:val="both"/>
        <w:rPr>
          <w:rFonts w:eastAsia="Times New Roman" w:cs="Times New Roman"/>
          <w:szCs w:val="24"/>
          <w:lang w:eastAsia="lv-LV"/>
        </w:rPr>
      </w:pPr>
    </w:p>
    <w:p w14:paraId="79D21762" w14:textId="77777777" w:rsidR="00222C70" w:rsidRPr="00ED3C35" w:rsidRDefault="00222C70" w:rsidP="003B6DF9">
      <w:pPr>
        <w:ind w:right="-1"/>
        <w:jc w:val="both"/>
        <w:rPr>
          <w:rFonts w:eastAsia="Times New Roman" w:cs="Times New Roman"/>
          <w:szCs w:val="24"/>
          <w:lang w:eastAsia="lv-LV"/>
        </w:rPr>
      </w:pPr>
    </w:p>
    <w:p w14:paraId="126B4B76" w14:textId="77777777" w:rsidR="002D7FE2" w:rsidRPr="00ED3C35" w:rsidRDefault="002D7FE2" w:rsidP="003B6DF9">
      <w:pPr>
        <w:ind w:right="-1"/>
        <w:jc w:val="both"/>
        <w:rPr>
          <w:rFonts w:eastAsia="Calibri" w:cs="Times New Roman"/>
          <w:szCs w:val="24"/>
        </w:rPr>
      </w:pPr>
    </w:p>
    <w:sectPr w:rsidR="002D7FE2" w:rsidRPr="00ED3C35" w:rsidSect="00B308D6">
      <w:headerReference w:type="default" r:id="rId9"/>
      <w:footerReference w:type="default" r:id="rId10"/>
      <w:footerReference w:type="first" r:id="rId11"/>
      <w:pgSz w:w="11906" w:h="16838"/>
      <w:pgMar w:top="1418" w:right="1134" w:bottom="1134" w:left="1701" w:header="567"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E14CB" w14:textId="77777777" w:rsidR="00E4019C" w:rsidRDefault="00E4019C" w:rsidP="004B4E3F">
      <w:r>
        <w:separator/>
      </w:r>
    </w:p>
  </w:endnote>
  <w:endnote w:type="continuationSeparator" w:id="0">
    <w:p w14:paraId="1091895A" w14:textId="77777777" w:rsidR="00E4019C" w:rsidRDefault="00E4019C" w:rsidP="004B4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crosoft Uighur">
    <w:panose1 w:val="02000000000000000000"/>
    <w:charset w:val="00"/>
    <w:family w:val="auto"/>
    <w:pitch w:val="variable"/>
    <w:sig w:usb0="80002023" w:usb1="80000002" w:usb2="00000008" w:usb3="00000000" w:csb0="0000004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37CA0" w14:textId="42296495" w:rsidR="00B1449D" w:rsidRPr="00AA5693" w:rsidRDefault="00675B41" w:rsidP="00CE7D28">
    <w:pPr>
      <w:pStyle w:val="a7"/>
      <w:rPr>
        <w:sz w:val="20"/>
        <w:szCs w:val="20"/>
      </w:rPr>
    </w:pPr>
    <w:r>
      <w:rPr>
        <w:sz w:val="20"/>
        <w:szCs w:val="20"/>
      </w:rPr>
      <w:t>VMzin_1</w:t>
    </w:r>
    <w:r w:rsidR="003735C9">
      <w:rPr>
        <w:sz w:val="20"/>
        <w:szCs w:val="20"/>
      </w:rPr>
      <w:t>910</w:t>
    </w:r>
    <w:r>
      <w:rPr>
        <w:sz w:val="20"/>
        <w:szCs w:val="20"/>
      </w:rPr>
      <w:t>26_PSKUS_zaud</w:t>
    </w:r>
  </w:p>
  <w:p w14:paraId="1D300C0F" w14:textId="3991B243" w:rsidR="004B4E3F" w:rsidRPr="00CE7D28" w:rsidRDefault="004B4E3F" w:rsidP="00CE7D2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97F06" w14:textId="3350AF8E" w:rsidR="00AB4AA5" w:rsidRPr="00AA5693" w:rsidRDefault="00AA5693" w:rsidP="00AA5693">
    <w:pPr>
      <w:pStyle w:val="a7"/>
      <w:rPr>
        <w:sz w:val="20"/>
        <w:szCs w:val="20"/>
      </w:rPr>
    </w:pPr>
    <w:r>
      <w:rPr>
        <w:sz w:val="20"/>
        <w:szCs w:val="20"/>
      </w:rPr>
      <w:t>VMzin_</w:t>
    </w:r>
    <w:r w:rsidR="003735C9">
      <w:rPr>
        <w:sz w:val="20"/>
        <w:szCs w:val="20"/>
      </w:rPr>
      <w:t>1910</w:t>
    </w:r>
    <w:r w:rsidR="00675B41">
      <w:rPr>
        <w:sz w:val="20"/>
        <w:szCs w:val="20"/>
      </w:rPr>
      <w:t>26</w:t>
    </w:r>
    <w:r>
      <w:rPr>
        <w:sz w:val="20"/>
        <w:szCs w:val="20"/>
      </w:rPr>
      <w:t>_</w:t>
    </w:r>
    <w:r w:rsidR="00675B41">
      <w:rPr>
        <w:sz w:val="20"/>
        <w:szCs w:val="20"/>
      </w:rPr>
      <w:t>PSKUS</w:t>
    </w:r>
    <w:r w:rsidR="000C1693">
      <w:rPr>
        <w:sz w:val="20"/>
        <w:szCs w:val="20"/>
      </w:rPr>
      <w:t>_</w:t>
    </w:r>
    <w:r w:rsidR="00CE7D28">
      <w:rPr>
        <w:sz w:val="20"/>
        <w:szCs w:val="20"/>
      </w:rPr>
      <w:t>zaud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088F83" w14:textId="77777777" w:rsidR="00E4019C" w:rsidRDefault="00E4019C" w:rsidP="004B4E3F">
      <w:r>
        <w:separator/>
      </w:r>
    </w:p>
  </w:footnote>
  <w:footnote w:type="continuationSeparator" w:id="0">
    <w:p w14:paraId="21AA334C" w14:textId="77777777" w:rsidR="00E4019C" w:rsidRDefault="00E4019C" w:rsidP="004B4E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856220"/>
      <w:docPartObj>
        <w:docPartGallery w:val="Page Numbers (Top of Page)"/>
        <w:docPartUnique/>
      </w:docPartObj>
    </w:sdtPr>
    <w:sdtEndPr>
      <w:rPr>
        <w:noProof/>
      </w:rPr>
    </w:sdtEndPr>
    <w:sdtContent>
      <w:p w14:paraId="4A7CAEA2" w14:textId="64AB613C" w:rsidR="009D5C1C" w:rsidRDefault="009D5C1C">
        <w:pPr>
          <w:pStyle w:val="a5"/>
          <w:jc w:val="center"/>
        </w:pPr>
        <w:r>
          <w:fldChar w:fldCharType="begin"/>
        </w:r>
        <w:r>
          <w:instrText xml:space="preserve"> PAGE   \* MERGEFORMAT </w:instrText>
        </w:r>
        <w:r>
          <w:fldChar w:fldCharType="separate"/>
        </w:r>
        <w:r w:rsidR="002A0517">
          <w:rPr>
            <w:noProof/>
          </w:rPr>
          <w:t>4</w:t>
        </w:r>
        <w:r>
          <w:rPr>
            <w:noProof/>
          </w:rPr>
          <w:fldChar w:fldCharType="end"/>
        </w:r>
      </w:p>
    </w:sdtContent>
  </w:sdt>
  <w:p w14:paraId="2C444828" w14:textId="77777777" w:rsidR="009D5C1C" w:rsidRPr="006D541A" w:rsidRDefault="009D5C1C">
    <w:pPr>
      <w:pStyle w:val="a5"/>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F179A"/>
    <w:multiLevelType w:val="hybridMultilevel"/>
    <w:tmpl w:val="B6402692"/>
    <w:lvl w:ilvl="0" w:tplc="2D848ED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nsid w:val="043E7EBD"/>
    <w:multiLevelType w:val="hybridMultilevel"/>
    <w:tmpl w:val="F76EBA12"/>
    <w:lvl w:ilvl="0" w:tplc="04260001">
      <w:start w:val="1"/>
      <w:numFmt w:val="bullet"/>
      <w:lvlText w:val=""/>
      <w:lvlJc w:val="left"/>
      <w:pPr>
        <w:ind w:left="294" w:hanging="360"/>
      </w:pPr>
      <w:rPr>
        <w:rFonts w:ascii="Symbol" w:hAnsi="Symbol" w:hint="default"/>
      </w:rPr>
    </w:lvl>
    <w:lvl w:ilvl="1" w:tplc="04260003" w:tentative="1">
      <w:start w:val="1"/>
      <w:numFmt w:val="bullet"/>
      <w:lvlText w:val="o"/>
      <w:lvlJc w:val="left"/>
      <w:pPr>
        <w:ind w:left="1014" w:hanging="360"/>
      </w:pPr>
      <w:rPr>
        <w:rFonts w:ascii="Courier New" w:hAnsi="Courier New" w:cs="Courier New" w:hint="default"/>
      </w:rPr>
    </w:lvl>
    <w:lvl w:ilvl="2" w:tplc="04260005" w:tentative="1">
      <w:start w:val="1"/>
      <w:numFmt w:val="bullet"/>
      <w:lvlText w:val=""/>
      <w:lvlJc w:val="left"/>
      <w:pPr>
        <w:ind w:left="1734" w:hanging="360"/>
      </w:pPr>
      <w:rPr>
        <w:rFonts w:ascii="Wingdings" w:hAnsi="Wingdings" w:hint="default"/>
      </w:rPr>
    </w:lvl>
    <w:lvl w:ilvl="3" w:tplc="04260001" w:tentative="1">
      <w:start w:val="1"/>
      <w:numFmt w:val="bullet"/>
      <w:lvlText w:val=""/>
      <w:lvlJc w:val="left"/>
      <w:pPr>
        <w:ind w:left="2454" w:hanging="360"/>
      </w:pPr>
      <w:rPr>
        <w:rFonts w:ascii="Symbol" w:hAnsi="Symbol" w:hint="default"/>
      </w:rPr>
    </w:lvl>
    <w:lvl w:ilvl="4" w:tplc="04260003" w:tentative="1">
      <w:start w:val="1"/>
      <w:numFmt w:val="bullet"/>
      <w:lvlText w:val="o"/>
      <w:lvlJc w:val="left"/>
      <w:pPr>
        <w:ind w:left="3174" w:hanging="360"/>
      </w:pPr>
      <w:rPr>
        <w:rFonts w:ascii="Courier New" w:hAnsi="Courier New" w:cs="Courier New" w:hint="default"/>
      </w:rPr>
    </w:lvl>
    <w:lvl w:ilvl="5" w:tplc="04260005" w:tentative="1">
      <w:start w:val="1"/>
      <w:numFmt w:val="bullet"/>
      <w:lvlText w:val=""/>
      <w:lvlJc w:val="left"/>
      <w:pPr>
        <w:ind w:left="3894" w:hanging="360"/>
      </w:pPr>
      <w:rPr>
        <w:rFonts w:ascii="Wingdings" w:hAnsi="Wingdings" w:hint="default"/>
      </w:rPr>
    </w:lvl>
    <w:lvl w:ilvl="6" w:tplc="04260001" w:tentative="1">
      <w:start w:val="1"/>
      <w:numFmt w:val="bullet"/>
      <w:lvlText w:val=""/>
      <w:lvlJc w:val="left"/>
      <w:pPr>
        <w:ind w:left="4614" w:hanging="360"/>
      </w:pPr>
      <w:rPr>
        <w:rFonts w:ascii="Symbol" w:hAnsi="Symbol" w:hint="default"/>
      </w:rPr>
    </w:lvl>
    <w:lvl w:ilvl="7" w:tplc="04260003" w:tentative="1">
      <w:start w:val="1"/>
      <w:numFmt w:val="bullet"/>
      <w:lvlText w:val="o"/>
      <w:lvlJc w:val="left"/>
      <w:pPr>
        <w:ind w:left="5334" w:hanging="360"/>
      </w:pPr>
      <w:rPr>
        <w:rFonts w:ascii="Courier New" w:hAnsi="Courier New" w:cs="Courier New" w:hint="default"/>
      </w:rPr>
    </w:lvl>
    <w:lvl w:ilvl="8" w:tplc="04260005" w:tentative="1">
      <w:start w:val="1"/>
      <w:numFmt w:val="bullet"/>
      <w:lvlText w:val=""/>
      <w:lvlJc w:val="left"/>
      <w:pPr>
        <w:ind w:left="6054" w:hanging="360"/>
      </w:pPr>
      <w:rPr>
        <w:rFonts w:ascii="Wingdings" w:hAnsi="Wingdings" w:hint="default"/>
      </w:rPr>
    </w:lvl>
  </w:abstractNum>
  <w:abstractNum w:abstractNumId="2">
    <w:nsid w:val="07393754"/>
    <w:multiLevelType w:val="hybridMultilevel"/>
    <w:tmpl w:val="A186135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nsid w:val="0A976A14"/>
    <w:multiLevelType w:val="hybridMultilevel"/>
    <w:tmpl w:val="EDD0E0B0"/>
    <w:lvl w:ilvl="0" w:tplc="04190013">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A45B92"/>
    <w:multiLevelType w:val="multilevel"/>
    <w:tmpl w:val="5FB2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6123A4"/>
    <w:multiLevelType w:val="hybridMultilevel"/>
    <w:tmpl w:val="2782F79E"/>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966713D"/>
    <w:multiLevelType w:val="multilevel"/>
    <w:tmpl w:val="BE7E7FA2"/>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E1B7E07"/>
    <w:multiLevelType w:val="hybridMultilevel"/>
    <w:tmpl w:val="A1C4723A"/>
    <w:lvl w:ilvl="0" w:tplc="49A475F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2FF91262"/>
    <w:multiLevelType w:val="hybridMultilevel"/>
    <w:tmpl w:val="E27EABA2"/>
    <w:lvl w:ilvl="0" w:tplc="EEC0F59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42EC0AFF"/>
    <w:multiLevelType w:val="multilevel"/>
    <w:tmpl w:val="29C4C8F6"/>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30D0E5C"/>
    <w:multiLevelType w:val="hybridMultilevel"/>
    <w:tmpl w:val="2CEA51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44CE6305"/>
    <w:multiLevelType w:val="hybridMultilevel"/>
    <w:tmpl w:val="7E46C8AA"/>
    <w:lvl w:ilvl="0" w:tplc="C7BADE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AA95771"/>
    <w:multiLevelType w:val="hybridMultilevel"/>
    <w:tmpl w:val="C1E89294"/>
    <w:lvl w:ilvl="0" w:tplc="0426000F">
      <w:start w:val="1"/>
      <w:numFmt w:val="decimal"/>
      <w:lvlText w:val="%1."/>
      <w:lvlJc w:val="left"/>
      <w:pPr>
        <w:ind w:left="1287" w:hanging="360"/>
      </w:pPr>
      <w:rPr>
        <w:rFonts w:hint="default"/>
      </w:rPr>
    </w:lvl>
    <w:lvl w:ilvl="1" w:tplc="04260001">
      <w:start w:val="1"/>
      <w:numFmt w:val="bullet"/>
      <w:lvlText w:val=""/>
      <w:lvlJc w:val="left"/>
      <w:pPr>
        <w:ind w:left="2007" w:hanging="360"/>
      </w:pPr>
      <w:rPr>
        <w:rFonts w:ascii="Symbol" w:hAnsi="Symbol" w:hint="default"/>
      </w:rPr>
    </w:lvl>
    <w:lvl w:ilvl="2" w:tplc="0426001B">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3">
    <w:nsid w:val="61C20D56"/>
    <w:multiLevelType w:val="hybridMultilevel"/>
    <w:tmpl w:val="97D41262"/>
    <w:lvl w:ilvl="0" w:tplc="D368E406">
      <w:start w:val="2022"/>
      <w:numFmt w:val="bullet"/>
      <w:lvlText w:val="-"/>
      <w:lvlJc w:val="left"/>
      <w:pPr>
        <w:ind w:left="1287"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4">
    <w:nsid w:val="61C353F6"/>
    <w:multiLevelType w:val="hybridMultilevel"/>
    <w:tmpl w:val="C316D216"/>
    <w:lvl w:ilvl="0" w:tplc="6EDC66D0">
      <w:start w:val="1"/>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num w:numId="1">
    <w:abstractNumId w:val="6"/>
  </w:num>
  <w:num w:numId="2">
    <w:abstractNumId w:val="1"/>
  </w:num>
  <w:num w:numId="3">
    <w:abstractNumId w:val="7"/>
  </w:num>
  <w:num w:numId="4">
    <w:abstractNumId w:val="4"/>
  </w:num>
  <w:num w:numId="5">
    <w:abstractNumId w:val="0"/>
  </w:num>
  <w:num w:numId="6">
    <w:abstractNumId w:val="13"/>
  </w:num>
  <w:num w:numId="7">
    <w:abstractNumId w:val="12"/>
  </w:num>
  <w:num w:numId="8">
    <w:abstractNumId w:val="2"/>
  </w:num>
  <w:num w:numId="9">
    <w:abstractNumId w:val="14"/>
  </w:num>
  <w:num w:numId="10">
    <w:abstractNumId w:val="10"/>
  </w:num>
  <w:num w:numId="11">
    <w:abstractNumId w:val="5"/>
  </w:num>
  <w:num w:numId="12">
    <w:abstractNumId w:val="8"/>
  </w:num>
  <w:num w:numId="13">
    <w:abstractNumId w:val="9"/>
  </w:num>
  <w:num w:numId="14">
    <w:abstractNumId w:val="11"/>
  </w:num>
  <w:num w:numId="1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0FA"/>
    <w:rsid w:val="00000CD1"/>
    <w:rsid w:val="00000D2C"/>
    <w:rsid w:val="000100F8"/>
    <w:rsid w:val="00014B05"/>
    <w:rsid w:val="00015258"/>
    <w:rsid w:val="00015390"/>
    <w:rsid w:val="00015CD8"/>
    <w:rsid w:val="00016E34"/>
    <w:rsid w:val="00017548"/>
    <w:rsid w:val="00020D37"/>
    <w:rsid w:val="00020F26"/>
    <w:rsid w:val="000215BE"/>
    <w:rsid w:val="00022D63"/>
    <w:rsid w:val="00024DD2"/>
    <w:rsid w:val="00030D92"/>
    <w:rsid w:val="00032FA4"/>
    <w:rsid w:val="00033562"/>
    <w:rsid w:val="00036259"/>
    <w:rsid w:val="00036F28"/>
    <w:rsid w:val="00040BB4"/>
    <w:rsid w:val="00040FDE"/>
    <w:rsid w:val="000420A5"/>
    <w:rsid w:val="00043BAA"/>
    <w:rsid w:val="00043BDE"/>
    <w:rsid w:val="00045329"/>
    <w:rsid w:val="00046204"/>
    <w:rsid w:val="00046F68"/>
    <w:rsid w:val="00047F91"/>
    <w:rsid w:val="000514E1"/>
    <w:rsid w:val="000623BC"/>
    <w:rsid w:val="000640CC"/>
    <w:rsid w:val="0006702C"/>
    <w:rsid w:val="00067FB9"/>
    <w:rsid w:val="00073159"/>
    <w:rsid w:val="00076D31"/>
    <w:rsid w:val="00080B85"/>
    <w:rsid w:val="00082210"/>
    <w:rsid w:val="0008256C"/>
    <w:rsid w:val="00083C83"/>
    <w:rsid w:val="00086D1D"/>
    <w:rsid w:val="00091E16"/>
    <w:rsid w:val="00093E96"/>
    <w:rsid w:val="00094259"/>
    <w:rsid w:val="000967CC"/>
    <w:rsid w:val="000A218C"/>
    <w:rsid w:val="000A3281"/>
    <w:rsid w:val="000A6C12"/>
    <w:rsid w:val="000A7AC3"/>
    <w:rsid w:val="000B0D02"/>
    <w:rsid w:val="000B221B"/>
    <w:rsid w:val="000B30FA"/>
    <w:rsid w:val="000B7B10"/>
    <w:rsid w:val="000C0F6B"/>
    <w:rsid w:val="000C1693"/>
    <w:rsid w:val="000C2B2E"/>
    <w:rsid w:val="000C2BF3"/>
    <w:rsid w:val="000C448B"/>
    <w:rsid w:val="000C4B5C"/>
    <w:rsid w:val="000C5102"/>
    <w:rsid w:val="000C541B"/>
    <w:rsid w:val="000C6238"/>
    <w:rsid w:val="000C6B17"/>
    <w:rsid w:val="000C7152"/>
    <w:rsid w:val="000D0695"/>
    <w:rsid w:val="000D071C"/>
    <w:rsid w:val="000D339E"/>
    <w:rsid w:val="000D7C84"/>
    <w:rsid w:val="000E4627"/>
    <w:rsid w:val="000E4D64"/>
    <w:rsid w:val="000E5CE9"/>
    <w:rsid w:val="000F7184"/>
    <w:rsid w:val="000F7B86"/>
    <w:rsid w:val="0010077A"/>
    <w:rsid w:val="00100FD6"/>
    <w:rsid w:val="00103437"/>
    <w:rsid w:val="00106967"/>
    <w:rsid w:val="00107024"/>
    <w:rsid w:val="001106A6"/>
    <w:rsid w:val="00110834"/>
    <w:rsid w:val="00110A6B"/>
    <w:rsid w:val="001128EF"/>
    <w:rsid w:val="00115CB2"/>
    <w:rsid w:val="0011600C"/>
    <w:rsid w:val="00117C4A"/>
    <w:rsid w:val="001202CC"/>
    <w:rsid w:val="001203DD"/>
    <w:rsid w:val="0012139B"/>
    <w:rsid w:val="0012458B"/>
    <w:rsid w:val="00124613"/>
    <w:rsid w:val="00132910"/>
    <w:rsid w:val="00132F14"/>
    <w:rsid w:val="00133742"/>
    <w:rsid w:val="00134DEF"/>
    <w:rsid w:val="00137C4A"/>
    <w:rsid w:val="00143F51"/>
    <w:rsid w:val="0014780F"/>
    <w:rsid w:val="00150B6C"/>
    <w:rsid w:val="00151180"/>
    <w:rsid w:val="00154FD1"/>
    <w:rsid w:val="001552FD"/>
    <w:rsid w:val="0015631A"/>
    <w:rsid w:val="00157FD0"/>
    <w:rsid w:val="0016139A"/>
    <w:rsid w:val="00171975"/>
    <w:rsid w:val="001719E7"/>
    <w:rsid w:val="0017280B"/>
    <w:rsid w:val="00174A53"/>
    <w:rsid w:val="001765A2"/>
    <w:rsid w:val="0017705F"/>
    <w:rsid w:val="00177D46"/>
    <w:rsid w:val="00180D31"/>
    <w:rsid w:val="001901E0"/>
    <w:rsid w:val="001910C8"/>
    <w:rsid w:val="00193253"/>
    <w:rsid w:val="00194AA5"/>
    <w:rsid w:val="00194ECA"/>
    <w:rsid w:val="001A04DF"/>
    <w:rsid w:val="001A5450"/>
    <w:rsid w:val="001A5FEB"/>
    <w:rsid w:val="001B0BA1"/>
    <w:rsid w:val="001B1789"/>
    <w:rsid w:val="001B1CBA"/>
    <w:rsid w:val="001B2570"/>
    <w:rsid w:val="001B2ED8"/>
    <w:rsid w:val="001B7AF5"/>
    <w:rsid w:val="001C112B"/>
    <w:rsid w:val="001C76FC"/>
    <w:rsid w:val="001D2829"/>
    <w:rsid w:val="001D2BAD"/>
    <w:rsid w:val="001D351E"/>
    <w:rsid w:val="001D77B2"/>
    <w:rsid w:val="001D7C46"/>
    <w:rsid w:val="001E0A74"/>
    <w:rsid w:val="001E1B23"/>
    <w:rsid w:val="001E3567"/>
    <w:rsid w:val="001E583F"/>
    <w:rsid w:val="001F1E6E"/>
    <w:rsid w:val="001F28D6"/>
    <w:rsid w:val="001F33F0"/>
    <w:rsid w:val="002000D9"/>
    <w:rsid w:val="00203601"/>
    <w:rsid w:val="00203C8B"/>
    <w:rsid w:val="00207068"/>
    <w:rsid w:val="00207860"/>
    <w:rsid w:val="00214ABA"/>
    <w:rsid w:val="00222B11"/>
    <w:rsid w:val="00222B43"/>
    <w:rsid w:val="00222B74"/>
    <w:rsid w:val="00222C70"/>
    <w:rsid w:val="00222DA5"/>
    <w:rsid w:val="00223FF3"/>
    <w:rsid w:val="00224233"/>
    <w:rsid w:val="002336D3"/>
    <w:rsid w:val="00234A02"/>
    <w:rsid w:val="00235C9D"/>
    <w:rsid w:val="002440C2"/>
    <w:rsid w:val="002447DD"/>
    <w:rsid w:val="00244A82"/>
    <w:rsid w:val="0024508B"/>
    <w:rsid w:val="002467F7"/>
    <w:rsid w:val="00246815"/>
    <w:rsid w:val="002473C4"/>
    <w:rsid w:val="00247830"/>
    <w:rsid w:val="00252397"/>
    <w:rsid w:val="00256CF0"/>
    <w:rsid w:val="00266856"/>
    <w:rsid w:val="002759D3"/>
    <w:rsid w:val="00275A84"/>
    <w:rsid w:val="00276C42"/>
    <w:rsid w:val="00280E77"/>
    <w:rsid w:val="002845EC"/>
    <w:rsid w:val="0028510C"/>
    <w:rsid w:val="00285B6B"/>
    <w:rsid w:val="002861AF"/>
    <w:rsid w:val="002866C1"/>
    <w:rsid w:val="0029240B"/>
    <w:rsid w:val="002929F2"/>
    <w:rsid w:val="00293983"/>
    <w:rsid w:val="002954C1"/>
    <w:rsid w:val="00295C0B"/>
    <w:rsid w:val="002A0517"/>
    <w:rsid w:val="002A1844"/>
    <w:rsid w:val="002A38A7"/>
    <w:rsid w:val="002B1C97"/>
    <w:rsid w:val="002B2D57"/>
    <w:rsid w:val="002B3168"/>
    <w:rsid w:val="002B3E14"/>
    <w:rsid w:val="002B3F3C"/>
    <w:rsid w:val="002B4354"/>
    <w:rsid w:val="002B6E74"/>
    <w:rsid w:val="002C16BB"/>
    <w:rsid w:val="002D4D84"/>
    <w:rsid w:val="002D52C9"/>
    <w:rsid w:val="002D7E71"/>
    <w:rsid w:val="002D7FE2"/>
    <w:rsid w:val="002E335F"/>
    <w:rsid w:val="002E42A4"/>
    <w:rsid w:val="002E5994"/>
    <w:rsid w:val="002E6288"/>
    <w:rsid w:val="002F01B9"/>
    <w:rsid w:val="002F0378"/>
    <w:rsid w:val="002F324E"/>
    <w:rsid w:val="002F498A"/>
    <w:rsid w:val="00300F11"/>
    <w:rsid w:val="00300F80"/>
    <w:rsid w:val="00303660"/>
    <w:rsid w:val="00304CD8"/>
    <w:rsid w:val="0030538A"/>
    <w:rsid w:val="003066BF"/>
    <w:rsid w:val="00306987"/>
    <w:rsid w:val="00306B42"/>
    <w:rsid w:val="00310325"/>
    <w:rsid w:val="00312E06"/>
    <w:rsid w:val="00313616"/>
    <w:rsid w:val="00313BDD"/>
    <w:rsid w:val="0031539A"/>
    <w:rsid w:val="0031676F"/>
    <w:rsid w:val="003172DF"/>
    <w:rsid w:val="00317852"/>
    <w:rsid w:val="00321EDA"/>
    <w:rsid w:val="00325B76"/>
    <w:rsid w:val="00327683"/>
    <w:rsid w:val="003301F3"/>
    <w:rsid w:val="0033194B"/>
    <w:rsid w:val="003323D1"/>
    <w:rsid w:val="00336354"/>
    <w:rsid w:val="00336F54"/>
    <w:rsid w:val="00340762"/>
    <w:rsid w:val="003455B5"/>
    <w:rsid w:val="00345EA6"/>
    <w:rsid w:val="00347690"/>
    <w:rsid w:val="003515F4"/>
    <w:rsid w:val="003528C4"/>
    <w:rsid w:val="00352CAC"/>
    <w:rsid w:val="00353D0E"/>
    <w:rsid w:val="00357A39"/>
    <w:rsid w:val="0037015D"/>
    <w:rsid w:val="00370535"/>
    <w:rsid w:val="0037267D"/>
    <w:rsid w:val="00372EBE"/>
    <w:rsid w:val="003735C9"/>
    <w:rsid w:val="003767E5"/>
    <w:rsid w:val="00377476"/>
    <w:rsid w:val="00377AD9"/>
    <w:rsid w:val="0038441F"/>
    <w:rsid w:val="003846F3"/>
    <w:rsid w:val="00384947"/>
    <w:rsid w:val="0038655A"/>
    <w:rsid w:val="00397B29"/>
    <w:rsid w:val="00397DB5"/>
    <w:rsid w:val="003A0DE0"/>
    <w:rsid w:val="003A13FE"/>
    <w:rsid w:val="003A7E14"/>
    <w:rsid w:val="003B2FFF"/>
    <w:rsid w:val="003B355C"/>
    <w:rsid w:val="003B3814"/>
    <w:rsid w:val="003B4376"/>
    <w:rsid w:val="003B5A5A"/>
    <w:rsid w:val="003B6DF9"/>
    <w:rsid w:val="003C13A1"/>
    <w:rsid w:val="003C15C4"/>
    <w:rsid w:val="003C17A6"/>
    <w:rsid w:val="003C18D2"/>
    <w:rsid w:val="003D058A"/>
    <w:rsid w:val="003D2EBD"/>
    <w:rsid w:val="003D40ED"/>
    <w:rsid w:val="003D6B73"/>
    <w:rsid w:val="003E0438"/>
    <w:rsid w:val="003F3747"/>
    <w:rsid w:val="003F3C37"/>
    <w:rsid w:val="003F4701"/>
    <w:rsid w:val="003F5537"/>
    <w:rsid w:val="00400A1C"/>
    <w:rsid w:val="00401D36"/>
    <w:rsid w:val="00403248"/>
    <w:rsid w:val="004120C6"/>
    <w:rsid w:val="00414D4C"/>
    <w:rsid w:val="00420275"/>
    <w:rsid w:val="00421CF0"/>
    <w:rsid w:val="00421EDB"/>
    <w:rsid w:val="00421EE2"/>
    <w:rsid w:val="004225FF"/>
    <w:rsid w:val="004233F6"/>
    <w:rsid w:val="00423D94"/>
    <w:rsid w:val="00423F0E"/>
    <w:rsid w:val="00424C52"/>
    <w:rsid w:val="00424CF7"/>
    <w:rsid w:val="0042740A"/>
    <w:rsid w:val="00430354"/>
    <w:rsid w:val="004321CB"/>
    <w:rsid w:val="004332A2"/>
    <w:rsid w:val="004339D3"/>
    <w:rsid w:val="0043593B"/>
    <w:rsid w:val="00435EE4"/>
    <w:rsid w:val="004375D2"/>
    <w:rsid w:val="00437EC6"/>
    <w:rsid w:val="00442973"/>
    <w:rsid w:val="0044545B"/>
    <w:rsid w:val="0044644D"/>
    <w:rsid w:val="00447A41"/>
    <w:rsid w:val="0045269C"/>
    <w:rsid w:val="004535CE"/>
    <w:rsid w:val="00453E62"/>
    <w:rsid w:val="004540E3"/>
    <w:rsid w:val="00455D41"/>
    <w:rsid w:val="004606CC"/>
    <w:rsid w:val="00465454"/>
    <w:rsid w:val="004678D9"/>
    <w:rsid w:val="00470AF8"/>
    <w:rsid w:val="00475097"/>
    <w:rsid w:val="00477AB8"/>
    <w:rsid w:val="004806AD"/>
    <w:rsid w:val="00483EB6"/>
    <w:rsid w:val="0048475F"/>
    <w:rsid w:val="0048780C"/>
    <w:rsid w:val="00490D3A"/>
    <w:rsid w:val="0049266B"/>
    <w:rsid w:val="00492FEF"/>
    <w:rsid w:val="00494F83"/>
    <w:rsid w:val="0049651C"/>
    <w:rsid w:val="004972EE"/>
    <w:rsid w:val="004A0AF1"/>
    <w:rsid w:val="004A1917"/>
    <w:rsid w:val="004A25DD"/>
    <w:rsid w:val="004A3455"/>
    <w:rsid w:val="004A5AD3"/>
    <w:rsid w:val="004A67B9"/>
    <w:rsid w:val="004A740C"/>
    <w:rsid w:val="004B3E0C"/>
    <w:rsid w:val="004B4B06"/>
    <w:rsid w:val="004B4E3F"/>
    <w:rsid w:val="004B5022"/>
    <w:rsid w:val="004B70A7"/>
    <w:rsid w:val="004B7613"/>
    <w:rsid w:val="004B7CD0"/>
    <w:rsid w:val="004B7DD5"/>
    <w:rsid w:val="004C0F5B"/>
    <w:rsid w:val="004C27AE"/>
    <w:rsid w:val="004C2C5A"/>
    <w:rsid w:val="004C4075"/>
    <w:rsid w:val="004C4C53"/>
    <w:rsid w:val="004C5769"/>
    <w:rsid w:val="004C658E"/>
    <w:rsid w:val="004C7E40"/>
    <w:rsid w:val="004D2053"/>
    <w:rsid w:val="004D2587"/>
    <w:rsid w:val="004D2701"/>
    <w:rsid w:val="004D5282"/>
    <w:rsid w:val="004D5547"/>
    <w:rsid w:val="004D5C8B"/>
    <w:rsid w:val="004D6293"/>
    <w:rsid w:val="004D654F"/>
    <w:rsid w:val="004D74F4"/>
    <w:rsid w:val="004E0679"/>
    <w:rsid w:val="004E1796"/>
    <w:rsid w:val="004E216B"/>
    <w:rsid w:val="004E2850"/>
    <w:rsid w:val="004E367E"/>
    <w:rsid w:val="004E5D8C"/>
    <w:rsid w:val="004E6507"/>
    <w:rsid w:val="004E7DFA"/>
    <w:rsid w:val="004E7E5E"/>
    <w:rsid w:val="004F0A4C"/>
    <w:rsid w:val="004F1954"/>
    <w:rsid w:val="004F4EEA"/>
    <w:rsid w:val="004F5064"/>
    <w:rsid w:val="004F58A3"/>
    <w:rsid w:val="004F58E9"/>
    <w:rsid w:val="004F5B37"/>
    <w:rsid w:val="004F5EF3"/>
    <w:rsid w:val="005022C8"/>
    <w:rsid w:val="00502BCA"/>
    <w:rsid w:val="0050529D"/>
    <w:rsid w:val="005140CE"/>
    <w:rsid w:val="00515F65"/>
    <w:rsid w:val="00517C00"/>
    <w:rsid w:val="00517E4E"/>
    <w:rsid w:val="0052017C"/>
    <w:rsid w:val="0052353C"/>
    <w:rsid w:val="0052382D"/>
    <w:rsid w:val="005255FB"/>
    <w:rsid w:val="0053032E"/>
    <w:rsid w:val="005362A2"/>
    <w:rsid w:val="00542FA7"/>
    <w:rsid w:val="00552612"/>
    <w:rsid w:val="00557804"/>
    <w:rsid w:val="00560A36"/>
    <w:rsid w:val="00561709"/>
    <w:rsid w:val="0056603A"/>
    <w:rsid w:val="00566B8D"/>
    <w:rsid w:val="005712A6"/>
    <w:rsid w:val="005714F3"/>
    <w:rsid w:val="0057320A"/>
    <w:rsid w:val="00575019"/>
    <w:rsid w:val="00577812"/>
    <w:rsid w:val="00581224"/>
    <w:rsid w:val="005812F7"/>
    <w:rsid w:val="005817A1"/>
    <w:rsid w:val="00581899"/>
    <w:rsid w:val="005844F4"/>
    <w:rsid w:val="00585ACA"/>
    <w:rsid w:val="00590C07"/>
    <w:rsid w:val="00591341"/>
    <w:rsid w:val="00592E91"/>
    <w:rsid w:val="00593164"/>
    <w:rsid w:val="0059344F"/>
    <w:rsid w:val="00593717"/>
    <w:rsid w:val="00594320"/>
    <w:rsid w:val="00596A3E"/>
    <w:rsid w:val="005A15FD"/>
    <w:rsid w:val="005A6B5F"/>
    <w:rsid w:val="005B1C04"/>
    <w:rsid w:val="005B294E"/>
    <w:rsid w:val="005B3874"/>
    <w:rsid w:val="005B481A"/>
    <w:rsid w:val="005B4AA6"/>
    <w:rsid w:val="005B4C31"/>
    <w:rsid w:val="005C0301"/>
    <w:rsid w:val="005C3596"/>
    <w:rsid w:val="005C5A26"/>
    <w:rsid w:val="005C5C35"/>
    <w:rsid w:val="005C6BEA"/>
    <w:rsid w:val="005D18B5"/>
    <w:rsid w:val="005D27FB"/>
    <w:rsid w:val="005D6061"/>
    <w:rsid w:val="005D6250"/>
    <w:rsid w:val="005D6F4C"/>
    <w:rsid w:val="005E0988"/>
    <w:rsid w:val="005E14FB"/>
    <w:rsid w:val="005E1B2E"/>
    <w:rsid w:val="005E2ED3"/>
    <w:rsid w:val="005F2E4B"/>
    <w:rsid w:val="005F5257"/>
    <w:rsid w:val="005F5CC6"/>
    <w:rsid w:val="005F6FCD"/>
    <w:rsid w:val="005F71FC"/>
    <w:rsid w:val="006002E5"/>
    <w:rsid w:val="0060060B"/>
    <w:rsid w:val="0060117F"/>
    <w:rsid w:val="0060460B"/>
    <w:rsid w:val="00605C3B"/>
    <w:rsid w:val="0060608C"/>
    <w:rsid w:val="006115AD"/>
    <w:rsid w:val="006160AB"/>
    <w:rsid w:val="00617B7B"/>
    <w:rsid w:val="00617BFA"/>
    <w:rsid w:val="00620FBE"/>
    <w:rsid w:val="00622260"/>
    <w:rsid w:val="0062229A"/>
    <w:rsid w:val="006239B2"/>
    <w:rsid w:val="00624200"/>
    <w:rsid w:val="006248BC"/>
    <w:rsid w:val="00634044"/>
    <w:rsid w:val="00637FD7"/>
    <w:rsid w:val="006413FF"/>
    <w:rsid w:val="00641FAB"/>
    <w:rsid w:val="0064344E"/>
    <w:rsid w:val="0064451C"/>
    <w:rsid w:val="006471BA"/>
    <w:rsid w:val="00650661"/>
    <w:rsid w:val="006509E1"/>
    <w:rsid w:val="00651DC4"/>
    <w:rsid w:val="00652111"/>
    <w:rsid w:val="00653880"/>
    <w:rsid w:val="0065749B"/>
    <w:rsid w:val="00657620"/>
    <w:rsid w:val="006576FE"/>
    <w:rsid w:val="006608EE"/>
    <w:rsid w:val="006642B8"/>
    <w:rsid w:val="0066599E"/>
    <w:rsid w:val="00666C5A"/>
    <w:rsid w:val="00667B04"/>
    <w:rsid w:val="00673035"/>
    <w:rsid w:val="00674C0C"/>
    <w:rsid w:val="00675B41"/>
    <w:rsid w:val="0067633C"/>
    <w:rsid w:val="00676779"/>
    <w:rsid w:val="00685663"/>
    <w:rsid w:val="006863A9"/>
    <w:rsid w:val="006870DA"/>
    <w:rsid w:val="006871CC"/>
    <w:rsid w:val="00690863"/>
    <w:rsid w:val="0069284F"/>
    <w:rsid w:val="006928D5"/>
    <w:rsid w:val="00693EE5"/>
    <w:rsid w:val="00695B4B"/>
    <w:rsid w:val="00696015"/>
    <w:rsid w:val="00696864"/>
    <w:rsid w:val="006A0BE5"/>
    <w:rsid w:val="006A0FE6"/>
    <w:rsid w:val="006A32BC"/>
    <w:rsid w:val="006B082A"/>
    <w:rsid w:val="006B2C4C"/>
    <w:rsid w:val="006B4FEB"/>
    <w:rsid w:val="006B60A8"/>
    <w:rsid w:val="006B6108"/>
    <w:rsid w:val="006B6896"/>
    <w:rsid w:val="006C0317"/>
    <w:rsid w:val="006C3396"/>
    <w:rsid w:val="006C57E7"/>
    <w:rsid w:val="006C71FD"/>
    <w:rsid w:val="006D0F2A"/>
    <w:rsid w:val="006D541A"/>
    <w:rsid w:val="006D7EFF"/>
    <w:rsid w:val="006E24C6"/>
    <w:rsid w:val="006E4782"/>
    <w:rsid w:val="006E55D2"/>
    <w:rsid w:val="006E5765"/>
    <w:rsid w:val="006F12F1"/>
    <w:rsid w:val="006F498E"/>
    <w:rsid w:val="006F4C61"/>
    <w:rsid w:val="006F58F5"/>
    <w:rsid w:val="006F6233"/>
    <w:rsid w:val="006F62CC"/>
    <w:rsid w:val="006F7C04"/>
    <w:rsid w:val="00702AC7"/>
    <w:rsid w:val="0070522A"/>
    <w:rsid w:val="00705686"/>
    <w:rsid w:val="00706C9E"/>
    <w:rsid w:val="00707274"/>
    <w:rsid w:val="00713FB5"/>
    <w:rsid w:val="00716084"/>
    <w:rsid w:val="00717179"/>
    <w:rsid w:val="00723C68"/>
    <w:rsid w:val="007253AE"/>
    <w:rsid w:val="00726556"/>
    <w:rsid w:val="00731C46"/>
    <w:rsid w:val="0073288E"/>
    <w:rsid w:val="00733327"/>
    <w:rsid w:val="00733E3D"/>
    <w:rsid w:val="00734DD3"/>
    <w:rsid w:val="0074570A"/>
    <w:rsid w:val="00745B2B"/>
    <w:rsid w:val="00747D91"/>
    <w:rsid w:val="00751C1B"/>
    <w:rsid w:val="0075218E"/>
    <w:rsid w:val="0075322D"/>
    <w:rsid w:val="00754AA9"/>
    <w:rsid w:val="00760EDF"/>
    <w:rsid w:val="00761846"/>
    <w:rsid w:val="00761944"/>
    <w:rsid w:val="0076215F"/>
    <w:rsid w:val="00762C5A"/>
    <w:rsid w:val="00763E32"/>
    <w:rsid w:val="007641C5"/>
    <w:rsid w:val="0076549F"/>
    <w:rsid w:val="00766EC8"/>
    <w:rsid w:val="00770E51"/>
    <w:rsid w:val="0077128D"/>
    <w:rsid w:val="007725D7"/>
    <w:rsid w:val="00773594"/>
    <w:rsid w:val="00774B56"/>
    <w:rsid w:val="00774E06"/>
    <w:rsid w:val="00775B19"/>
    <w:rsid w:val="007761A7"/>
    <w:rsid w:val="0078078E"/>
    <w:rsid w:val="00781843"/>
    <w:rsid w:val="00781B5C"/>
    <w:rsid w:val="00791263"/>
    <w:rsid w:val="00792D2F"/>
    <w:rsid w:val="00793FA7"/>
    <w:rsid w:val="00794174"/>
    <w:rsid w:val="00794E7E"/>
    <w:rsid w:val="007960FE"/>
    <w:rsid w:val="007A4EF9"/>
    <w:rsid w:val="007A5529"/>
    <w:rsid w:val="007A6C6F"/>
    <w:rsid w:val="007B27DB"/>
    <w:rsid w:val="007B451E"/>
    <w:rsid w:val="007C10A2"/>
    <w:rsid w:val="007C1941"/>
    <w:rsid w:val="007C2ADA"/>
    <w:rsid w:val="007C31A2"/>
    <w:rsid w:val="007C60E2"/>
    <w:rsid w:val="007C7C83"/>
    <w:rsid w:val="007D36A6"/>
    <w:rsid w:val="007D3ACD"/>
    <w:rsid w:val="007D3F73"/>
    <w:rsid w:val="007D590A"/>
    <w:rsid w:val="007E2041"/>
    <w:rsid w:val="007E272C"/>
    <w:rsid w:val="007E2A86"/>
    <w:rsid w:val="007E3654"/>
    <w:rsid w:val="007E3872"/>
    <w:rsid w:val="007F4E99"/>
    <w:rsid w:val="007F549F"/>
    <w:rsid w:val="007F59E8"/>
    <w:rsid w:val="007F5BA4"/>
    <w:rsid w:val="00801CEE"/>
    <w:rsid w:val="00803508"/>
    <w:rsid w:val="00807A46"/>
    <w:rsid w:val="00810AC3"/>
    <w:rsid w:val="00813DA1"/>
    <w:rsid w:val="008148BB"/>
    <w:rsid w:val="00816BC2"/>
    <w:rsid w:val="008204D0"/>
    <w:rsid w:val="0082238B"/>
    <w:rsid w:val="0082397D"/>
    <w:rsid w:val="00827E07"/>
    <w:rsid w:val="00830692"/>
    <w:rsid w:val="00831264"/>
    <w:rsid w:val="00831F8C"/>
    <w:rsid w:val="0083201D"/>
    <w:rsid w:val="0083516B"/>
    <w:rsid w:val="00835E3A"/>
    <w:rsid w:val="00841FA2"/>
    <w:rsid w:val="008437B4"/>
    <w:rsid w:val="00844538"/>
    <w:rsid w:val="00844C37"/>
    <w:rsid w:val="00847D86"/>
    <w:rsid w:val="00852643"/>
    <w:rsid w:val="00853411"/>
    <w:rsid w:val="0085414E"/>
    <w:rsid w:val="00861AF6"/>
    <w:rsid w:val="00863CA8"/>
    <w:rsid w:val="00863F0B"/>
    <w:rsid w:val="008652EF"/>
    <w:rsid w:val="00865501"/>
    <w:rsid w:val="00873648"/>
    <w:rsid w:val="00874380"/>
    <w:rsid w:val="008756C5"/>
    <w:rsid w:val="0087604A"/>
    <w:rsid w:val="008765A1"/>
    <w:rsid w:val="00876BD6"/>
    <w:rsid w:val="0087713E"/>
    <w:rsid w:val="00880ACB"/>
    <w:rsid w:val="00883F26"/>
    <w:rsid w:val="008847DE"/>
    <w:rsid w:val="0088495A"/>
    <w:rsid w:val="00884F2D"/>
    <w:rsid w:val="008858C7"/>
    <w:rsid w:val="00886017"/>
    <w:rsid w:val="00890D62"/>
    <w:rsid w:val="008913AF"/>
    <w:rsid w:val="008954FD"/>
    <w:rsid w:val="00895851"/>
    <w:rsid w:val="00896378"/>
    <w:rsid w:val="00896959"/>
    <w:rsid w:val="008A092F"/>
    <w:rsid w:val="008A0C6E"/>
    <w:rsid w:val="008A106A"/>
    <w:rsid w:val="008A1776"/>
    <w:rsid w:val="008A60E5"/>
    <w:rsid w:val="008A6F24"/>
    <w:rsid w:val="008B164F"/>
    <w:rsid w:val="008B2BFF"/>
    <w:rsid w:val="008B34F4"/>
    <w:rsid w:val="008C02CE"/>
    <w:rsid w:val="008D4F1E"/>
    <w:rsid w:val="008D5100"/>
    <w:rsid w:val="008E07DB"/>
    <w:rsid w:val="008E11BC"/>
    <w:rsid w:val="008E145A"/>
    <w:rsid w:val="008E3134"/>
    <w:rsid w:val="008E4E68"/>
    <w:rsid w:val="008E7579"/>
    <w:rsid w:val="008F16C6"/>
    <w:rsid w:val="008F235C"/>
    <w:rsid w:val="008F2813"/>
    <w:rsid w:val="008F69F0"/>
    <w:rsid w:val="008F7DF6"/>
    <w:rsid w:val="00904BCA"/>
    <w:rsid w:val="00911FE7"/>
    <w:rsid w:val="00921322"/>
    <w:rsid w:val="00921360"/>
    <w:rsid w:val="00921370"/>
    <w:rsid w:val="00921719"/>
    <w:rsid w:val="009308E7"/>
    <w:rsid w:val="00930B6A"/>
    <w:rsid w:val="00931D5A"/>
    <w:rsid w:val="00933261"/>
    <w:rsid w:val="009365C6"/>
    <w:rsid w:val="00937CBE"/>
    <w:rsid w:val="00940EDE"/>
    <w:rsid w:val="0094695A"/>
    <w:rsid w:val="009513E0"/>
    <w:rsid w:val="009517A3"/>
    <w:rsid w:val="009526CA"/>
    <w:rsid w:val="00953837"/>
    <w:rsid w:val="009568E1"/>
    <w:rsid w:val="00956F05"/>
    <w:rsid w:val="00966AD1"/>
    <w:rsid w:val="0097052F"/>
    <w:rsid w:val="009736AF"/>
    <w:rsid w:val="00973E21"/>
    <w:rsid w:val="0098120B"/>
    <w:rsid w:val="00982043"/>
    <w:rsid w:val="00982E3D"/>
    <w:rsid w:val="00983BDB"/>
    <w:rsid w:val="009858B6"/>
    <w:rsid w:val="009922E1"/>
    <w:rsid w:val="0099368A"/>
    <w:rsid w:val="0099400E"/>
    <w:rsid w:val="00995BC3"/>
    <w:rsid w:val="00996DF1"/>
    <w:rsid w:val="009A089B"/>
    <w:rsid w:val="009A0BAE"/>
    <w:rsid w:val="009A1105"/>
    <w:rsid w:val="009A3125"/>
    <w:rsid w:val="009A409A"/>
    <w:rsid w:val="009A6C72"/>
    <w:rsid w:val="009A6D87"/>
    <w:rsid w:val="009B1FB0"/>
    <w:rsid w:val="009B2EBA"/>
    <w:rsid w:val="009B3502"/>
    <w:rsid w:val="009C0264"/>
    <w:rsid w:val="009C40DD"/>
    <w:rsid w:val="009C6340"/>
    <w:rsid w:val="009C6683"/>
    <w:rsid w:val="009C74B8"/>
    <w:rsid w:val="009D24C6"/>
    <w:rsid w:val="009D2D78"/>
    <w:rsid w:val="009D5C1C"/>
    <w:rsid w:val="009E4D1A"/>
    <w:rsid w:val="009E6524"/>
    <w:rsid w:val="009F0698"/>
    <w:rsid w:val="009F2184"/>
    <w:rsid w:val="009F5689"/>
    <w:rsid w:val="009F6102"/>
    <w:rsid w:val="00A040DE"/>
    <w:rsid w:val="00A04B15"/>
    <w:rsid w:val="00A06042"/>
    <w:rsid w:val="00A07896"/>
    <w:rsid w:val="00A12955"/>
    <w:rsid w:val="00A2007E"/>
    <w:rsid w:val="00A23D6D"/>
    <w:rsid w:val="00A25294"/>
    <w:rsid w:val="00A269DB"/>
    <w:rsid w:val="00A364C6"/>
    <w:rsid w:val="00A43027"/>
    <w:rsid w:val="00A4306B"/>
    <w:rsid w:val="00A45C12"/>
    <w:rsid w:val="00A45DEC"/>
    <w:rsid w:val="00A45ECA"/>
    <w:rsid w:val="00A45EF1"/>
    <w:rsid w:val="00A51439"/>
    <w:rsid w:val="00A577C1"/>
    <w:rsid w:val="00A64644"/>
    <w:rsid w:val="00A6468C"/>
    <w:rsid w:val="00A67F5A"/>
    <w:rsid w:val="00A72115"/>
    <w:rsid w:val="00A73CD5"/>
    <w:rsid w:val="00A8034D"/>
    <w:rsid w:val="00A81E3C"/>
    <w:rsid w:val="00A8215E"/>
    <w:rsid w:val="00A83F84"/>
    <w:rsid w:val="00A85531"/>
    <w:rsid w:val="00A90E7D"/>
    <w:rsid w:val="00A92021"/>
    <w:rsid w:val="00A92D0A"/>
    <w:rsid w:val="00A94DDB"/>
    <w:rsid w:val="00A95274"/>
    <w:rsid w:val="00A95466"/>
    <w:rsid w:val="00A95B8F"/>
    <w:rsid w:val="00AA06EE"/>
    <w:rsid w:val="00AA2DD4"/>
    <w:rsid w:val="00AA2EAA"/>
    <w:rsid w:val="00AA3251"/>
    <w:rsid w:val="00AA4DC9"/>
    <w:rsid w:val="00AA5693"/>
    <w:rsid w:val="00AB0C8C"/>
    <w:rsid w:val="00AB1534"/>
    <w:rsid w:val="00AB2B3B"/>
    <w:rsid w:val="00AB3008"/>
    <w:rsid w:val="00AB35BE"/>
    <w:rsid w:val="00AB4AA5"/>
    <w:rsid w:val="00AB5F00"/>
    <w:rsid w:val="00AC0878"/>
    <w:rsid w:val="00AC138C"/>
    <w:rsid w:val="00AC5890"/>
    <w:rsid w:val="00AD4B33"/>
    <w:rsid w:val="00AE55B9"/>
    <w:rsid w:val="00AE66D6"/>
    <w:rsid w:val="00AF03C1"/>
    <w:rsid w:val="00AF7379"/>
    <w:rsid w:val="00B010C0"/>
    <w:rsid w:val="00B019C0"/>
    <w:rsid w:val="00B04740"/>
    <w:rsid w:val="00B04BD2"/>
    <w:rsid w:val="00B05D3A"/>
    <w:rsid w:val="00B06BBD"/>
    <w:rsid w:val="00B10532"/>
    <w:rsid w:val="00B1449D"/>
    <w:rsid w:val="00B159DA"/>
    <w:rsid w:val="00B1769E"/>
    <w:rsid w:val="00B17A32"/>
    <w:rsid w:val="00B2733D"/>
    <w:rsid w:val="00B300A5"/>
    <w:rsid w:val="00B308D6"/>
    <w:rsid w:val="00B31FB8"/>
    <w:rsid w:val="00B34412"/>
    <w:rsid w:val="00B35DB8"/>
    <w:rsid w:val="00B37E88"/>
    <w:rsid w:val="00B423B6"/>
    <w:rsid w:val="00B44242"/>
    <w:rsid w:val="00B44E93"/>
    <w:rsid w:val="00B47D23"/>
    <w:rsid w:val="00B538CA"/>
    <w:rsid w:val="00B5463E"/>
    <w:rsid w:val="00B566A0"/>
    <w:rsid w:val="00B5674D"/>
    <w:rsid w:val="00B56F71"/>
    <w:rsid w:val="00B607F4"/>
    <w:rsid w:val="00B6667E"/>
    <w:rsid w:val="00B676FD"/>
    <w:rsid w:val="00B67D83"/>
    <w:rsid w:val="00B67F1B"/>
    <w:rsid w:val="00B703A7"/>
    <w:rsid w:val="00B7207E"/>
    <w:rsid w:val="00B72979"/>
    <w:rsid w:val="00B7748D"/>
    <w:rsid w:val="00B81AE9"/>
    <w:rsid w:val="00B8270A"/>
    <w:rsid w:val="00B82E55"/>
    <w:rsid w:val="00B83577"/>
    <w:rsid w:val="00B85176"/>
    <w:rsid w:val="00B85603"/>
    <w:rsid w:val="00B86922"/>
    <w:rsid w:val="00B94781"/>
    <w:rsid w:val="00B94E5A"/>
    <w:rsid w:val="00B96868"/>
    <w:rsid w:val="00BA0C0E"/>
    <w:rsid w:val="00BA3B33"/>
    <w:rsid w:val="00BA6810"/>
    <w:rsid w:val="00BB054D"/>
    <w:rsid w:val="00BB34CC"/>
    <w:rsid w:val="00BC18B8"/>
    <w:rsid w:val="00BC2192"/>
    <w:rsid w:val="00BC393D"/>
    <w:rsid w:val="00BC57A5"/>
    <w:rsid w:val="00BC6FD1"/>
    <w:rsid w:val="00BD00B8"/>
    <w:rsid w:val="00BD0590"/>
    <w:rsid w:val="00BD517F"/>
    <w:rsid w:val="00BE0583"/>
    <w:rsid w:val="00BE0A30"/>
    <w:rsid w:val="00BE1348"/>
    <w:rsid w:val="00BE4408"/>
    <w:rsid w:val="00BE7D61"/>
    <w:rsid w:val="00BF01DE"/>
    <w:rsid w:val="00BF177A"/>
    <w:rsid w:val="00BF2039"/>
    <w:rsid w:val="00BF485C"/>
    <w:rsid w:val="00BF673B"/>
    <w:rsid w:val="00BF6A20"/>
    <w:rsid w:val="00BF706F"/>
    <w:rsid w:val="00C00503"/>
    <w:rsid w:val="00C01974"/>
    <w:rsid w:val="00C0263F"/>
    <w:rsid w:val="00C02E69"/>
    <w:rsid w:val="00C05F00"/>
    <w:rsid w:val="00C0706D"/>
    <w:rsid w:val="00C203C4"/>
    <w:rsid w:val="00C2163F"/>
    <w:rsid w:val="00C23543"/>
    <w:rsid w:val="00C23F80"/>
    <w:rsid w:val="00C25E1F"/>
    <w:rsid w:val="00C26FEF"/>
    <w:rsid w:val="00C332B7"/>
    <w:rsid w:val="00C36A8A"/>
    <w:rsid w:val="00C40C5F"/>
    <w:rsid w:val="00C41BF7"/>
    <w:rsid w:val="00C45CE0"/>
    <w:rsid w:val="00C4662A"/>
    <w:rsid w:val="00C46D7F"/>
    <w:rsid w:val="00C538A7"/>
    <w:rsid w:val="00C54C5D"/>
    <w:rsid w:val="00C55969"/>
    <w:rsid w:val="00C55C2F"/>
    <w:rsid w:val="00C56FA7"/>
    <w:rsid w:val="00C628F0"/>
    <w:rsid w:val="00C64695"/>
    <w:rsid w:val="00C64759"/>
    <w:rsid w:val="00C67B0A"/>
    <w:rsid w:val="00C72236"/>
    <w:rsid w:val="00C72797"/>
    <w:rsid w:val="00C728E3"/>
    <w:rsid w:val="00C760FC"/>
    <w:rsid w:val="00C8058B"/>
    <w:rsid w:val="00C80CA6"/>
    <w:rsid w:val="00C81471"/>
    <w:rsid w:val="00C81FDB"/>
    <w:rsid w:val="00C82D23"/>
    <w:rsid w:val="00C8429E"/>
    <w:rsid w:val="00C8514F"/>
    <w:rsid w:val="00C865B9"/>
    <w:rsid w:val="00C911C6"/>
    <w:rsid w:val="00C91709"/>
    <w:rsid w:val="00C91B8A"/>
    <w:rsid w:val="00C94BD0"/>
    <w:rsid w:val="00C97A03"/>
    <w:rsid w:val="00CA0F92"/>
    <w:rsid w:val="00CA2686"/>
    <w:rsid w:val="00CA775F"/>
    <w:rsid w:val="00CB728A"/>
    <w:rsid w:val="00CB7C28"/>
    <w:rsid w:val="00CC1B57"/>
    <w:rsid w:val="00CC32B4"/>
    <w:rsid w:val="00CD0F0C"/>
    <w:rsid w:val="00CD1439"/>
    <w:rsid w:val="00CD155D"/>
    <w:rsid w:val="00CD45A4"/>
    <w:rsid w:val="00CE2A98"/>
    <w:rsid w:val="00CE3040"/>
    <w:rsid w:val="00CE4B1B"/>
    <w:rsid w:val="00CE7D28"/>
    <w:rsid w:val="00CE7E88"/>
    <w:rsid w:val="00CF101D"/>
    <w:rsid w:val="00CF33FF"/>
    <w:rsid w:val="00CF46A0"/>
    <w:rsid w:val="00CF6367"/>
    <w:rsid w:val="00CF787C"/>
    <w:rsid w:val="00D01C1A"/>
    <w:rsid w:val="00D06D0B"/>
    <w:rsid w:val="00D07A76"/>
    <w:rsid w:val="00D13047"/>
    <w:rsid w:val="00D149BA"/>
    <w:rsid w:val="00D1748F"/>
    <w:rsid w:val="00D20172"/>
    <w:rsid w:val="00D20801"/>
    <w:rsid w:val="00D24F90"/>
    <w:rsid w:val="00D256C6"/>
    <w:rsid w:val="00D25A8A"/>
    <w:rsid w:val="00D25D6A"/>
    <w:rsid w:val="00D269AC"/>
    <w:rsid w:val="00D27C55"/>
    <w:rsid w:val="00D335C0"/>
    <w:rsid w:val="00D33C5C"/>
    <w:rsid w:val="00D369DD"/>
    <w:rsid w:val="00D47176"/>
    <w:rsid w:val="00D47A60"/>
    <w:rsid w:val="00D520F2"/>
    <w:rsid w:val="00D52840"/>
    <w:rsid w:val="00D54008"/>
    <w:rsid w:val="00D57EAA"/>
    <w:rsid w:val="00D605DC"/>
    <w:rsid w:val="00D62A41"/>
    <w:rsid w:val="00D65990"/>
    <w:rsid w:val="00D67A19"/>
    <w:rsid w:val="00D71B6F"/>
    <w:rsid w:val="00D733E6"/>
    <w:rsid w:val="00D852CD"/>
    <w:rsid w:val="00D86280"/>
    <w:rsid w:val="00D87FA1"/>
    <w:rsid w:val="00D900B8"/>
    <w:rsid w:val="00D908F9"/>
    <w:rsid w:val="00D918DE"/>
    <w:rsid w:val="00D939F7"/>
    <w:rsid w:val="00D97835"/>
    <w:rsid w:val="00D97F3D"/>
    <w:rsid w:val="00DA72B4"/>
    <w:rsid w:val="00DB05C6"/>
    <w:rsid w:val="00DB276C"/>
    <w:rsid w:val="00DB33CE"/>
    <w:rsid w:val="00DC00FC"/>
    <w:rsid w:val="00DC5309"/>
    <w:rsid w:val="00DC6156"/>
    <w:rsid w:val="00DC7BB7"/>
    <w:rsid w:val="00DD0201"/>
    <w:rsid w:val="00DD3454"/>
    <w:rsid w:val="00DD7DD5"/>
    <w:rsid w:val="00DE19CC"/>
    <w:rsid w:val="00DE4CBC"/>
    <w:rsid w:val="00DE505B"/>
    <w:rsid w:val="00DE51A2"/>
    <w:rsid w:val="00DE614A"/>
    <w:rsid w:val="00DE6D78"/>
    <w:rsid w:val="00DF10BC"/>
    <w:rsid w:val="00DF3A6A"/>
    <w:rsid w:val="00DF67C2"/>
    <w:rsid w:val="00DF7301"/>
    <w:rsid w:val="00DF75E3"/>
    <w:rsid w:val="00E02203"/>
    <w:rsid w:val="00E02F9E"/>
    <w:rsid w:val="00E03022"/>
    <w:rsid w:val="00E06941"/>
    <w:rsid w:val="00E10F35"/>
    <w:rsid w:val="00E1141A"/>
    <w:rsid w:val="00E12312"/>
    <w:rsid w:val="00E13176"/>
    <w:rsid w:val="00E13204"/>
    <w:rsid w:val="00E1452C"/>
    <w:rsid w:val="00E17997"/>
    <w:rsid w:val="00E2144E"/>
    <w:rsid w:val="00E22796"/>
    <w:rsid w:val="00E3105F"/>
    <w:rsid w:val="00E33F43"/>
    <w:rsid w:val="00E34FBD"/>
    <w:rsid w:val="00E350CA"/>
    <w:rsid w:val="00E37B4E"/>
    <w:rsid w:val="00E37C69"/>
    <w:rsid w:val="00E37D57"/>
    <w:rsid w:val="00E4019C"/>
    <w:rsid w:val="00E433DD"/>
    <w:rsid w:val="00E522DA"/>
    <w:rsid w:val="00E5291B"/>
    <w:rsid w:val="00E5442E"/>
    <w:rsid w:val="00E65435"/>
    <w:rsid w:val="00E65EFD"/>
    <w:rsid w:val="00E6647B"/>
    <w:rsid w:val="00E73117"/>
    <w:rsid w:val="00E73121"/>
    <w:rsid w:val="00E7669A"/>
    <w:rsid w:val="00E7723F"/>
    <w:rsid w:val="00E8311A"/>
    <w:rsid w:val="00E836E1"/>
    <w:rsid w:val="00E84720"/>
    <w:rsid w:val="00E866FF"/>
    <w:rsid w:val="00E916C5"/>
    <w:rsid w:val="00E93097"/>
    <w:rsid w:val="00E94679"/>
    <w:rsid w:val="00E95A8E"/>
    <w:rsid w:val="00E9708B"/>
    <w:rsid w:val="00EA31CC"/>
    <w:rsid w:val="00EA4EE4"/>
    <w:rsid w:val="00EA5C60"/>
    <w:rsid w:val="00EA7483"/>
    <w:rsid w:val="00EB20E9"/>
    <w:rsid w:val="00EB43BE"/>
    <w:rsid w:val="00EB4410"/>
    <w:rsid w:val="00EB662A"/>
    <w:rsid w:val="00EB66FB"/>
    <w:rsid w:val="00EB7975"/>
    <w:rsid w:val="00EC4D2E"/>
    <w:rsid w:val="00EC54FE"/>
    <w:rsid w:val="00EC5962"/>
    <w:rsid w:val="00ED0A69"/>
    <w:rsid w:val="00ED3C35"/>
    <w:rsid w:val="00ED6C47"/>
    <w:rsid w:val="00EE1297"/>
    <w:rsid w:val="00EE27B9"/>
    <w:rsid w:val="00EE48A5"/>
    <w:rsid w:val="00EE592F"/>
    <w:rsid w:val="00EE6BEE"/>
    <w:rsid w:val="00EF28CC"/>
    <w:rsid w:val="00EF3393"/>
    <w:rsid w:val="00EF710D"/>
    <w:rsid w:val="00F001A3"/>
    <w:rsid w:val="00F0084C"/>
    <w:rsid w:val="00F015FD"/>
    <w:rsid w:val="00F035D0"/>
    <w:rsid w:val="00F04280"/>
    <w:rsid w:val="00F06C3D"/>
    <w:rsid w:val="00F06DFC"/>
    <w:rsid w:val="00F14567"/>
    <w:rsid w:val="00F146A5"/>
    <w:rsid w:val="00F15EB1"/>
    <w:rsid w:val="00F263B1"/>
    <w:rsid w:val="00F2698E"/>
    <w:rsid w:val="00F30972"/>
    <w:rsid w:val="00F324E4"/>
    <w:rsid w:val="00F32C33"/>
    <w:rsid w:val="00F35052"/>
    <w:rsid w:val="00F3653D"/>
    <w:rsid w:val="00F37B9C"/>
    <w:rsid w:val="00F4319F"/>
    <w:rsid w:val="00F45FAD"/>
    <w:rsid w:val="00F500EB"/>
    <w:rsid w:val="00F5104D"/>
    <w:rsid w:val="00F54E0F"/>
    <w:rsid w:val="00F56C09"/>
    <w:rsid w:val="00F56D71"/>
    <w:rsid w:val="00F60EEB"/>
    <w:rsid w:val="00F620A3"/>
    <w:rsid w:val="00F63B7B"/>
    <w:rsid w:val="00F70D0F"/>
    <w:rsid w:val="00F714E0"/>
    <w:rsid w:val="00F738EA"/>
    <w:rsid w:val="00F73B57"/>
    <w:rsid w:val="00F7425B"/>
    <w:rsid w:val="00F750D1"/>
    <w:rsid w:val="00F75124"/>
    <w:rsid w:val="00F76373"/>
    <w:rsid w:val="00F803B6"/>
    <w:rsid w:val="00F83674"/>
    <w:rsid w:val="00F84144"/>
    <w:rsid w:val="00F85950"/>
    <w:rsid w:val="00F91192"/>
    <w:rsid w:val="00F923F8"/>
    <w:rsid w:val="00F9258E"/>
    <w:rsid w:val="00F93543"/>
    <w:rsid w:val="00F951E2"/>
    <w:rsid w:val="00F96648"/>
    <w:rsid w:val="00FA1F48"/>
    <w:rsid w:val="00FA7DEF"/>
    <w:rsid w:val="00FB05DF"/>
    <w:rsid w:val="00FB1343"/>
    <w:rsid w:val="00FB2E72"/>
    <w:rsid w:val="00FB2EFF"/>
    <w:rsid w:val="00FB3315"/>
    <w:rsid w:val="00FB4BD7"/>
    <w:rsid w:val="00FB5117"/>
    <w:rsid w:val="00FB6F4C"/>
    <w:rsid w:val="00FC0988"/>
    <w:rsid w:val="00FC0EDF"/>
    <w:rsid w:val="00FC1236"/>
    <w:rsid w:val="00FC249E"/>
    <w:rsid w:val="00FC2579"/>
    <w:rsid w:val="00FC297A"/>
    <w:rsid w:val="00FC5AB1"/>
    <w:rsid w:val="00FC5C69"/>
    <w:rsid w:val="00FD0867"/>
    <w:rsid w:val="00FD1DF7"/>
    <w:rsid w:val="00FD37B8"/>
    <w:rsid w:val="00FD4A76"/>
    <w:rsid w:val="00FD5C7B"/>
    <w:rsid w:val="00FD7DD5"/>
    <w:rsid w:val="00FE0207"/>
    <w:rsid w:val="00FE04A9"/>
    <w:rsid w:val="00FE21B1"/>
    <w:rsid w:val="00FE342D"/>
    <w:rsid w:val="00FE6FD1"/>
    <w:rsid w:val="00FE7DC9"/>
    <w:rsid w:val="00FF0706"/>
    <w:rsid w:val="00FF0AAF"/>
    <w:rsid w:val="00FF3BEA"/>
    <w:rsid w:val="00FF4B69"/>
    <w:rsid w:val="00FF4EE5"/>
  </w:rsids>
  <m:mathPr>
    <m:mathFont m:val="Cambria Math"/>
    <m:brkBin m:val="before"/>
    <m:brkBinSub m:val="--"/>
    <m:smallFrac m:val="0"/>
    <m:dispDef/>
    <m:lMargin m:val="0"/>
    <m:rMargin m:val="0"/>
    <m:defJc m:val="centerGroup"/>
    <m:wrapIndent m:val="1440"/>
    <m:intLim m:val="subSup"/>
    <m:naryLim m:val="undOvr"/>
  </m:mathPr>
  <w:themeFontLang w:val="lv-LV"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8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EC6"/>
  </w:style>
  <w:style w:type="paragraph" w:styleId="2">
    <w:name w:val="heading 2"/>
    <w:basedOn w:val="a"/>
    <w:next w:val="a"/>
    <w:link w:val="20"/>
    <w:qFormat/>
    <w:rsid w:val="00F14567"/>
    <w:pPr>
      <w:keepNext/>
      <w:jc w:val="both"/>
      <w:outlineLvl w:val="1"/>
    </w:pPr>
    <w:rPr>
      <w:rFonts w:eastAsia="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Normal bullet 2,Bullet list,List Paragraph1,Strip,virsraksts3,Akapit z listą BS,Bullet 1,Bullet Points,Dot pt,F5 List Paragraph,IFCL - List Paragraph,Indicator Text,List Paragraph Char Char Char,List Paragraph12,MAIN CONTENT"/>
    <w:basedOn w:val="a"/>
    <w:link w:val="a4"/>
    <w:qFormat/>
    <w:rsid w:val="000B30FA"/>
    <w:pPr>
      <w:ind w:left="720"/>
      <w:contextualSpacing/>
    </w:pPr>
  </w:style>
  <w:style w:type="paragraph" w:styleId="a5">
    <w:name w:val="header"/>
    <w:basedOn w:val="a"/>
    <w:link w:val="a6"/>
    <w:uiPriority w:val="99"/>
    <w:unhideWhenUsed/>
    <w:rsid w:val="004B4E3F"/>
    <w:pPr>
      <w:tabs>
        <w:tab w:val="center" w:pos="4153"/>
        <w:tab w:val="right" w:pos="8306"/>
      </w:tabs>
    </w:pPr>
  </w:style>
  <w:style w:type="character" w:customStyle="1" w:styleId="a6">
    <w:name w:val="Верхний колонтитул Знак"/>
    <w:basedOn w:val="a0"/>
    <w:link w:val="a5"/>
    <w:uiPriority w:val="99"/>
    <w:rsid w:val="004B4E3F"/>
  </w:style>
  <w:style w:type="paragraph" w:styleId="a7">
    <w:name w:val="footer"/>
    <w:basedOn w:val="a"/>
    <w:link w:val="a8"/>
    <w:uiPriority w:val="99"/>
    <w:unhideWhenUsed/>
    <w:rsid w:val="004B4E3F"/>
    <w:pPr>
      <w:tabs>
        <w:tab w:val="center" w:pos="4153"/>
        <w:tab w:val="right" w:pos="8306"/>
      </w:tabs>
    </w:pPr>
  </w:style>
  <w:style w:type="character" w:customStyle="1" w:styleId="a8">
    <w:name w:val="Нижний колонтитул Знак"/>
    <w:basedOn w:val="a0"/>
    <w:link w:val="a7"/>
    <w:uiPriority w:val="99"/>
    <w:rsid w:val="004B4E3F"/>
  </w:style>
  <w:style w:type="paragraph" w:styleId="a9">
    <w:name w:val="Balloon Text"/>
    <w:basedOn w:val="a"/>
    <w:link w:val="aa"/>
    <w:uiPriority w:val="99"/>
    <w:semiHidden/>
    <w:unhideWhenUsed/>
    <w:rsid w:val="0049266B"/>
    <w:rPr>
      <w:rFonts w:ascii="Segoe UI" w:hAnsi="Segoe UI" w:cs="Segoe UI"/>
      <w:sz w:val="18"/>
      <w:szCs w:val="18"/>
    </w:rPr>
  </w:style>
  <w:style w:type="character" w:customStyle="1" w:styleId="aa">
    <w:name w:val="Текст выноски Знак"/>
    <w:basedOn w:val="a0"/>
    <w:link w:val="a9"/>
    <w:uiPriority w:val="99"/>
    <w:semiHidden/>
    <w:rsid w:val="0049266B"/>
    <w:rPr>
      <w:rFonts w:ascii="Segoe UI" w:hAnsi="Segoe UI" w:cs="Segoe UI"/>
      <w:sz w:val="18"/>
      <w:szCs w:val="18"/>
    </w:rPr>
  </w:style>
  <w:style w:type="character" w:styleId="ab">
    <w:name w:val="annotation reference"/>
    <w:basedOn w:val="a0"/>
    <w:uiPriority w:val="99"/>
    <w:semiHidden/>
    <w:unhideWhenUsed/>
    <w:rsid w:val="00073159"/>
    <w:rPr>
      <w:sz w:val="16"/>
      <w:szCs w:val="16"/>
    </w:rPr>
  </w:style>
  <w:style w:type="paragraph" w:styleId="ac">
    <w:name w:val="annotation text"/>
    <w:basedOn w:val="a"/>
    <w:link w:val="ad"/>
    <w:uiPriority w:val="99"/>
    <w:unhideWhenUsed/>
    <w:rsid w:val="00073159"/>
    <w:rPr>
      <w:sz w:val="20"/>
      <w:szCs w:val="20"/>
    </w:rPr>
  </w:style>
  <w:style w:type="character" w:customStyle="1" w:styleId="ad">
    <w:name w:val="Текст примечания Знак"/>
    <w:basedOn w:val="a0"/>
    <w:link w:val="ac"/>
    <w:uiPriority w:val="99"/>
    <w:rsid w:val="00073159"/>
    <w:rPr>
      <w:sz w:val="20"/>
      <w:szCs w:val="20"/>
    </w:rPr>
  </w:style>
  <w:style w:type="paragraph" w:styleId="ae">
    <w:name w:val="annotation subject"/>
    <w:basedOn w:val="ac"/>
    <w:next w:val="ac"/>
    <w:link w:val="af"/>
    <w:uiPriority w:val="99"/>
    <w:semiHidden/>
    <w:unhideWhenUsed/>
    <w:rsid w:val="00073159"/>
    <w:rPr>
      <w:b/>
      <w:bCs/>
    </w:rPr>
  </w:style>
  <w:style w:type="character" w:customStyle="1" w:styleId="af">
    <w:name w:val="Тема примечания Знак"/>
    <w:basedOn w:val="ad"/>
    <w:link w:val="ae"/>
    <w:uiPriority w:val="99"/>
    <w:semiHidden/>
    <w:rsid w:val="00073159"/>
    <w:rPr>
      <w:b/>
      <w:bCs/>
      <w:sz w:val="20"/>
      <w:szCs w:val="20"/>
    </w:rPr>
  </w:style>
  <w:style w:type="character" w:customStyle="1" w:styleId="a4">
    <w:name w:val="Абзац списка Знак"/>
    <w:aliases w:val="2 Знак,Normal bullet 2 Знак,Bullet list Знак,List Paragraph1 Знак,Strip Знак,virsraksts3 Знак,Akapit z listą BS Знак,Bullet 1 Знак,Bullet Points Знак,Dot pt Знак,F5 List Paragraph Знак,IFCL - List Paragraph Знак,Indicator Text Знак"/>
    <w:basedOn w:val="a0"/>
    <w:link w:val="a3"/>
    <w:qFormat/>
    <w:locked/>
    <w:rsid w:val="00303660"/>
  </w:style>
  <w:style w:type="paragraph" w:styleId="af0">
    <w:name w:val="footnote text"/>
    <w:aliases w:val="Footnote,Fußnote Char,Fußnote Char Char,Fußnote Char Char Char Char Char Char,Fußnote,-E Fußnotentext,footnote text,Fußnotentext Ursprung,single space,FOOTNOTES,fn,Footnote Text Char2 Char,Footnote Text Char Char1 Char,Schriftart: 9 pt,f"/>
    <w:basedOn w:val="a"/>
    <w:link w:val="af1"/>
    <w:uiPriority w:val="99"/>
    <w:unhideWhenUsed/>
    <w:rsid w:val="00492FEF"/>
    <w:rPr>
      <w:sz w:val="20"/>
      <w:szCs w:val="20"/>
    </w:rPr>
  </w:style>
  <w:style w:type="character" w:customStyle="1" w:styleId="af1">
    <w:name w:val="Текст сноски Знак"/>
    <w:aliases w:val="Footnote Знак,Fußnote Char Знак,Fußnote Char Char Знак,Fußnote Char Char Char Char Char Char Знак,Fußnote Знак,-E Fußnotentext Знак,footnote text Знак,Fußnotentext Ursprung Знак,single space Знак,FOOTNOTES Знак,fn Знак,f Знак"/>
    <w:basedOn w:val="a0"/>
    <w:link w:val="af0"/>
    <w:uiPriority w:val="99"/>
    <w:rsid w:val="00492FEF"/>
    <w:rPr>
      <w:sz w:val="20"/>
      <w:szCs w:val="20"/>
    </w:rPr>
  </w:style>
  <w:style w:type="character" w:styleId="af2">
    <w:name w:val="footnote reference"/>
    <w:aliases w:val="Footnote Reference Number,Footnote symbol,Footnote Refernece,Footnote Reference Superscript,ftref,Odwołanie przypisu,BVI fnr,Footnotes refss,SUPERS,Ref,de nota al pie,-E Fußnotenzeichen,Footnote reference number,Times 10 Point,E,E FNZ"/>
    <w:basedOn w:val="a0"/>
    <w:link w:val="CharCharCharChar"/>
    <w:uiPriority w:val="99"/>
    <w:unhideWhenUsed/>
    <w:rsid w:val="00492FEF"/>
    <w:rPr>
      <w:vertAlign w:val="superscript"/>
    </w:rPr>
  </w:style>
  <w:style w:type="paragraph" w:styleId="af3">
    <w:name w:val="No Spacing"/>
    <w:uiPriority w:val="1"/>
    <w:qFormat/>
    <w:rsid w:val="00492FEF"/>
  </w:style>
  <w:style w:type="paragraph" w:customStyle="1" w:styleId="pamatteksts">
    <w:name w:val="pamatteksts"/>
    <w:link w:val="pamattekstsChar"/>
    <w:uiPriority w:val="99"/>
    <w:rsid w:val="00D52840"/>
    <w:pPr>
      <w:spacing w:before="100" w:after="120" w:line="276" w:lineRule="auto"/>
      <w:jc w:val="both"/>
    </w:pPr>
    <w:rPr>
      <w:rFonts w:asciiTheme="minorHAnsi" w:eastAsia="Calibri" w:hAnsiTheme="minorHAnsi" w:cs="Times New Roman"/>
      <w:sz w:val="20"/>
      <w:szCs w:val="20"/>
    </w:rPr>
  </w:style>
  <w:style w:type="character" w:customStyle="1" w:styleId="pamattekstsChar">
    <w:name w:val="pamatteksts Char"/>
    <w:basedOn w:val="a0"/>
    <w:link w:val="pamatteksts"/>
    <w:uiPriority w:val="99"/>
    <w:rsid w:val="00D52840"/>
    <w:rPr>
      <w:rFonts w:asciiTheme="minorHAnsi" w:eastAsia="Calibri" w:hAnsiTheme="minorHAnsi" w:cs="Times New Roman"/>
      <w:sz w:val="20"/>
      <w:szCs w:val="20"/>
    </w:rPr>
  </w:style>
  <w:style w:type="paragraph" w:customStyle="1" w:styleId="CharCharCharChar">
    <w:name w:val="Char Char Char Char"/>
    <w:aliases w:val="Char2"/>
    <w:basedOn w:val="a"/>
    <w:next w:val="a"/>
    <w:link w:val="af2"/>
    <w:uiPriority w:val="99"/>
    <w:rsid w:val="00D52840"/>
    <w:pPr>
      <w:spacing w:before="100" w:after="160" w:line="240" w:lineRule="exact"/>
      <w:jc w:val="both"/>
      <w:textAlignment w:val="baseline"/>
    </w:pPr>
    <w:rPr>
      <w:vertAlign w:val="superscript"/>
    </w:rPr>
  </w:style>
  <w:style w:type="paragraph" w:styleId="af4">
    <w:name w:val="Normal (Web)"/>
    <w:basedOn w:val="a"/>
    <w:uiPriority w:val="99"/>
    <w:unhideWhenUsed/>
    <w:rsid w:val="00921360"/>
    <w:pPr>
      <w:spacing w:before="100" w:beforeAutospacing="1" w:after="100" w:afterAutospacing="1"/>
    </w:pPr>
    <w:rPr>
      <w:rFonts w:eastAsia="Times New Roman" w:cs="Times New Roman"/>
      <w:szCs w:val="24"/>
      <w:lang w:eastAsia="lv-LV"/>
    </w:rPr>
  </w:style>
  <w:style w:type="paragraph" w:styleId="af5">
    <w:name w:val="Body Text Indent"/>
    <w:basedOn w:val="a"/>
    <w:link w:val="af6"/>
    <w:rsid w:val="00455D41"/>
    <w:pPr>
      <w:ind w:firstLine="720"/>
      <w:jc w:val="both"/>
    </w:pPr>
    <w:rPr>
      <w:rFonts w:eastAsia="Times New Roman" w:cs="Times New Roman"/>
      <w:sz w:val="26"/>
      <w:szCs w:val="20"/>
    </w:rPr>
  </w:style>
  <w:style w:type="character" w:customStyle="1" w:styleId="af6">
    <w:name w:val="Основной текст с отступом Знак"/>
    <w:basedOn w:val="a0"/>
    <w:link w:val="af5"/>
    <w:rsid w:val="00455D41"/>
    <w:rPr>
      <w:rFonts w:eastAsia="Times New Roman" w:cs="Times New Roman"/>
      <w:sz w:val="26"/>
      <w:szCs w:val="20"/>
    </w:rPr>
  </w:style>
  <w:style w:type="paragraph" w:styleId="21">
    <w:name w:val="Body Text 2"/>
    <w:basedOn w:val="a"/>
    <w:link w:val="22"/>
    <w:uiPriority w:val="99"/>
    <w:unhideWhenUsed/>
    <w:rsid w:val="009A1105"/>
    <w:pPr>
      <w:spacing w:after="120" w:line="480" w:lineRule="auto"/>
    </w:pPr>
  </w:style>
  <w:style w:type="character" w:customStyle="1" w:styleId="22">
    <w:name w:val="Основной текст 2 Знак"/>
    <w:basedOn w:val="a0"/>
    <w:link w:val="21"/>
    <w:uiPriority w:val="99"/>
    <w:rsid w:val="009A1105"/>
  </w:style>
  <w:style w:type="character" w:styleId="af7">
    <w:name w:val="Hyperlink"/>
    <w:basedOn w:val="a0"/>
    <w:uiPriority w:val="99"/>
    <w:semiHidden/>
    <w:unhideWhenUsed/>
    <w:rsid w:val="00754AA9"/>
    <w:rPr>
      <w:color w:val="0563C1"/>
      <w:u w:val="single"/>
    </w:rPr>
  </w:style>
  <w:style w:type="character" w:customStyle="1" w:styleId="20">
    <w:name w:val="Заголовок 2 Знак"/>
    <w:basedOn w:val="a0"/>
    <w:link w:val="2"/>
    <w:rsid w:val="00F14567"/>
    <w:rPr>
      <w:rFonts w:eastAsia="Times New Roman" w:cs="Times New Roman"/>
      <w:sz w:val="28"/>
      <w:szCs w:val="20"/>
    </w:rPr>
  </w:style>
  <w:style w:type="table" w:styleId="af8">
    <w:name w:val="Table Grid"/>
    <w:basedOn w:val="a1"/>
    <w:uiPriority w:val="39"/>
    <w:rsid w:val="000E4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unhideWhenUsed/>
    <w:rsid w:val="00C40C5F"/>
    <w:pPr>
      <w:spacing w:after="120"/>
    </w:pPr>
  </w:style>
  <w:style w:type="character" w:customStyle="1" w:styleId="afa">
    <w:name w:val="Основной текст Знак"/>
    <w:basedOn w:val="a0"/>
    <w:link w:val="af9"/>
    <w:uiPriority w:val="99"/>
    <w:rsid w:val="00C40C5F"/>
  </w:style>
  <w:style w:type="paragraph" w:styleId="afb">
    <w:name w:val="Revision"/>
    <w:hidden/>
    <w:uiPriority w:val="99"/>
    <w:semiHidden/>
    <w:rsid w:val="00E06941"/>
  </w:style>
  <w:style w:type="table" w:customStyle="1" w:styleId="GridTable4Accent5">
    <w:name w:val="Grid Table 4 Accent 5"/>
    <w:basedOn w:val="a1"/>
    <w:uiPriority w:val="49"/>
    <w:rsid w:val="0012458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EC6"/>
  </w:style>
  <w:style w:type="paragraph" w:styleId="2">
    <w:name w:val="heading 2"/>
    <w:basedOn w:val="a"/>
    <w:next w:val="a"/>
    <w:link w:val="20"/>
    <w:qFormat/>
    <w:rsid w:val="00F14567"/>
    <w:pPr>
      <w:keepNext/>
      <w:jc w:val="both"/>
      <w:outlineLvl w:val="1"/>
    </w:pPr>
    <w:rPr>
      <w:rFonts w:eastAsia="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Normal bullet 2,Bullet list,List Paragraph1,Strip,virsraksts3,Akapit z listą BS,Bullet 1,Bullet Points,Dot pt,F5 List Paragraph,IFCL - List Paragraph,Indicator Text,List Paragraph Char Char Char,List Paragraph12,MAIN CONTENT"/>
    <w:basedOn w:val="a"/>
    <w:link w:val="a4"/>
    <w:qFormat/>
    <w:rsid w:val="000B30FA"/>
    <w:pPr>
      <w:ind w:left="720"/>
      <w:contextualSpacing/>
    </w:pPr>
  </w:style>
  <w:style w:type="paragraph" w:styleId="a5">
    <w:name w:val="header"/>
    <w:basedOn w:val="a"/>
    <w:link w:val="a6"/>
    <w:uiPriority w:val="99"/>
    <w:unhideWhenUsed/>
    <w:rsid w:val="004B4E3F"/>
    <w:pPr>
      <w:tabs>
        <w:tab w:val="center" w:pos="4153"/>
        <w:tab w:val="right" w:pos="8306"/>
      </w:tabs>
    </w:pPr>
  </w:style>
  <w:style w:type="character" w:customStyle="1" w:styleId="a6">
    <w:name w:val="Верхний колонтитул Знак"/>
    <w:basedOn w:val="a0"/>
    <w:link w:val="a5"/>
    <w:uiPriority w:val="99"/>
    <w:rsid w:val="004B4E3F"/>
  </w:style>
  <w:style w:type="paragraph" w:styleId="a7">
    <w:name w:val="footer"/>
    <w:basedOn w:val="a"/>
    <w:link w:val="a8"/>
    <w:uiPriority w:val="99"/>
    <w:unhideWhenUsed/>
    <w:rsid w:val="004B4E3F"/>
    <w:pPr>
      <w:tabs>
        <w:tab w:val="center" w:pos="4153"/>
        <w:tab w:val="right" w:pos="8306"/>
      </w:tabs>
    </w:pPr>
  </w:style>
  <w:style w:type="character" w:customStyle="1" w:styleId="a8">
    <w:name w:val="Нижний колонтитул Знак"/>
    <w:basedOn w:val="a0"/>
    <w:link w:val="a7"/>
    <w:uiPriority w:val="99"/>
    <w:rsid w:val="004B4E3F"/>
  </w:style>
  <w:style w:type="paragraph" w:styleId="a9">
    <w:name w:val="Balloon Text"/>
    <w:basedOn w:val="a"/>
    <w:link w:val="aa"/>
    <w:uiPriority w:val="99"/>
    <w:semiHidden/>
    <w:unhideWhenUsed/>
    <w:rsid w:val="0049266B"/>
    <w:rPr>
      <w:rFonts w:ascii="Segoe UI" w:hAnsi="Segoe UI" w:cs="Segoe UI"/>
      <w:sz w:val="18"/>
      <w:szCs w:val="18"/>
    </w:rPr>
  </w:style>
  <w:style w:type="character" w:customStyle="1" w:styleId="aa">
    <w:name w:val="Текст выноски Знак"/>
    <w:basedOn w:val="a0"/>
    <w:link w:val="a9"/>
    <w:uiPriority w:val="99"/>
    <w:semiHidden/>
    <w:rsid w:val="0049266B"/>
    <w:rPr>
      <w:rFonts w:ascii="Segoe UI" w:hAnsi="Segoe UI" w:cs="Segoe UI"/>
      <w:sz w:val="18"/>
      <w:szCs w:val="18"/>
    </w:rPr>
  </w:style>
  <w:style w:type="character" w:styleId="ab">
    <w:name w:val="annotation reference"/>
    <w:basedOn w:val="a0"/>
    <w:uiPriority w:val="99"/>
    <w:semiHidden/>
    <w:unhideWhenUsed/>
    <w:rsid w:val="00073159"/>
    <w:rPr>
      <w:sz w:val="16"/>
      <w:szCs w:val="16"/>
    </w:rPr>
  </w:style>
  <w:style w:type="paragraph" w:styleId="ac">
    <w:name w:val="annotation text"/>
    <w:basedOn w:val="a"/>
    <w:link w:val="ad"/>
    <w:uiPriority w:val="99"/>
    <w:unhideWhenUsed/>
    <w:rsid w:val="00073159"/>
    <w:rPr>
      <w:sz w:val="20"/>
      <w:szCs w:val="20"/>
    </w:rPr>
  </w:style>
  <w:style w:type="character" w:customStyle="1" w:styleId="ad">
    <w:name w:val="Текст примечания Знак"/>
    <w:basedOn w:val="a0"/>
    <w:link w:val="ac"/>
    <w:uiPriority w:val="99"/>
    <w:rsid w:val="00073159"/>
    <w:rPr>
      <w:sz w:val="20"/>
      <w:szCs w:val="20"/>
    </w:rPr>
  </w:style>
  <w:style w:type="paragraph" w:styleId="ae">
    <w:name w:val="annotation subject"/>
    <w:basedOn w:val="ac"/>
    <w:next w:val="ac"/>
    <w:link w:val="af"/>
    <w:uiPriority w:val="99"/>
    <w:semiHidden/>
    <w:unhideWhenUsed/>
    <w:rsid w:val="00073159"/>
    <w:rPr>
      <w:b/>
      <w:bCs/>
    </w:rPr>
  </w:style>
  <w:style w:type="character" w:customStyle="1" w:styleId="af">
    <w:name w:val="Тема примечания Знак"/>
    <w:basedOn w:val="ad"/>
    <w:link w:val="ae"/>
    <w:uiPriority w:val="99"/>
    <w:semiHidden/>
    <w:rsid w:val="00073159"/>
    <w:rPr>
      <w:b/>
      <w:bCs/>
      <w:sz w:val="20"/>
      <w:szCs w:val="20"/>
    </w:rPr>
  </w:style>
  <w:style w:type="character" w:customStyle="1" w:styleId="a4">
    <w:name w:val="Абзац списка Знак"/>
    <w:aliases w:val="2 Знак,Normal bullet 2 Знак,Bullet list Знак,List Paragraph1 Знак,Strip Знак,virsraksts3 Знак,Akapit z listą BS Знак,Bullet 1 Знак,Bullet Points Знак,Dot pt Знак,F5 List Paragraph Знак,IFCL - List Paragraph Знак,Indicator Text Знак"/>
    <w:basedOn w:val="a0"/>
    <w:link w:val="a3"/>
    <w:qFormat/>
    <w:locked/>
    <w:rsid w:val="00303660"/>
  </w:style>
  <w:style w:type="paragraph" w:styleId="af0">
    <w:name w:val="footnote text"/>
    <w:aliases w:val="Footnote,Fußnote Char,Fußnote Char Char,Fußnote Char Char Char Char Char Char,Fußnote,-E Fußnotentext,footnote text,Fußnotentext Ursprung,single space,FOOTNOTES,fn,Footnote Text Char2 Char,Footnote Text Char Char1 Char,Schriftart: 9 pt,f"/>
    <w:basedOn w:val="a"/>
    <w:link w:val="af1"/>
    <w:uiPriority w:val="99"/>
    <w:unhideWhenUsed/>
    <w:rsid w:val="00492FEF"/>
    <w:rPr>
      <w:sz w:val="20"/>
      <w:szCs w:val="20"/>
    </w:rPr>
  </w:style>
  <w:style w:type="character" w:customStyle="1" w:styleId="af1">
    <w:name w:val="Текст сноски Знак"/>
    <w:aliases w:val="Footnote Знак,Fußnote Char Знак,Fußnote Char Char Знак,Fußnote Char Char Char Char Char Char Знак,Fußnote Знак,-E Fußnotentext Знак,footnote text Знак,Fußnotentext Ursprung Знак,single space Знак,FOOTNOTES Знак,fn Знак,f Знак"/>
    <w:basedOn w:val="a0"/>
    <w:link w:val="af0"/>
    <w:uiPriority w:val="99"/>
    <w:rsid w:val="00492FEF"/>
    <w:rPr>
      <w:sz w:val="20"/>
      <w:szCs w:val="20"/>
    </w:rPr>
  </w:style>
  <w:style w:type="character" w:styleId="af2">
    <w:name w:val="footnote reference"/>
    <w:aliases w:val="Footnote Reference Number,Footnote symbol,Footnote Refernece,Footnote Reference Superscript,ftref,Odwołanie przypisu,BVI fnr,Footnotes refss,SUPERS,Ref,de nota al pie,-E Fußnotenzeichen,Footnote reference number,Times 10 Point,E,E FNZ"/>
    <w:basedOn w:val="a0"/>
    <w:link w:val="CharCharCharChar"/>
    <w:uiPriority w:val="99"/>
    <w:unhideWhenUsed/>
    <w:rsid w:val="00492FEF"/>
    <w:rPr>
      <w:vertAlign w:val="superscript"/>
    </w:rPr>
  </w:style>
  <w:style w:type="paragraph" w:styleId="af3">
    <w:name w:val="No Spacing"/>
    <w:uiPriority w:val="1"/>
    <w:qFormat/>
    <w:rsid w:val="00492FEF"/>
  </w:style>
  <w:style w:type="paragraph" w:customStyle="1" w:styleId="pamatteksts">
    <w:name w:val="pamatteksts"/>
    <w:link w:val="pamattekstsChar"/>
    <w:uiPriority w:val="99"/>
    <w:rsid w:val="00D52840"/>
    <w:pPr>
      <w:spacing w:before="100" w:after="120" w:line="276" w:lineRule="auto"/>
      <w:jc w:val="both"/>
    </w:pPr>
    <w:rPr>
      <w:rFonts w:asciiTheme="minorHAnsi" w:eastAsia="Calibri" w:hAnsiTheme="minorHAnsi" w:cs="Times New Roman"/>
      <w:sz w:val="20"/>
      <w:szCs w:val="20"/>
    </w:rPr>
  </w:style>
  <w:style w:type="character" w:customStyle="1" w:styleId="pamattekstsChar">
    <w:name w:val="pamatteksts Char"/>
    <w:basedOn w:val="a0"/>
    <w:link w:val="pamatteksts"/>
    <w:uiPriority w:val="99"/>
    <w:rsid w:val="00D52840"/>
    <w:rPr>
      <w:rFonts w:asciiTheme="minorHAnsi" w:eastAsia="Calibri" w:hAnsiTheme="minorHAnsi" w:cs="Times New Roman"/>
      <w:sz w:val="20"/>
      <w:szCs w:val="20"/>
    </w:rPr>
  </w:style>
  <w:style w:type="paragraph" w:customStyle="1" w:styleId="CharCharCharChar">
    <w:name w:val="Char Char Char Char"/>
    <w:aliases w:val="Char2"/>
    <w:basedOn w:val="a"/>
    <w:next w:val="a"/>
    <w:link w:val="af2"/>
    <w:uiPriority w:val="99"/>
    <w:rsid w:val="00D52840"/>
    <w:pPr>
      <w:spacing w:before="100" w:after="160" w:line="240" w:lineRule="exact"/>
      <w:jc w:val="both"/>
      <w:textAlignment w:val="baseline"/>
    </w:pPr>
    <w:rPr>
      <w:vertAlign w:val="superscript"/>
    </w:rPr>
  </w:style>
  <w:style w:type="paragraph" w:styleId="af4">
    <w:name w:val="Normal (Web)"/>
    <w:basedOn w:val="a"/>
    <w:uiPriority w:val="99"/>
    <w:unhideWhenUsed/>
    <w:rsid w:val="00921360"/>
    <w:pPr>
      <w:spacing w:before="100" w:beforeAutospacing="1" w:after="100" w:afterAutospacing="1"/>
    </w:pPr>
    <w:rPr>
      <w:rFonts w:eastAsia="Times New Roman" w:cs="Times New Roman"/>
      <w:szCs w:val="24"/>
      <w:lang w:eastAsia="lv-LV"/>
    </w:rPr>
  </w:style>
  <w:style w:type="paragraph" w:styleId="af5">
    <w:name w:val="Body Text Indent"/>
    <w:basedOn w:val="a"/>
    <w:link w:val="af6"/>
    <w:rsid w:val="00455D41"/>
    <w:pPr>
      <w:ind w:firstLine="720"/>
      <w:jc w:val="both"/>
    </w:pPr>
    <w:rPr>
      <w:rFonts w:eastAsia="Times New Roman" w:cs="Times New Roman"/>
      <w:sz w:val="26"/>
      <w:szCs w:val="20"/>
    </w:rPr>
  </w:style>
  <w:style w:type="character" w:customStyle="1" w:styleId="af6">
    <w:name w:val="Основной текст с отступом Знак"/>
    <w:basedOn w:val="a0"/>
    <w:link w:val="af5"/>
    <w:rsid w:val="00455D41"/>
    <w:rPr>
      <w:rFonts w:eastAsia="Times New Roman" w:cs="Times New Roman"/>
      <w:sz w:val="26"/>
      <w:szCs w:val="20"/>
    </w:rPr>
  </w:style>
  <w:style w:type="paragraph" w:styleId="21">
    <w:name w:val="Body Text 2"/>
    <w:basedOn w:val="a"/>
    <w:link w:val="22"/>
    <w:uiPriority w:val="99"/>
    <w:unhideWhenUsed/>
    <w:rsid w:val="009A1105"/>
    <w:pPr>
      <w:spacing w:after="120" w:line="480" w:lineRule="auto"/>
    </w:pPr>
  </w:style>
  <w:style w:type="character" w:customStyle="1" w:styleId="22">
    <w:name w:val="Основной текст 2 Знак"/>
    <w:basedOn w:val="a0"/>
    <w:link w:val="21"/>
    <w:uiPriority w:val="99"/>
    <w:rsid w:val="009A1105"/>
  </w:style>
  <w:style w:type="character" w:styleId="af7">
    <w:name w:val="Hyperlink"/>
    <w:basedOn w:val="a0"/>
    <w:uiPriority w:val="99"/>
    <w:semiHidden/>
    <w:unhideWhenUsed/>
    <w:rsid w:val="00754AA9"/>
    <w:rPr>
      <w:color w:val="0563C1"/>
      <w:u w:val="single"/>
    </w:rPr>
  </w:style>
  <w:style w:type="character" w:customStyle="1" w:styleId="20">
    <w:name w:val="Заголовок 2 Знак"/>
    <w:basedOn w:val="a0"/>
    <w:link w:val="2"/>
    <w:rsid w:val="00F14567"/>
    <w:rPr>
      <w:rFonts w:eastAsia="Times New Roman" w:cs="Times New Roman"/>
      <w:sz w:val="28"/>
      <w:szCs w:val="20"/>
    </w:rPr>
  </w:style>
  <w:style w:type="table" w:styleId="af8">
    <w:name w:val="Table Grid"/>
    <w:basedOn w:val="a1"/>
    <w:uiPriority w:val="39"/>
    <w:rsid w:val="000E4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unhideWhenUsed/>
    <w:rsid w:val="00C40C5F"/>
    <w:pPr>
      <w:spacing w:after="120"/>
    </w:pPr>
  </w:style>
  <w:style w:type="character" w:customStyle="1" w:styleId="afa">
    <w:name w:val="Основной текст Знак"/>
    <w:basedOn w:val="a0"/>
    <w:link w:val="af9"/>
    <w:uiPriority w:val="99"/>
    <w:rsid w:val="00C40C5F"/>
  </w:style>
  <w:style w:type="paragraph" w:styleId="afb">
    <w:name w:val="Revision"/>
    <w:hidden/>
    <w:uiPriority w:val="99"/>
    <w:semiHidden/>
    <w:rsid w:val="00E06941"/>
  </w:style>
  <w:style w:type="table" w:customStyle="1" w:styleId="GridTable4Accent5">
    <w:name w:val="Grid Table 4 Accent 5"/>
    <w:basedOn w:val="a1"/>
    <w:uiPriority w:val="49"/>
    <w:rsid w:val="0012458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3438">
      <w:bodyDiv w:val="1"/>
      <w:marLeft w:val="0"/>
      <w:marRight w:val="0"/>
      <w:marTop w:val="0"/>
      <w:marBottom w:val="0"/>
      <w:divBdr>
        <w:top w:val="none" w:sz="0" w:space="0" w:color="auto"/>
        <w:left w:val="none" w:sz="0" w:space="0" w:color="auto"/>
        <w:bottom w:val="none" w:sz="0" w:space="0" w:color="auto"/>
        <w:right w:val="none" w:sz="0" w:space="0" w:color="auto"/>
      </w:divBdr>
    </w:div>
    <w:div w:id="9529743">
      <w:bodyDiv w:val="1"/>
      <w:marLeft w:val="0"/>
      <w:marRight w:val="0"/>
      <w:marTop w:val="0"/>
      <w:marBottom w:val="0"/>
      <w:divBdr>
        <w:top w:val="none" w:sz="0" w:space="0" w:color="auto"/>
        <w:left w:val="none" w:sz="0" w:space="0" w:color="auto"/>
        <w:bottom w:val="none" w:sz="0" w:space="0" w:color="auto"/>
        <w:right w:val="none" w:sz="0" w:space="0" w:color="auto"/>
      </w:divBdr>
    </w:div>
    <w:div w:id="21787746">
      <w:bodyDiv w:val="1"/>
      <w:marLeft w:val="0"/>
      <w:marRight w:val="0"/>
      <w:marTop w:val="0"/>
      <w:marBottom w:val="0"/>
      <w:divBdr>
        <w:top w:val="none" w:sz="0" w:space="0" w:color="auto"/>
        <w:left w:val="none" w:sz="0" w:space="0" w:color="auto"/>
        <w:bottom w:val="none" w:sz="0" w:space="0" w:color="auto"/>
        <w:right w:val="none" w:sz="0" w:space="0" w:color="auto"/>
      </w:divBdr>
    </w:div>
    <w:div w:id="49352811">
      <w:bodyDiv w:val="1"/>
      <w:marLeft w:val="0"/>
      <w:marRight w:val="0"/>
      <w:marTop w:val="0"/>
      <w:marBottom w:val="0"/>
      <w:divBdr>
        <w:top w:val="none" w:sz="0" w:space="0" w:color="auto"/>
        <w:left w:val="none" w:sz="0" w:space="0" w:color="auto"/>
        <w:bottom w:val="none" w:sz="0" w:space="0" w:color="auto"/>
        <w:right w:val="none" w:sz="0" w:space="0" w:color="auto"/>
      </w:divBdr>
    </w:div>
    <w:div w:id="74010153">
      <w:bodyDiv w:val="1"/>
      <w:marLeft w:val="0"/>
      <w:marRight w:val="0"/>
      <w:marTop w:val="0"/>
      <w:marBottom w:val="0"/>
      <w:divBdr>
        <w:top w:val="none" w:sz="0" w:space="0" w:color="auto"/>
        <w:left w:val="none" w:sz="0" w:space="0" w:color="auto"/>
        <w:bottom w:val="none" w:sz="0" w:space="0" w:color="auto"/>
        <w:right w:val="none" w:sz="0" w:space="0" w:color="auto"/>
      </w:divBdr>
    </w:div>
    <w:div w:id="123473393">
      <w:bodyDiv w:val="1"/>
      <w:marLeft w:val="0"/>
      <w:marRight w:val="0"/>
      <w:marTop w:val="0"/>
      <w:marBottom w:val="0"/>
      <w:divBdr>
        <w:top w:val="none" w:sz="0" w:space="0" w:color="auto"/>
        <w:left w:val="none" w:sz="0" w:space="0" w:color="auto"/>
        <w:bottom w:val="none" w:sz="0" w:space="0" w:color="auto"/>
        <w:right w:val="none" w:sz="0" w:space="0" w:color="auto"/>
      </w:divBdr>
    </w:div>
    <w:div w:id="159657348">
      <w:bodyDiv w:val="1"/>
      <w:marLeft w:val="0"/>
      <w:marRight w:val="0"/>
      <w:marTop w:val="0"/>
      <w:marBottom w:val="0"/>
      <w:divBdr>
        <w:top w:val="none" w:sz="0" w:space="0" w:color="auto"/>
        <w:left w:val="none" w:sz="0" w:space="0" w:color="auto"/>
        <w:bottom w:val="none" w:sz="0" w:space="0" w:color="auto"/>
        <w:right w:val="none" w:sz="0" w:space="0" w:color="auto"/>
      </w:divBdr>
    </w:div>
    <w:div w:id="193153586">
      <w:bodyDiv w:val="1"/>
      <w:marLeft w:val="0"/>
      <w:marRight w:val="0"/>
      <w:marTop w:val="0"/>
      <w:marBottom w:val="0"/>
      <w:divBdr>
        <w:top w:val="none" w:sz="0" w:space="0" w:color="auto"/>
        <w:left w:val="none" w:sz="0" w:space="0" w:color="auto"/>
        <w:bottom w:val="none" w:sz="0" w:space="0" w:color="auto"/>
        <w:right w:val="none" w:sz="0" w:space="0" w:color="auto"/>
      </w:divBdr>
      <w:divsChild>
        <w:div w:id="908156294">
          <w:marLeft w:val="0"/>
          <w:marRight w:val="0"/>
          <w:marTop w:val="0"/>
          <w:marBottom w:val="0"/>
          <w:divBdr>
            <w:top w:val="none" w:sz="0" w:space="0" w:color="auto"/>
            <w:left w:val="none" w:sz="0" w:space="0" w:color="auto"/>
            <w:bottom w:val="none" w:sz="0" w:space="0" w:color="auto"/>
            <w:right w:val="none" w:sz="0" w:space="0" w:color="auto"/>
          </w:divBdr>
          <w:divsChild>
            <w:div w:id="1916545402">
              <w:marLeft w:val="0"/>
              <w:marRight w:val="0"/>
              <w:marTop w:val="0"/>
              <w:marBottom w:val="0"/>
              <w:divBdr>
                <w:top w:val="none" w:sz="0" w:space="0" w:color="auto"/>
                <w:left w:val="none" w:sz="0" w:space="0" w:color="auto"/>
                <w:bottom w:val="none" w:sz="0" w:space="0" w:color="auto"/>
                <w:right w:val="none" w:sz="0" w:space="0" w:color="auto"/>
              </w:divBdr>
              <w:divsChild>
                <w:div w:id="384111183">
                  <w:marLeft w:val="0"/>
                  <w:marRight w:val="0"/>
                  <w:marTop w:val="0"/>
                  <w:marBottom w:val="0"/>
                  <w:divBdr>
                    <w:top w:val="none" w:sz="0" w:space="0" w:color="auto"/>
                    <w:left w:val="none" w:sz="0" w:space="0" w:color="auto"/>
                    <w:bottom w:val="none" w:sz="0" w:space="0" w:color="auto"/>
                    <w:right w:val="none" w:sz="0" w:space="0" w:color="auto"/>
                  </w:divBdr>
                  <w:divsChild>
                    <w:div w:id="1198817123">
                      <w:marLeft w:val="0"/>
                      <w:marRight w:val="0"/>
                      <w:marTop w:val="0"/>
                      <w:marBottom w:val="0"/>
                      <w:divBdr>
                        <w:top w:val="none" w:sz="0" w:space="0" w:color="auto"/>
                        <w:left w:val="none" w:sz="0" w:space="0" w:color="auto"/>
                        <w:bottom w:val="none" w:sz="0" w:space="0" w:color="auto"/>
                        <w:right w:val="none" w:sz="0" w:space="0" w:color="auto"/>
                      </w:divBdr>
                      <w:divsChild>
                        <w:div w:id="528639163">
                          <w:marLeft w:val="0"/>
                          <w:marRight w:val="0"/>
                          <w:marTop w:val="0"/>
                          <w:marBottom w:val="0"/>
                          <w:divBdr>
                            <w:top w:val="none" w:sz="0" w:space="0" w:color="auto"/>
                            <w:left w:val="none" w:sz="0" w:space="0" w:color="auto"/>
                            <w:bottom w:val="none" w:sz="0" w:space="0" w:color="auto"/>
                            <w:right w:val="none" w:sz="0" w:space="0" w:color="auto"/>
                          </w:divBdr>
                          <w:divsChild>
                            <w:div w:id="2377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32894">
      <w:bodyDiv w:val="1"/>
      <w:marLeft w:val="0"/>
      <w:marRight w:val="0"/>
      <w:marTop w:val="0"/>
      <w:marBottom w:val="0"/>
      <w:divBdr>
        <w:top w:val="none" w:sz="0" w:space="0" w:color="auto"/>
        <w:left w:val="none" w:sz="0" w:space="0" w:color="auto"/>
        <w:bottom w:val="none" w:sz="0" w:space="0" w:color="auto"/>
        <w:right w:val="none" w:sz="0" w:space="0" w:color="auto"/>
      </w:divBdr>
    </w:div>
    <w:div w:id="229923313">
      <w:bodyDiv w:val="1"/>
      <w:marLeft w:val="0"/>
      <w:marRight w:val="0"/>
      <w:marTop w:val="0"/>
      <w:marBottom w:val="0"/>
      <w:divBdr>
        <w:top w:val="none" w:sz="0" w:space="0" w:color="auto"/>
        <w:left w:val="none" w:sz="0" w:space="0" w:color="auto"/>
        <w:bottom w:val="none" w:sz="0" w:space="0" w:color="auto"/>
        <w:right w:val="none" w:sz="0" w:space="0" w:color="auto"/>
      </w:divBdr>
    </w:div>
    <w:div w:id="235284536">
      <w:bodyDiv w:val="1"/>
      <w:marLeft w:val="0"/>
      <w:marRight w:val="0"/>
      <w:marTop w:val="0"/>
      <w:marBottom w:val="0"/>
      <w:divBdr>
        <w:top w:val="none" w:sz="0" w:space="0" w:color="auto"/>
        <w:left w:val="none" w:sz="0" w:space="0" w:color="auto"/>
        <w:bottom w:val="none" w:sz="0" w:space="0" w:color="auto"/>
        <w:right w:val="none" w:sz="0" w:space="0" w:color="auto"/>
      </w:divBdr>
    </w:div>
    <w:div w:id="263419347">
      <w:bodyDiv w:val="1"/>
      <w:marLeft w:val="0"/>
      <w:marRight w:val="0"/>
      <w:marTop w:val="0"/>
      <w:marBottom w:val="0"/>
      <w:divBdr>
        <w:top w:val="none" w:sz="0" w:space="0" w:color="auto"/>
        <w:left w:val="none" w:sz="0" w:space="0" w:color="auto"/>
        <w:bottom w:val="none" w:sz="0" w:space="0" w:color="auto"/>
        <w:right w:val="none" w:sz="0" w:space="0" w:color="auto"/>
      </w:divBdr>
    </w:div>
    <w:div w:id="286350236">
      <w:bodyDiv w:val="1"/>
      <w:marLeft w:val="0"/>
      <w:marRight w:val="0"/>
      <w:marTop w:val="0"/>
      <w:marBottom w:val="0"/>
      <w:divBdr>
        <w:top w:val="none" w:sz="0" w:space="0" w:color="auto"/>
        <w:left w:val="none" w:sz="0" w:space="0" w:color="auto"/>
        <w:bottom w:val="none" w:sz="0" w:space="0" w:color="auto"/>
        <w:right w:val="none" w:sz="0" w:space="0" w:color="auto"/>
      </w:divBdr>
    </w:div>
    <w:div w:id="289165249">
      <w:bodyDiv w:val="1"/>
      <w:marLeft w:val="0"/>
      <w:marRight w:val="0"/>
      <w:marTop w:val="0"/>
      <w:marBottom w:val="0"/>
      <w:divBdr>
        <w:top w:val="none" w:sz="0" w:space="0" w:color="auto"/>
        <w:left w:val="none" w:sz="0" w:space="0" w:color="auto"/>
        <w:bottom w:val="none" w:sz="0" w:space="0" w:color="auto"/>
        <w:right w:val="none" w:sz="0" w:space="0" w:color="auto"/>
      </w:divBdr>
    </w:div>
    <w:div w:id="341392589">
      <w:bodyDiv w:val="1"/>
      <w:marLeft w:val="0"/>
      <w:marRight w:val="0"/>
      <w:marTop w:val="0"/>
      <w:marBottom w:val="0"/>
      <w:divBdr>
        <w:top w:val="none" w:sz="0" w:space="0" w:color="auto"/>
        <w:left w:val="none" w:sz="0" w:space="0" w:color="auto"/>
        <w:bottom w:val="none" w:sz="0" w:space="0" w:color="auto"/>
        <w:right w:val="none" w:sz="0" w:space="0" w:color="auto"/>
      </w:divBdr>
    </w:div>
    <w:div w:id="374549819">
      <w:bodyDiv w:val="1"/>
      <w:marLeft w:val="0"/>
      <w:marRight w:val="0"/>
      <w:marTop w:val="0"/>
      <w:marBottom w:val="0"/>
      <w:divBdr>
        <w:top w:val="none" w:sz="0" w:space="0" w:color="auto"/>
        <w:left w:val="none" w:sz="0" w:space="0" w:color="auto"/>
        <w:bottom w:val="none" w:sz="0" w:space="0" w:color="auto"/>
        <w:right w:val="none" w:sz="0" w:space="0" w:color="auto"/>
      </w:divBdr>
    </w:div>
    <w:div w:id="400522417">
      <w:bodyDiv w:val="1"/>
      <w:marLeft w:val="0"/>
      <w:marRight w:val="0"/>
      <w:marTop w:val="0"/>
      <w:marBottom w:val="0"/>
      <w:divBdr>
        <w:top w:val="none" w:sz="0" w:space="0" w:color="auto"/>
        <w:left w:val="none" w:sz="0" w:space="0" w:color="auto"/>
        <w:bottom w:val="none" w:sz="0" w:space="0" w:color="auto"/>
        <w:right w:val="none" w:sz="0" w:space="0" w:color="auto"/>
      </w:divBdr>
    </w:div>
    <w:div w:id="408579653">
      <w:bodyDiv w:val="1"/>
      <w:marLeft w:val="0"/>
      <w:marRight w:val="0"/>
      <w:marTop w:val="0"/>
      <w:marBottom w:val="0"/>
      <w:divBdr>
        <w:top w:val="none" w:sz="0" w:space="0" w:color="auto"/>
        <w:left w:val="none" w:sz="0" w:space="0" w:color="auto"/>
        <w:bottom w:val="none" w:sz="0" w:space="0" w:color="auto"/>
        <w:right w:val="none" w:sz="0" w:space="0" w:color="auto"/>
      </w:divBdr>
    </w:div>
    <w:div w:id="482502631">
      <w:bodyDiv w:val="1"/>
      <w:marLeft w:val="0"/>
      <w:marRight w:val="0"/>
      <w:marTop w:val="0"/>
      <w:marBottom w:val="0"/>
      <w:divBdr>
        <w:top w:val="none" w:sz="0" w:space="0" w:color="auto"/>
        <w:left w:val="none" w:sz="0" w:space="0" w:color="auto"/>
        <w:bottom w:val="none" w:sz="0" w:space="0" w:color="auto"/>
        <w:right w:val="none" w:sz="0" w:space="0" w:color="auto"/>
      </w:divBdr>
    </w:div>
    <w:div w:id="483474747">
      <w:bodyDiv w:val="1"/>
      <w:marLeft w:val="0"/>
      <w:marRight w:val="0"/>
      <w:marTop w:val="0"/>
      <w:marBottom w:val="0"/>
      <w:divBdr>
        <w:top w:val="none" w:sz="0" w:space="0" w:color="auto"/>
        <w:left w:val="none" w:sz="0" w:space="0" w:color="auto"/>
        <w:bottom w:val="none" w:sz="0" w:space="0" w:color="auto"/>
        <w:right w:val="none" w:sz="0" w:space="0" w:color="auto"/>
      </w:divBdr>
    </w:div>
    <w:div w:id="485905134">
      <w:bodyDiv w:val="1"/>
      <w:marLeft w:val="0"/>
      <w:marRight w:val="0"/>
      <w:marTop w:val="0"/>
      <w:marBottom w:val="0"/>
      <w:divBdr>
        <w:top w:val="none" w:sz="0" w:space="0" w:color="auto"/>
        <w:left w:val="none" w:sz="0" w:space="0" w:color="auto"/>
        <w:bottom w:val="none" w:sz="0" w:space="0" w:color="auto"/>
        <w:right w:val="none" w:sz="0" w:space="0" w:color="auto"/>
      </w:divBdr>
    </w:div>
    <w:div w:id="509294253">
      <w:bodyDiv w:val="1"/>
      <w:marLeft w:val="0"/>
      <w:marRight w:val="0"/>
      <w:marTop w:val="0"/>
      <w:marBottom w:val="0"/>
      <w:divBdr>
        <w:top w:val="none" w:sz="0" w:space="0" w:color="auto"/>
        <w:left w:val="none" w:sz="0" w:space="0" w:color="auto"/>
        <w:bottom w:val="none" w:sz="0" w:space="0" w:color="auto"/>
        <w:right w:val="none" w:sz="0" w:space="0" w:color="auto"/>
      </w:divBdr>
    </w:div>
    <w:div w:id="558394485">
      <w:bodyDiv w:val="1"/>
      <w:marLeft w:val="0"/>
      <w:marRight w:val="0"/>
      <w:marTop w:val="0"/>
      <w:marBottom w:val="0"/>
      <w:divBdr>
        <w:top w:val="none" w:sz="0" w:space="0" w:color="auto"/>
        <w:left w:val="none" w:sz="0" w:space="0" w:color="auto"/>
        <w:bottom w:val="none" w:sz="0" w:space="0" w:color="auto"/>
        <w:right w:val="none" w:sz="0" w:space="0" w:color="auto"/>
      </w:divBdr>
    </w:div>
    <w:div w:id="573973439">
      <w:bodyDiv w:val="1"/>
      <w:marLeft w:val="0"/>
      <w:marRight w:val="0"/>
      <w:marTop w:val="0"/>
      <w:marBottom w:val="0"/>
      <w:divBdr>
        <w:top w:val="none" w:sz="0" w:space="0" w:color="auto"/>
        <w:left w:val="none" w:sz="0" w:space="0" w:color="auto"/>
        <w:bottom w:val="none" w:sz="0" w:space="0" w:color="auto"/>
        <w:right w:val="none" w:sz="0" w:space="0" w:color="auto"/>
      </w:divBdr>
    </w:div>
    <w:div w:id="578255354">
      <w:bodyDiv w:val="1"/>
      <w:marLeft w:val="0"/>
      <w:marRight w:val="0"/>
      <w:marTop w:val="0"/>
      <w:marBottom w:val="0"/>
      <w:divBdr>
        <w:top w:val="none" w:sz="0" w:space="0" w:color="auto"/>
        <w:left w:val="none" w:sz="0" w:space="0" w:color="auto"/>
        <w:bottom w:val="none" w:sz="0" w:space="0" w:color="auto"/>
        <w:right w:val="none" w:sz="0" w:space="0" w:color="auto"/>
      </w:divBdr>
    </w:div>
    <w:div w:id="608395042">
      <w:bodyDiv w:val="1"/>
      <w:marLeft w:val="0"/>
      <w:marRight w:val="0"/>
      <w:marTop w:val="0"/>
      <w:marBottom w:val="0"/>
      <w:divBdr>
        <w:top w:val="none" w:sz="0" w:space="0" w:color="auto"/>
        <w:left w:val="none" w:sz="0" w:space="0" w:color="auto"/>
        <w:bottom w:val="none" w:sz="0" w:space="0" w:color="auto"/>
        <w:right w:val="none" w:sz="0" w:space="0" w:color="auto"/>
      </w:divBdr>
    </w:div>
    <w:div w:id="635329949">
      <w:bodyDiv w:val="1"/>
      <w:marLeft w:val="0"/>
      <w:marRight w:val="0"/>
      <w:marTop w:val="0"/>
      <w:marBottom w:val="0"/>
      <w:divBdr>
        <w:top w:val="none" w:sz="0" w:space="0" w:color="auto"/>
        <w:left w:val="none" w:sz="0" w:space="0" w:color="auto"/>
        <w:bottom w:val="none" w:sz="0" w:space="0" w:color="auto"/>
        <w:right w:val="none" w:sz="0" w:space="0" w:color="auto"/>
      </w:divBdr>
    </w:div>
    <w:div w:id="685791026">
      <w:bodyDiv w:val="1"/>
      <w:marLeft w:val="0"/>
      <w:marRight w:val="0"/>
      <w:marTop w:val="0"/>
      <w:marBottom w:val="0"/>
      <w:divBdr>
        <w:top w:val="none" w:sz="0" w:space="0" w:color="auto"/>
        <w:left w:val="none" w:sz="0" w:space="0" w:color="auto"/>
        <w:bottom w:val="none" w:sz="0" w:space="0" w:color="auto"/>
        <w:right w:val="none" w:sz="0" w:space="0" w:color="auto"/>
      </w:divBdr>
    </w:div>
    <w:div w:id="687676695">
      <w:bodyDiv w:val="1"/>
      <w:marLeft w:val="0"/>
      <w:marRight w:val="0"/>
      <w:marTop w:val="0"/>
      <w:marBottom w:val="0"/>
      <w:divBdr>
        <w:top w:val="none" w:sz="0" w:space="0" w:color="auto"/>
        <w:left w:val="none" w:sz="0" w:space="0" w:color="auto"/>
        <w:bottom w:val="none" w:sz="0" w:space="0" w:color="auto"/>
        <w:right w:val="none" w:sz="0" w:space="0" w:color="auto"/>
      </w:divBdr>
    </w:div>
    <w:div w:id="693579835">
      <w:bodyDiv w:val="1"/>
      <w:marLeft w:val="0"/>
      <w:marRight w:val="0"/>
      <w:marTop w:val="0"/>
      <w:marBottom w:val="0"/>
      <w:divBdr>
        <w:top w:val="none" w:sz="0" w:space="0" w:color="auto"/>
        <w:left w:val="none" w:sz="0" w:space="0" w:color="auto"/>
        <w:bottom w:val="none" w:sz="0" w:space="0" w:color="auto"/>
        <w:right w:val="none" w:sz="0" w:space="0" w:color="auto"/>
      </w:divBdr>
    </w:div>
    <w:div w:id="734665591">
      <w:bodyDiv w:val="1"/>
      <w:marLeft w:val="0"/>
      <w:marRight w:val="0"/>
      <w:marTop w:val="0"/>
      <w:marBottom w:val="0"/>
      <w:divBdr>
        <w:top w:val="none" w:sz="0" w:space="0" w:color="auto"/>
        <w:left w:val="none" w:sz="0" w:space="0" w:color="auto"/>
        <w:bottom w:val="none" w:sz="0" w:space="0" w:color="auto"/>
        <w:right w:val="none" w:sz="0" w:space="0" w:color="auto"/>
      </w:divBdr>
    </w:div>
    <w:div w:id="808596128">
      <w:bodyDiv w:val="1"/>
      <w:marLeft w:val="0"/>
      <w:marRight w:val="0"/>
      <w:marTop w:val="0"/>
      <w:marBottom w:val="0"/>
      <w:divBdr>
        <w:top w:val="none" w:sz="0" w:space="0" w:color="auto"/>
        <w:left w:val="none" w:sz="0" w:space="0" w:color="auto"/>
        <w:bottom w:val="none" w:sz="0" w:space="0" w:color="auto"/>
        <w:right w:val="none" w:sz="0" w:space="0" w:color="auto"/>
      </w:divBdr>
    </w:div>
    <w:div w:id="838229781">
      <w:bodyDiv w:val="1"/>
      <w:marLeft w:val="0"/>
      <w:marRight w:val="0"/>
      <w:marTop w:val="0"/>
      <w:marBottom w:val="0"/>
      <w:divBdr>
        <w:top w:val="none" w:sz="0" w:space="0" w:color="auto"/>
        <w:left w:val="none" w:sz="0" w:space="0" w:color="auto"/>
        <w:bottom w:val="none" w:sz="0" w:space="0" w:color="auto"/>
        <w:right w:val="none" w:sz="0" w:space="0" w:color="auto"/>
      </w:divBdr>
    </w:div>
    <w:div w:id="898714702">
      <w:bodyDiv w:val="1"/>
      <w:marLeft w:val="0"/>
      <w:marRight w:val="0"/>
      <w:marTop w:val="0"/>
      <w:marBottom w:val="0"/>
      <w:divBdr>
        <w:top w:val="none" w:sz="0" w:space="0" w:color="auto"/>
        <w:left w:val="none" w:sz="0" w:space="0" w:color="auto"/>
        <w:bottom w:val="none" w:sz="0" w:space="0" w:color="auto"/>
        <w:right w:val="none" w:sz="0" w:space="0" w:color="auto"/>
      </w:divBdr>
    </w:div>
    <w:div w:id="905145739">
      <w:bodyDiv w:val="1"/>
      <w:marLeft w:val="0"/>
      <w:marRight w:val="0"/>
      <w:marTop w:val="0"/>
      <w:marBottom w:val="0"/>
      <w:divBdr>
        <w:top w:val="none" w:sz="0" w:space="0" w:color="auto"/>
        <w:left w:val="none" w:sz="0" w:space="0" w:color="auto"/>
        <w:bottom w:val="none" w:sz="0" w:space="0" w:color="auto"/>
        <w:right w:val="none" w:sz="0" w:space="0" w:color="auto"/>
      </w:divBdr>
    </w:div>
    <w:div w:id="912543105">
      <w:bodyDiv w:val="1"/>
      <w:marLeft w:val="0"/>
      <w:marRight w:val="0"/>
      <w:marTop w:val="0"/>
      <w:marBottom w:val="0"/>
      <w:divBdr>
        <w:top w:val="none" w:sz="0" w:space="0" w:color="auto"/>
        <w:left w:val="none" w:sz="0" w:space="0" w:color="auto"/>
        <w:bottom w:val="none" w:sz="0" w:space="0" w:color="auto"/>
        <w:right w:val="none" w:sz="0" w:space="0" w:color="auto"/>
      </w:divBdr>
    </w:div>
    <w:div w:id="944117470">
      <w:bodyDiv w:val="1"/>
      <w:marLeft w:val="0"/>
      <w:marRight w:val="0"/>
      <w:marTop w:val="0"/>
      <w:marBottom w:val="0"/>
      <w:divBdr>
        <w:top w:val="none" w:sz="0" w:space="0" w:color="auto"/>
        <w:left w:val="none" w:sz="0" w:space="0" w:color="auto"/>
        <w:bottom w:val="none" w:sz="0" w:space="0" w:color="auto"/>
        <w:right w:val="none" w:sz="0" w:space="0" w:color="auto"/>
      </w:divBdr>
    </w:div>
    <w:div w:id="952518208">
      <w:bodyDiv w:val="1"/>
      <w:marLeft w:val="0"/>
      <w:marRight w:val="0"/>
      <w:marTop w:val="0"/>
      <w:marBottom w:val="0"/>
      <w:divBdr>
        <w:top w:val="none" w:sz="0" w:space="0" w:color="auto"/>
        <w:left w:val="none" w:sz="0" w:space="0" w:color="auto"/>
        <w:bottom w:val="none" w:sz="0" w:space="0" w:color="auto"/>
        <w:right w:val="none" w:sz="0" w:space="0" w:color="auto"/>
      </w:divBdr>
    </w:div>
    <w:div w:id="970743714">
      <w:bodyDiv w:val="1"/>
      <w:marLeft w:val="0"/>
      <w:marRight w:val="0"/>
      <w:marTop w:val="0"/>
      <w:marBottom w:val="0"/>
      <w:divBdr>
        <w:top w:val="none" w:sz="0" w:space="0" w:color="auto"/>
        <w:left w:val="none" w:sz="0" w:space="0" w:color="auto"/>
        <w:bottom w:val="none" w:sz="0" w:space="0" w:color="auto"/>
        <w:right w:val="none" w:sz="0" w:space="0" w:color="auto"/>
      </w:divBdr>
    </w:div>
    <w:div w:id="983125371">
      <w:bodyDiv w:val="1"/>
      <w:marLeft w:val="0"/>
      <w:marRight w:val="0"/>
      <w:marTop w:val="0"/>
      <w:marBottom w:val="0"/>
      <w:divBdr>
        <w:top w:val="none" w:sz="0" w:space="0" w:color="auto"/>
        <w:left w:val="none" w:sz="0" w:space="0" w:color="auto"/>
        <w:bottom w:val="none" w:sz="0" w:space="0" w:color="auto"/>
        <w:right w:val="none" w:sz="0" w:space="0" w:color="auto"/>
      </w:divBdr>
    </w:div>
    <w:div w:id="987054260">
      <w:bodyDiv w:val="1"/>
      <w:marLeft w:val="0"/>
      <w:marRight w:val="0"/>
      <w:marTop w:val="0"/>
      <w:marBottom w:val="0"/>
      <w:divBdr>
        <w:top w:val="none" w:sz="0" w:space="0" w:color="auto"/>
        <w:left w:val="none" w:sz="0" w:space="0" w:color="auto"/>
        <w:bottom w:val="none" w:sz="0" w:space="0" w:color="auto"/>
        <w:right w:val="none" w:sz="0" w:space="0" w:color="auto"/>
      </w:divBdr>
    </w:div>
    <w:div w:id="994647676">
      <w:bodyDiv w:val="1"/>
      <w:marLeft w:val="0"/>
      <w:marRight w:val="0"/>
      <w:marTop w:val="0"/>
      <w:marBottom w:val="0"/>
      <w:divBdr>
        <w:top w:val="none" w:sz="0" w:space="0" w:color="auto"/>
        <w:left w:val="none" w:sz="0" w:space="0" w:color="auto"/>
        <w:bottom w:val="none" w:sz="0" w:space="0" w:color="auto"/>
        <w:right w:val="none" w:sz="0" w:space="0" w:color="auto"/>
      </w:divBdr>
    </w:div>
    <w:div w:id="1028213220">
      <w:bodyDiv w:val="1"/>
      <w:marLeft w:val="0"/>
      <w:marRight w:val="0"/>
      <w:marTop w:val="0"/>
      <w:marBottom w:val="0"/>
      <w:divBdr>
        <w:top w:val="none" w:sz="0" w:space="0" w:color="auto"/>
        <w:left w:val="none" w:sz="0" w:space="0" w:color="auto"/>
        <w:bottom w:val="none" w:sz="0" w:space="0" w:color="auto"/>
        <w:right w:val="none" w:sz="0" w:space="0" w:color="auto"/>
      </w:divBdr>
    </w:div>
    <w:div w:id="1087265080">
      <w:bodyDiv w:val="1"/>
      <w:marLeft w:val="0"/>
      <w:marRight w:val="0"/>
      <w:marTop w:val="0"/>
      <w:marBottom w:val="0"/>
      <w:divBdr>
        <w:top w:val="none" w:sz="0" w:space="0" w:color="auto"/>
        <w:left w:val="none" w:sz="0" w:space="0" w:color="auto"/>
        <w:bottom w:val="none" w:sz="0" w:space="0" w:color="auto"/>
        <w:right w:val="none" w:sz="0" w:space="0" w:color="auto"/>
      </w:divBdr>
    </w:div>
    <w:div w:id="1146052665">
      <w:bodyDiv w:val="1"/>
      <w:marLeft w:val="0"/>
      <w:marRight w:val="0"/>
      <w:marTop w:val="0"/>
      <w:marBottom w:val="0"/>
      <w:divBdr>
        <w:top w:val="none" w:sz="0" w:space="0" w:color="auto"/>
        <w:left w:val="none" w:sz="0" w:space="0" w:color="auto"/>
        <w:bottom w:val="none" w:sz="0" w:space="0" w:color="auto"/>
        <w:right w:val="none" w:sz="0" w:space="0" w:color="auto"/>
      </w:divBdr>
    </w:div>
    <w:div w:id="1174102781">
      <w:bodyDiv w:val="1"/>
      <w:marLeft w:val="0"/>
      <w:marRight w:val="0"/>
      <w:marTop w:val="0"/>
      <w:marBottom w:val="0"/>
      <w:divBdr>
        <w:top w:val="none" w:sz="0" w:space="0" w:color="auto"/>
        <w:left w:val="none" w:sz="0" w:space="0" w:color="auto"/>
        <w:bottom w:val="none" w:sz="0" w:space="0" w:color="auto"/>
        <w:right w:val="none" w:sz="0" w:space="0" w:color="auto"/>
      </w:divBdr>
    </w:div>
    <w:div w:id="1175222262">
      <w:bodyDiv w:val="1"/>
      <w:marLeft w:val="0"/>
      <w:marRight w:val="0"/>
      <w:marTop w:val="0"/>
      <w:marBottom w:val="0"/>
      <w:divBdr>
        <w:top w:val="none" w:sz="0" w:space="0" w:color="auto"/>
        <w:left w:val="none" w:sz="0" w:space="0" w:color="auto"/>
        <w:bottom w:val="none" w:sz="0" w:space="0" w:color="auto"/>
        <w:right w:val="none" w:sz="0" w:space="0" w:color="auto"/>
      </w:divBdr>
    </w:div>
    <w:div w:id="1278637620">
      <w:bodyDiv w:val="1"/>
      <w:marLeft w:val="0"/>
      <w:marRight w:val="0"/>
      <w:marTop w:val="0"/>
      <w:marBottom w:val="0"/>
      <w:divBdr>
        <w:top w:val="none" w:sz="0" w:space="0" w:color="auto"/>
        <w:left w:val="none" w:sz="0" w:space="0" w:color="auto"/>
        <w:bottom w:val="none" w:sz="0" w:space="0" w:color="auto"/>
        <w:right w:val="none" w:sz="0" w:space="0" w:color="auto"/>
      </w:divBdr>
    </w:div>
    <w:div w:id="1301498880">
      <w:bodyDiv w:val="1"/>
      <w:marLeft w:val="0"/>
      <w:marRight w:val="0"/>
      <w:marTop w:val="0"/>
      <w:marBottom w:val="0"/>
      <w:divBdr>
        <w:top w:val="none" w:sz="0" w:space="0" w:color="auto"/>
        <w:left w:val="none" w:sz="0" w:space="0" w:color="auto"/>
        <w:bottom w:val="none" w:sz="0" w:space="0" w:color="auto"/>
        <w:right w:val="none" w:sz="0" w:space="0" w:color="auto"/>
      </w:divBdr>
    </w:div>
    <w:div w:id="1306736527">
      <w:bodyDiv w:val="1"/>
      <w:marLeft w:val="0"/>
      <w:marRight w:val="0"/>
      <w:marTop w:val="0"/>
      <w:marBottom w:val="0"/>
      <w:divBdr>
        <w:top w:val="none" w:sz="0" w:space="0" w:color="auto"/>
        <w:left w:val="none" w:sz="0" w:space="0" w:color="auto"/>
        <w:bottom w:val="none" w:sz="0" w:space="0" w:color="auto"/>
        <w:right w:val="none" w:sz="0" w:space="0" w:color="auto"/>
      </w:divBdr>
    </w:div>
    <w:div w:id="1334381390">
      <w:bodyDiv w:val="1"/>
      <w:marLeft w:val="0"/>
      <w:marRight w:val="0"/>
      <w:marTop w:val="0"/>
      <w:marBottom w:val="0"/>
      <w:divBdr>
        <w:top w:val="none" w:sz="0" w:space="0" w:color="auto"/>
        <w:left w:val="none" w:sz="0" w:space="0" w:color="auto"/>
        <w:bottom w:val="none" w:sz="0" w:space="0" w:color="auto"/>
        <w:right w:val="none" w:sz="0" w:space="0" w:color="auto"/>
      </w:divBdr>
    </w:div>
    <w:div w:id="1339505585">
      <w:bodyDiv w:val="1"/>
      <w:marLeft w:val="0"/>
      <w:marRight w:val="0"/>
      <w:marTop w:val="0"/>
      <w:marBottom w:val="0"/>
      <w:divBdr>
        <w:top w:val="none" w:sz="0" w:space="0" w:color="auto"/>
        <w:left w:val="none" w:sz="0" w:space="0" w:color="auto"/>
        <w:bottom w:val="none" w:sz="0" w:space="0" w:color="auto"/>
        <w:right w:val="none" w:sz="0" w:space="0" w:color="auto"/>
      </w:divBdr>
    </w:div>
    <w:div w:id="1343237369">
      <w:bodyDiv w:val="1"/>
      <w:marLeft w:val="0"/>
      <w:marRight w:val="0"/>
      <w:marTop w:val="0"/>
      <w:marBottom w:val="0"/>
      <w:divBdr>
        <w:top w:val="none" w:sz="0" w:space="0" w:color="auto"/>
        <w:left w:val="none" w:sz="0" w:space="0" w:color="auto"/>
        <w:bottom w:val="none" w:sz="0" w:space="0" w:color="auto"/>
        <w:right w:val="none" w:sz="0" w:space="0" w:color="auto"/>
      </w:divBdr>
    </w:div>
    <w:div w:id="1344479130">
      <w:bodyDiv w:val="1"/>
      <w:marLeft w:val="0"/>
      <w:marRight w:val="0"/>
      <w:marTop w:val="0"/>
      <w:marBottom w:val="0"/>
      <w:divBdr>
        <w:top w:val="none" w:sz="0" w:space="0" w:color="auto"/>
        <w:left w:val="none" w:sz="0" w:space="0" w:color="auto"/>
        <w:bottom w:val="none" w:sz="0" w:space="0" w:color="auto"/>
        <w:right w:val="none" w:sz="0" w:space="0" w:color="auto"/>
      </w:divBdr>
    </w:div>
    <w:div w:id="1358969573">
      <w:bodyDiv w:val="1"/>
      <w:marLeft w:val="0"/>
      <w:marRight w:val="0"/>
      <w:marTop w:val="0"/>
      <w:marBottom w:val="0"/>
      <w:divBdr>
        <w:top w:val="none" w:sz="0" w:space="0" w:color="auto"/>
        <w:left w:val="none" w:sz="0" w:space="0" w:color="auto"/>
        <w:bottom w:val="none" w:sz="0" w:space="0" w:color="auto"/>
        <w:right w:val="none" w:sz="0" w:space="0" w:color="auto"/>
      </w:divBdr>
    </w:div>
    <w:div w:id="1388187199">
      <w:bodyDiv w:val="1"/>
      <w:marLeft w:val="0"/>
      <w:marRight w:val="0"/>
      <w:marTop w:val="0"/>
      <w:marBottom w:val="0"/>
      <w:divBdr>
        <w:top w:val="none" w:sz="0" w:space="0" w:color="auto"/>
        <w:left w:val="none" w:sz="0" w:space="0" w:color="auto"/>
        <w:bottom w:val="none" w:sz="0" w:space="0" w:color="auto"/>
        <w:right w:val="none" w:sz="0" w:space="0" w:color="auto"/>
      </w:divBdr>
    </w:div>
    <w:div w:id="1416517931">
      <w:bodyDiv w:val="1"/>
      <w:marLeft w:val="0"/>
      <w:marRight w:val="0"/>
      <w:marTop w:val="0"/>
      <w:marBottom w:val="0"/>
      <w:divBdr>
        <w:top w:val="none" w:sz="0" w:space="0" w:color="auto"/>
        <w:left w:val="none" w:sz="0" w:space="0" w:color="auto"/>
        <w:bottom w:val="none" w:sz="0" w:space="0" w:color="auto"/>
        <w:right w:val="none" w:sz="0" w:space="0" w:color="auto"/>
      </w:divBdr>
    </w:div>
    <w:div w:id="1434403839">
      <w:bodyDiv w:val="1"/>
      <w:marLeft w:val="0"/>
      <w:marRight w:val="0"/>
      <w:marTop w:val="0"/>
      <w:marBottom w:val="0"/>
      <w:divBdr>
        <w:top w:val="none" w:sz="0" w:space="0" w:color="auto"/>
        <w:left w:val="none" w:sz="0" w:space="0" w:color="auto"/>
        <w:bottom w:val="none" w:sz="0" w:space="0" w:color="auto"/>
        <w:right w:val="none" w:sz="0" w:space="0" w:color="auto"/>
      </w:divBdr>
    </w:div>
    <w:div w:id="1454862739">
      <w:bodyDiv w:val="1"/>
      <w:marLeft w:val="0"/>
      <w:marRight w:val="0"/>
      <w:marTop w:val="0"/>
      <w:marBottom w:val="0"/>
      <w:divBdr>
        <w:top w:val="none" w:sz="0" w:space="0" w:color="auto"/>
        <w:left w:val="none" w:sz="0" w:space="0" w:color="auto"/>
        <w:bottom w:val="none" w:sz="0" w:space="0" w:color="auto"/>
        <w:right w:val="none" w:sz="0" w:space="0" w:color="auto"/>
      </w:divBdr>
    </w:div>
    <w:div w:id="1468165667">
      <w:bodyDiv w:val="1"/>
      <w:marLeft w:val="0"/>
      <w:marRight w:val="0"/>
      <w:marTop w:val="0"/>
      <w:marBottom w:val="0"/>
      <w:divBdr>
        <w:top w:val="none" w:sz="0" w:space="0" w:color="auto"/>
        <w:left w:val="none" w:sz="0" w:space="0" w:color="auto"/>
        <w:bottom w:val="none" w:sz="0" w:space="0" w:color="auto"/>
        <w:right w:val="none" w:sz="0" w:space="0" w:color="auto"/>
      </w:divBdr>
    </w:div>
    <w:div w:id="1476605096">
      <w:bodyDiv w:val="1"/>
      <w:marLeft w:val="0"/>
      <w:marRight w:val="0"/>
      <w:marTop w:val="0"/>
      <w:marBottom w:val="0"/>
      <w:divBdr>
        <w:top w:val="none" w:sz="0" w:space="0" w:color="auto"/>
        <w:left w:val="none" w:sz="0" w:space="0" w:color="auto"/>
        <w:bottom w:val="none" w:sz="0" w:space="0" w:color="auto"/>
        <w:right w:val="none" w:sz="0" w:space="0" w:color="auto"/>
      </w:divBdr>
    </w:div>
    <w:div w:id="1490444744">
      <w:bodyDiv w:val="1"/>
      <w:marLeft w:val="0"/>
      <w:marRight w:val="0"/>
      <w:marTop w:val="0"/>
      <w:marBottom w:val="0"/>
      <w:divBdr>
        <w:top w:val="none" w:sz="0" w:space="0" w:color="auto"/>
        <w:left w:val="none" w:sz="0" w:space="0" w:color="auto"/>
        <w:bottom w:val="none" w:sz="0" w:space="0" w:color="auto"/>
        <w:right w:val="none" w:sz="0" w:space="0" w:color="auto"/>
      </w:divBdr>
    </w:div>
    <w:div w:id="1550611451">
      <w:bodyDiv w:val="1"/>
      <w:marLeft w:val="0"/>
      <w:marRight w:val="0"/>
      <w:marTop w:val="0"/>
      <w:marBottom w:val="0"/>
      <w:divBdr>
        <w:top w:val="none" w:sz="0" w:space="0" w:color="auto"/>
        <w:left w:val="none" w:sz="0" w:space="0" w:color="auto"/>
        <w:bottom w:val="none" w:sz="0" w:space="0" w:color="auto"/>
        <w:right w:val="none" w:sz="0" w:space="0" w:color="auto"/>
      </w:divBdr>
    </w:div>
    <w:div w:id="1575312414">
      <w:bodyDiv w:val="1"/>
      <w:marLeft w:val="0"/>
      <w:marRight w:val="0"/>
      <w:marTop w:val="0"/>
      <w:marBottom w:val="0"/>
      <w:divBdr>
        <w:top w:val="none" w:sz="0" w:space="0" w:color="auto"/>
        <w:left w:val="none" w:sz="0" w:space="0" w:color="auto"/>
        <w:bottom w:val="none" w:sz="0" w:space="0" w:color="auto"/>
        <w:right w:val="none" w:sz="0" w:space="0" w:color="auto"/>
      </w:divBdr>
    </w:div>
    <w:div w:id="1576550097">
      <w:bodyDiv w:val="1"/>
      <w:marLeft w:val="0"/>
      <w:marRight w:val="0"/>
      <w:marTop w:val="0"/>
      <w:marBottom w:val="0"/>
      <w:divBdr>
        <w:top w:val="none" w:sz="0" w:space="0" w:color="auto"/>
        <w:left w:val="none" w:sz="0" w:space="0" w:color="auto"/>
        <w:bottom w:val="none" w:sz="0" w:space="0" w:color="auto"/>
        <w:right w:val="none" w:sz="0" w:space="0" w:color="auto"/>
      </w:divBdr>
    </w:div>
    <w:div w:id="1597441520">
      <w:bodyDiv w:val="1"/>
      <w:marLeft w:val="0"/>
      <w:marRight w:val="0"/>
      <w:marTop w:val="0"/>
      <w:marBottom w:val="0"/>
      <w:divBdr>
        <w:top w:val="none" w:sz="0" w:space="0" w:color="auto"/>
        <w:left w:val="none" w:sz="0" w:space="0" w:color="auto"/>
        <w:bottom w:val="none" w:sz="0" w:space="0" w:color="auto"/>
        <w:right w:val="none" w:sz="0" w:space="0" w:color="auto"/>
      </w:divBdr>
    </w:div>
    <w:div w:id="1632982411">
      <w:bodyDiv w:val="1"/>
      <w:marLeft w:val="0"/>
      <w:marRight w:val="0"/>
      <w:marTop w:val="0"/>
      <w:marBottom w:val="0"/>
      <w:divBdr>
        <w:top w:val="none" w:sz="0" w:space="0" w:color="auto"/>
        <w:left w:val="none" w:sz="0" w:space="0" w:color="auto"/>
        <w:bottom w:val="none" w:sz="0" w:space="0" w:color="auto"/>
        <w:right w:val="none" w:sz="0" w:space="0" w:color="auto"/>
      </w:divBdr>
    </w:div>
    <w:div w:id="1633320374">
      <w:bodyDiv w:val="1"/>
      <w:marLeft w:val="0"/>
      <w:marRight w:val="0"/>
      <w:marTop w:val="0"/>
      <w:marBottom w:val="0"/>
      <w:divBdr>
        <w:top w:val="none" w:sz="0" w:space="0" w:color="auto"/>
        <w:left w:val="none" w:sz="0" w:space="0" w:color="auto"/>
        <w:bottom w:val="none" w:sz="0" w:space="0" w:color="auto"/>
        <w:right w:val="none" w:sz="0" w:space="0" w:color="auto"/>
      </w:divBdr>
    </w:div>
    <w:div w:id="1663778128">
      <w:bodyDiv w:val="1"/>
      <w:marLeft w:val="0"/>
      <w:marRight w:val="0"/>
      <w:marTop w:val="0"/>
      <w:marBottom w:val="0"/>
      <w:divBdr>
        <w:top w:val="none" w:sz="0" w:space="0" w:color="auto"/>
        <w:left w:val="none" w:sz="0" w:space="0" w:color="auto"/>
        <w:bottom w:val="none" w:sz="0" w:space="0" w:color="auto"/>
        <w:right w:val="none" w:sz="0" w:space="0" w:color="auto"/>
      </w:divBdr>
    </w:div>
    <w:div w:id="1665620686">
      <w:bodyDiv w:val="1"/>
      <w:marLeft w:val="0"/>
      <w:marRight w:val="0"/>
      <w:marTop w:val="0"/>
      <w:marBottom w:val="0"/>
      <w:divBdr>
        <w:top w:val="none" w:sz="0" w:space="0" w:color="auto"/>
        <w:left w:val="none" w:sz="0" w:space="0" w:color="auto"/>
        <w:bottom w:val="none" w:sz="0" w:space="0" w:color="auto"/>
        <w:right w:val="none" w:sz="0" w:space="0" w:color="auto"/>
      </w:divBdr>
    </w:div>
    <w:div w:id="1690569036">
      <w:bodyDiv w:val="1"/>
      <w:marLeft w:val="0"/>
      <w:marRight w:val="0"/>
      <w:marTop w:val="0"/>
      <w:marBottom w:val="0"/>
      <w:divBdr>
        <w:top w:val="none" w:sz="0" w:space="0" w:color="auto"/>
        <w:left w:val="none" w:sz="0" w:space="0" w:color="auto"/>
        <w:bottom w:val="none" w:sz="0" w:space="0" w:color="auto"/>
        <w:right w:val="none" w:sz="0" w:space="0" w:color="auto"/>
      </w:divBdr>
    </w:div>
    <w:div w:id="1704138256">
      <w:bodyDiv w:val="1"/>
      <w:marLeft w:val="0"/>
      <w:marRight w:val="0"/>
      <w:marTop w:val="0"/>
      <w:marBottom w:val="0"/>
      <w:divBdr>
        <w:top w:val="none" w:sz="0" w:space="0" w:color="auto"/>
        <w:left w:val="none" w:sz="0" w:space="0" w:color="auto"/>
        <w:bottom w:val="none" w:sz="0" w:space="0" w:color="auto"/>
        <w:right w:val="none" w:sz="0" w:space="0" w:color="auto"/>
      </w:divBdr>
    </w:div>
    <w:div w:id="1713651401">
      <w:bodyDiv w:val="1"/>
      <w:marLeft w:val="0"/>
      <w:marRight w:val="0"/>
      <w:marTop w:val="0"/>
      <w:marBottom w:val="0"/>
      <w:divBdr>
        <w:top w:val="none" w:sz="0" w:space="0" w:color="auto"/>
        <w:left w:val="none" w:sz="0" w:space="0" w:color="auto"/>
        <w:bottom w:val="none" w:sz="0" w:space="0" w:color="auto"/>
        <w:right w:val="none" w:sz="0" w:space="0" w:color="auto"/>
      </w:divBdr>
    </w:div>
    <w:div w:id="1783838050">
      <w:bodyDiv w:val="1"/>
      <w:marLeft w:val="0"/>
      <w:marRight w:val="0"/>
      <w:marTop w:val="0"/>
      <w:marBottom w:val="0"/>
      <w:divBdr>
        <w:top w:val="none" w:sz="0" w:space="0" w:color="auto"/>
        <w:left w:val="none" w:sz="0" w:space="0" w:color="auto"/>
        <w:bottom w:val="none" w:sz="0" w:space="0" w:color="auto"/>
        <w:right w:val="none" w:sz="0" w:space="0" w:color="auto"/>
      </w:divBdr>
    </w:div>
    <w:div w:id="1816144569">
      <w:bodyDiv w:val="1"/>
      <w:marLeft w:val="0"/>
      <w:marRight w:val="0"/>
      <w:marTop w:val="0"/>
      <w:marBottom w:val="0"/>
      <w:divBdr>
        <w:top w:val="none" w:sz="0" w:space="0" w:color="auto"/>
        <w:left w:val="none" w:sz="0" w:space="0" w:color="auto"/>
        <w:bottom w:val="none" w:sz="0" w:space="0" w:color="auto"/>
        <w:right w:val="none" w:sz="0" w:space="0" w:color="auto"/>
      </w:divBdr>
    </w:div>
    <w:div w:id="1869832119">
      <w:bodyDiv w:val="1"/>
      <w:marLeft w:val="0"/>
      <w:marRight w:val="0"/>
      <w:marTop w:val="0"/>
      <w:marBottom w:val="0"/>
      <w:divBdr>
        <w:top w:val="none" w:sz="0" w:space="0" w:color="auto"/>
        <w:left w:val="none" w:sz="0" w:space="0" w:color="auto"/>
        <w:bottom w:val="none" w:sz="0" w:space="0" w:color="auto"/>
        <w:right w:val="none" w:sz="0" w:space="0" w:color="auto"/>
      </w:divBdr>
    </w:div>
    <w:div w:id="1886216688">
      <w:bodyDiv w:val="1"/>
      <w:marLeft w:val="0"/>
      <w:marRight w:val="0"/>
      <w:marTop w:val="0"/>
      <w:marBottom w:val="0"/>
      <w:divBdr>
        <w:top w:val="none" w:sz="0" w:space="0" w:color="auto"/>
        <w:left w:val="none" w:sz="0" w:space="0" w:color="auto"/>
        <w:bottom w:val="none" w:sz="0" w:space="0" w:color="auto"/>
        <w:right w:val="none" w:sz="0" w:space="0" w:color="auto"/>
      </w:divBdr>
    </w:div>
    <w:div w:id="1890266288">
      <w:bodyDiv w:val="1"/>
      <w:marLeft w:val="0"/>
      <w:marRight w:val="0"/>
      <w:marTop w:val="0"/>
      <w:marBottom w:val="0"/>
      <w:divBdr>
        <w:top w:val="none" w:sz="0" w:space="0" w:color="auto"/>
        <w:left w:val="none" w:sz="0" w:space="0" w:color="auto"/>
        <w:bottom w:val="none" w:sz="0" w:space="0" w:color="auto"/>
        <w:right w:val="none" w:sz="0" w:space="0" w:color="auto"/>
      </w:divBdr>
    </w:div>
    <w:div w:id="1955094063">
      <w:bodyDiv w:val="1"/>
      <w:marLeft w:val="0"/>
      <w:marRight w:val="0"/>
      <w:marTop w:val="0"/>
      <w:marBottom w:val="0"/>
      <w:divBdr>
        <w:top w:val="none" w:sz="0" w:space="0" w:color="auto"/>
        <w:left w:val="none" w:sz="0" w:space="0" w:color="auto"/>
        <w:bottom w:val="none" w:sz="0" w:space="0" w:color="auto"/>
        <w:right w:val="none" w:sz="0" w:space="0" w:color="auto"/>
      </w:divBdr>
    </w:div>
    <w:div w:id="1972898753">
      <w:bodyDiv w:val="1"/>
      <w:marLeft w:val="0"/>
      <w:marRight w:val="0"/>
      <w:marTop w:val="0"/>
      <w:marBottom w:val="0"/>
      <w:divBdr>
        <w:top w:val="none" w:sz="0" w:space="0" w:color="auto"/>
        <w:left w:val="none" w:sz="0" w:space="0" w:color="auto"/>
        <w:bottom w:val="none" w:sz="0" w:space="0" w:color="auto"/>
        <w:right w:val="none" w:sz="0" w:space="0" w:color="auto"/>
      </w:divBdr>
    </w:div>
    <w:div w:id="2018189821">
      <w:bodyDiv w:val="1"/>
      <w:marLeft w:val="0"/>
      <w:marRight w:val="0"/>
      <w:marTop w:val="0"/>
      <w:marBottom w:val="0"/>
      <w:divBdr>
        <w:top w:val="none" w:sz="0" w:space="0" w:color="auto"/>
        <w:left w:val="none" w:sz="0" w:space="0" w:color="auto"/>
        <w:bottom w:val="none" w:sz="0" w:space="0" w:color="auto"/>
        <w:right w:val="none" w:sz="0" w:space="0" w:color="auto"/>
      </w:divBdr>
    </w:div>
    <w:div w:id="2032145192">
      <w:bodyDiv w:val="1"/>
      <w:marLeft w:val="0"/>
      <w:marRight w:val="0"/>
      <w:marTop w:val="0"/>
      <w:marBottom w:val="0"/>
      <w:divBdr>
        <w:top w:val="none" w:sz="0" w:space="0" w:color="auto"/>
        <w:left w:val="none" w:sz="0" w:space="0" w:color="auto"/>
        <w:bottom w:val="none" w:sz="0" w:space="0" w:color="auto"/>
        <w:right w:val="none" w:sz="0" w:space="0" w:color="auto"/>
      </w:divBdr>
    </w:div>
    <w:div w:id="2080132059">
      <w:bodyDiv w:val="1"/>
      <w:marLeft w:val="0"/>
      <w:marRight w:val="0"/>
      <w:marTop w:val="0"/>
      <w:marBottom w:val="0"/>
      <w:divBdr>
        <w:top w:val="none" w:sz="0" w:space="0" w:color="auto"/>
        <w:left w:val="none" w:sz="0" w:space="0" w:color="auto"/>
        <w:bottom w:val="none" w:sz="0" w:space="0" w:color="auto"/>
        <w:right w:val="none" w:sz="0" w:space="0" w:color="auto"/>
      </w:divBdr>
    </w:div>
    <w:div w:id="2084984337">
      <w:bodyDiv w:val="1"/>
      <w:marLeft w:val="0"/>
      <w:marRight w:val="0"/>
      <w:marTop w:val="0"/>
      <w:marBottom w:val="0"/>
      <w:divBdr>
        <w:top w:val="none" w:sz="0" w:space="0" w:color="auto"/>
        <w:left w:val="none" w:sz="0" w:space="0" w:color="auto"/>
        <w:bottom w:val="none" w:sz="0" w:space="0" w:color="auto"/>
        <w:right w:val="none" w:sz="0" w:space="0" w:color="auto"/>
      </w:divBdr>
    </w:div>
    <w:div w:id="2096898454">
      <w:bodyDiv w:val="1"/>
      <w:marLeft w:val="0"/>
      <w:marRight w:val="0"/>
      <w:marTop w:val="0"/>
      <w:marBottom w:val="0"/>
      <w:divBdr>
        <w:top w:val="none" w:sz="0" w:space="0" w:color="auto"/>
        <w:left w:val="none" w:sz="0" w:space="0" w:color="auto"/>
        <w:bottom w:val="none" w:sz="0" w:space="0" w:color="auto"/>
        <w:right w:val="none" w:sz="0" w:space="0" w:color="auto"/>
      </w:divBdr>
    </w:div>
    <w:div w:id="21464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68459-8673-4B99-98E7-D4815AC552AA}">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7</Pages>
  <Words>3649</Words>
  <Characters>20805</Characters>
  <Application>Microsoft Office Word</Application>
  <DocSecurity>0</DocSecurity>
  <Lines>173</Lines>
  <Paragraphs>48</Paragraphs>
  <ScaleCrop>false</ScaleCrop>
  <HeadingPairs>
    <vt:vector size="6" baseType="variant">
      <vt:variant>
        <vt:lpstr>Название</vt:lpstr>
      </vt:variant>
      <vt:variant>
        <vt:i4>1</vt:i4>
      </vt:variant>
      <vt:variant>
        <vt:lpstr>Nosaukums</vt:lpstr>
      </vt:variant>
      <vt:variant>
        <vt:i4>1</vt:i4>
      </vt:variant>
      <vt:variant>
        <vt:lpstr>Title</vt:lpstr>
      </vt:variant>
      <vt:variant>
        <vt:i4>1</vt:i4>
      </vt:variant>
    </vt:vector>
  </HeadingPairs>
  <TitlesOfParts>
    <vt:vector size="3" baseType="lpstr">
      <vt:lpstr>Informatīvais ziņojums “Par Rīgas pašvaldības kontrolētās kapitālsabiedrības "Rīgas satiksme" radītās negatīvās fiskālās ietekmes uz vispārējās valdības budžeta bilanci 2022.gadā”</vt:lpstr>
      <vt:lpstr>Informatīvais ziņojums “Par Rīgas pašvaldības kontrolētās kapitālsabiedrības "Rīgas satiksme" radītās negatīvās fiskālās ietekmes uz vispārējās valdības budžeta bilanci 2022.gadā”</vt:lpstr>
      <vt:lpstr>Informatīvais ziņojums “Par Rīgas pašvaldības kontrolētās kapitālsabiedrības "Rīgas satiksme" radītās negatīvās fiskālās ietekmes uz vispārējās valdības budžeta bilanci 2022.gadā”</vt:lpstr>
    </vt:vector>
  </TitlesOfParts>
  <Company>Finanšu ministrija</Company>
  <LinksUpToDate>false</LinksUpToDate>
  <CharactersWithSpaces>24406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Rīgas pašvaldības kontrolētās kapitālsabiedrības "Rīgas satiksme" radītās negatīvās fiskālās ietekmes uz vispārējās valdības budžeta bilanci 2022.gadā”</dc:title>
  <dc:subject>Informatīvā ziņojuma projekts</dc:subject>
  <dc:creator>Inese Andersone</dc:creator>
  <cp:keywords/>
  <dc:description>M.Trautmanis, 67095409
Martins.Trautmanis@fm.gov.lv</dc:description>
  <cp:lastModifiedBy>kkarpovs</cp:lastModifiedBy>
  <cp:revision>7</cp:revision>
  <cp:lastPrinted>2020-03-11T10:42:00Z</cp:lastPrinted>
  <dcterms:created xsi:type="dcterms:W3CDTF">2026-10-21T09:41:00Z</dcterms:created>
  <dcterms:modified xsi:type="dcterms:W3CDTF">2026-10-22T11:38:00Z</dcterms:modified>
</cp:coreProperties>
</file>