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668735C" w14:textId="77777777" w:rsidR="00E7524F" w:rsidRPr="007407DF" w:rsidRDefault="00E7524F" w:rsidP="009F5FF9">
      <w:pPr>
        <w:autoSpaceDE w:val="0"/>
        <w:autoSpaceDN w:val="0"/>
        <w:adjustRightInd w:val="0"/>
        <w:jc w:val="center"/>
        <w:rPr>
          <w:b/>
          <w:bCs/>
          <w:color w:val="000080"/>
          <w:sz w:val="27"/>
          <w:szCs w:val="27"/>
          <w:lang w:eastAsia="en-US"/>
        </w:rPr>
      </w:pPr>
      <w:r w:rsidRPr="007407DF">
        <w:rPr>
          <w:b/>
          <w:bCs/>
          <w:spacing w:val="-1"/>
          <w:sz w:val="27"/>
          <w:szCs w:val="27"/>
        </w:rPr>
        <w:t xml:space="preserve">INFORMATĪVAIS </w:t>
      </w:r>
      <w:smartTag w:uri="schemas-tilde-lv/tildestengine" w:element="veidnes">
        <w:smartTagPr>
          <w:attr w:name="id" w:val="-1"/>
          <w:attr w:name="baseform" w:val="ziņojums"/>
          <w:attr w:name="text" w:val="ziņojums"/>
        </w:smartTagPr>
        <w:r w:rsidRPr="007407DF">
          <w:rPr>
            <w:b/>
            <w:bCs/>
            <w:spacing w:val="-1"/>
            <w:sz w:val="27"/>
            <w:szCs w:val="27"/>
          </w:rPr>
          <w:t>ZIŅOJUMS</w:t>
        </w:r>
      </w:smartTag>
    </w:p>
    <w:p w14:paraId="401E49E4" w14:textId="77777777" w:rsidR="00E7524F" w:rsidRPr="007407DF" w:rsidRDefault="00E7524F" w:rsidP="009F5FF9">
      <w:pPr>
        <w:autoSpaceDE w:val="0"/>
        <w:autoSpaceDN w:val="0"/>
        <w:adjustRightInd w:val="0"/>
        <w:jc w:val="center"/>
        <w:rPr>
          <w:b/>
          <w:bCs/>
          <w:color w:val="000080"/>
          <w:sz w:val="27"/>
          <w:szCs w:val="27"/>
          <w:lang w:eastAsia="en-US"/>
        </w:rPr>
      </w:pPr>
    </w:p>
    <w:p w14:paraId="650595E1" w14:textId="77777777" w:rsidR="00C51483" w:rsidRPr="007407DF" w:rsidRDefault="0026000A" w:rsidP="006B1F53">
      <w:pPr>
        <w:autoSpaceDE w:val="0"/>
        <w:autoSpaceDN w:val="0"/>
        <w:adjustRightInd w:val="0"/>
        <w:jc w:val="center"/>
        <w:rPr>
          <w:b/>
          <w:bCs/>
          <w:sz w:val="27"/>
          <w:szCs w:val="27"/>
          <w:lang w:eastAsia="en-US"/>
        </w:rPr>
      </w:pPr>
      <w:r w:rsidRPr="007407DF">
        <w:rPr>
          <w:b/>
          <w:bCs/>
          <w:sz w:val="27"/>
          <w:szCs w:val="27"/>
          <w:lang w:eastAsia="en-US"/>
        </w:rPr>
        <w:t xml:space="preserve">Par </w:t>
      </w:r>
      <w:r w:rsidR="00442096" w:rsidRPr="007407DF">
        <w:rPr>
          <w:b/>
          <w:bCs/>
          <w:sz w:val="27"/>
          <w:szCs w:val="27"/>
          <w:lang w:eastAsia="en-US"/>
        </w:rPr>
        <w:t xml:space="preserve">SIA </w:t>
      </w:r>
      <w:r w:rsidR="00525429">
        <w:rPr>
          <w:b/>
          <w:bCs/>
          <w:sz w:val="27"/>
          <w:szCs w:val="27"/>
          <w:lang w:eastAsia="en-US"/>
        </w:rPr>
        <w:t>“</w:t>
      </w:r>
      <w:r w:rsidR="00A636AB" w:rsidRPr="007407DF">
        <w:rPr>
          <w:b/>
          <w:bCs/>
          <w:sz w:val="27"/>
          <w:szCs w:val="27"/>
          <w:lang w:eastAsia="en-US"/>
        </w:rPr>
        <w:t>Tet</w:t>
      </w:r>
      <w:r w:rsidR="00442096" w:rsidRPr="007407DF">
        <w:rPr>
          <w:b/>
          <w:bCs/>
          <w:sz w:val="27"/>
          <w:szCs w:val="27"/>
          <w:lang w:eastAsia="en-US"/>
        </w:rPr>
        <w:t>” 20</w:t>
      </w:r>
      <w:r w:rsidR="00951E24">
        <w:rPr>
          <w:b/>
          <w:bCs/>
          <w:sz w:val="27"/>
          <w:szCs w:val="27"/>
          <w:lang w:eastAsia="en-US"/>
        </w:rPr>
        <w:t>20</w:t>
      </w:r>
      <w:r w:rsidR="00442096" w:rsidRPr="007407DF">
        <w:rPr>
          <w:b/>
          <w:bCs/>
          <w:sz w:val="27"/>
          <w:szCs w:val="27"/>
          <w:lang w:eastAsia="en-US"/>
        </w:rPr>
        <w:t>.gadā sniegtā universālā pakalpojuma saistību tīro izmaksu kompensāciju</w:t>
      </w:r>
    </w:p>
    <w:p w14:paraId="2253C1B7" w14:textId="77777777" w:rsidR="006425BB" w:rsidRPr="007407DF" w:rsidRDefault="006425BB" w:rsidP="00434E0E">
      <w:pPr>
        <w:autoSpaceDE w:val="0"/>
        <w:autoSpaceDN w:val="0"/>
        <w:adjustRightInd w:val="0"/>
        <w:spacing w:before="80"/>
        <w:ind w:firstLine="720"/>
        <w:jc w:val="both"/>
        <w:rPr>
          <w:color w:val="000000"/>
          <w:sz w:val="27"/>
          <w:szCs w:val="27"/>
          <w:lang w:eastAsia="en-US"/>
        </w:rPr>
      </w:pPr>
    </w:p>
    <w:p w14:paraId="023B4F51" w14:textId="77777777" w:rsidR="00CE44A9" w:rsidRPr="007407DF" w:rsidRDefault="00442096" w:rsidP="008A759F">
      <w:pPr>
        <w:spacing w:before="120"/>
        <w:ind w:firstLine="720"/>
        <w:jc w:val="both"/>
        <w:rPr>
          <w:i/>
          <w:iCs/>
          <w:sz w:val="27"/>
          <w:szCs w:val="27"/>
        </w:rPr>
      </w:pPr>
      <w:r w:rsidRPr="007407DF">
        <w:rPr>
          <w:sz w:val="27"/>
          <w:szCs w:val="27"/>
        </w:rPr>
        <w:t xml:space="preserve">Lai </w:t>
      </w:r>
      <w:r w:rsidR="008B5E49">
        <w:rPr>
          <w:sz w:val="27"/>
          <w:szCs w:val="27"/>
        </w:rPr>
        <w:t xml:space="preserve">2020.gadā </w:t>
      </w:r>
      <w:r w:rsidRPr="007407DF">
        <w:rPr>
          <w:sz w:val="27"/>
          <w:szCs w:val="27"/>
        </w:rPr>
        <w:t xml:space="preserve">nodrošinātu elektronisko sakaru pakalpojumu pieejamību iedzīvotājiem visā Latvijas teritorijā un par pieejamu cenu, vienlaikus nodrošinot </w:t>
      </w:r>
      <w:hyperlink r:id="rId8" w:history="1">
        <w:r w:rsidR="00840442" w:rsidRPr="007407DF">
          <w:rPr>
            <w:sz w:val="27"/>
            <w:szCs w:val="27"/>
          </w:rPr>
          <w:t>Eiropas Parlamenta un Padomes</w:t>
        </w:r>
      </w:hyperlink>
      <w:r w:rsidR="0049776D" w:rsidRPr="007407DF">
        <w:rPr>
          <w:sz w:val="27"/>
          <w:szCs w:val="27"/>
        </w:rPr>
        <w:t xml:space="preserve"> 2002.gada 7.marta</w:t>
      </w:r>
      <w:r w:rsidR="00840442" w:rsidRPr="007407DF">
        <w:rPr>
          <w:sz w:val="27"/>
          <w:szCs w:val="27"/>
        </w:rPr>
        <w:t xml:space="preserve"> </w:t>
      </w:r>
      <w:r w:rsidR="0049776D" w:rsidRPr="007407DF">
        <w:rPr>
          <w:i/>
          <w:iCs/>
          <w:sz w:val="27"/>
          <w:szCs w:val="27"/>
        </w:rPr>
        <w:t>D</w:t>
      </w:r>
      <w:r w:rsidRPr="007407DF">
        <w:rPr>
          <w:i/>
          <w:iCs/>
          <w:sz w:val="27"/>
          <w:szCs w:val="27"/>
        </w:rPr>
        <w:t>irektīvas 2002/22/EK</w:t>
      </w:r>
      <w:r w:rsidR="00232B60" w:rsidRPr="007407DF">
        <w:rPr>
          <w:i/>
          <w:iCs/>
          <w:sz w:val="27"/>
          <w:szCs w:val="27"/>
        </w:rPr>
        <w:t xml:space="preserve"> </w:t>
      </w:r>
      <w:r w:rsidR="00232B60" w:rsidRPr="007407DF">
        <w:rPr>
          <w:bCs/>
          <w:i/>
          <w:iCs/>
          <w:sz w:val="27"/>
          <w:szCs w:val="27"/>
        </w:rPr>
        <w:t>par universālo pakalpojumu un lietotāju tiesībām attiecībā uz elektronisko sakaru tīkliem un pakalpojumiem</w:t>
      </w:r>
      <w:r w:rsidRPr="007407DF">
        <w:rPr>
          <w:i/>
          <w:iCs/>
          <w:sz w:val="27"/>
          <w:szCs w:val="27"/>
        </w:rPr>
        <w:t xml:space="preserve">, kas grozīta ar direktīvu  2009/136/EK, </w:t>
      </w:r>
      <w:r w:rsidRPr="007407DF">
        <w:rPr>
          <w:sz w:val="27"/>
          <w:szCs w:val="27"/>
        </w:rPr>
        <w:t>prasību izpildi attiecībā uz universālā pakalpojumu pieejamības nodrošināšanu elektronisko sakaru pakalpojumu nozarē, saskaņā ar Elektronisko sakaru likuma 62.panta pirmajā daļā noteikto „</w:t>
      </w:r>
      <w:r w:rsidRPr="007407DF">
        <w:rPr>
          <w:i/>
          <w:iCs/>
          <w:sz w:val="27"/>
          <w:szCs w:val="27"/>
        </w:rPr>
        <w:t>Regulators</w:t>
      </w:r>
      <w:r w:rsidR="004C5644" w:rsidRPr="007407DF">
        <w:rPr>
          <w:rStyle w:val="FootnoteReference"/>
          <w:i/>
          <w:iCs/>
          <w:sz w:val="27"/>
          <w:szCs w:val="27"/>
        </w:rPr>
        <w:footnoteReference w:id="1"/>
      </w:r>
      <w:r w:rsidRPr="007407DF">
        <w:rPr>
          <w:i/>
          <w:iCs/>
          <w:sz w:val="27"/>
          <w:szCs w:val="27"/>
        </w:rPr>
        <w:t xml:space="preserve"> nosaka un regulāri pārskata universālajā pakalpojumā ietilpstošo pakalpojumu sarakstu, universālā pakalpojuma apjomu, ģeogrāfisko teritoriju un galalietotāju loku, paredzot, ka galalietotājiem ir tiesības piekļūt publiskam elektronisko sakaru tīklam balss telefonijas izsaukumu veikšanai un faksa ziņojumu un datu ziņojumu nosūtīšanai ar datu pārraides ātrumu, kas ir pietiekams, lai nodrošinātu piekļuvi internetam.[…]”.</w:t>
      </w:r>
      <w:r w:rsidR="00A769B1" w:rsidRPr="007407DF">
        <w:rPr>
          <w:rStyle w:val="FootnoteReference"/>
          <w:i/>
          <w:iCs/>
          <w:sz w:val="27"/>
          <w:szCs w:val="27"/>
        </w:rPr>
        <w:footnoteReference w:id="2"/>
      </w:r>
    </w:p>
    <w:p w14:paraId="385E94FE" w14:textId="77777777" w:rsidR="00442096" w:rsidRPr="007407DF" w:rsidRDefault="00442096" w:rsidP="008A759F">
      <w:pPr>
        <w:spacing w:before="120"/>
        <w:ind w:firstLine="720"/>
        <w:jc w:val="both"/>
        <w:rPr>
          <w:sz w:val="27"/>
          <w:szCs w:val="27"/>
        </w:rPr>
      </w:pPr>
      <w:r w:rsidRPr="007407DF">
        <w:rPr>
          <w:sz w:val="27"/>
          <w:szCs w:val="27"/>
        </w:rPr>
        <w:t xml:space="preserve">Saskaņā ar Elektronisko sakaru likuma 64.panta pirmajā un trešajā daļā noteikto, </w:t>
      </w:r>
      <w:r w:rsidR="004B52C1" w:rsidRPr="007407DF">
        <w:rPr>
          <w:sz w:val="27"/>
          <w:szCs w:val="27"/>
        </w:rPr>
        <w:t>“</w:t>
      </w:r>
      <w:r w:rsidRPr="007407DF">
        <w:rPr>
          <w:i/>
          <w:iCs/>
          <w:sz w:val="27"/>
          <w:szCs w:val="27"/>
        </w:rPr>
        <w:t>lai Latvijas teritorijā nodrošinātu universālā pakalpojuma sniegšanu, Regulators elektronisko sakaru komersantam nosaka universālā pakalpojuma saistības. […] Regulators,</w:t>
      </w:r>
      <w:r w:rsidR="001E137F" w:rsidRPr="007407DF">
        <w:rPr>
          <w:i/>
          <w:iCs/>
          <w:sz w:val="27"/>
          <w:szCs w:val="27"/>
        </w:rPr>
        <w:t xml:space="preserve"> izmantojot efektīvu, objektīvu, caurredzamu un vienlīdzīgu saistību noteikšanas kārtību, nosaka vienu vai vairākus elektronisko sakaru komersantus, kuriem ir pienākums sniegt universālo pakalpojumu visā Latvijas teritorijā. Katru no universālajā pakalpojumā ietilpstošajiem pakalpojumiem var sniegt cits elektronisko sakaru komersants.</w:t>
      </w:r>
      <w:r w:rsidRPr="007407DF">
        <w:rPr>
          <w:sz w:val="27"/>
          <w:szCs w:val="27"/>
        </w:rPr>
        <w:t>”</w:t>
      </w:r>
      <w:r w:rsidR="00A769B1" w:rsidRPr="007407DF">
        <w:rPr>
          <w:rStyle w:val="FootnoteReference"/>
          <w:sz w:val="27"/>
          <w:szCs w:val="27"/>
        </w:rPr>
        <w:footnoteReference w:id="3"/>
      </w:r>
      <w:r w:rsidRPr="007407DF">
        <w:rPr>
          <w:sz w:val="27"/>
          <w:szCs w:val="27"/>
        </w:rPr>
        <w:t>.</w:t>
      </w:r>
    </w:p>
    <w:p w14:paraId="1F86A174" w14:textId="77777777" w:rsidR="00442096" w:rsidRPr="007407DF" w:rsidRDefault="00442096" w:rsidP="00E1114E">
      <w:pPr>
        <w:spacing w:before="120"/>
        <w:ind w:firstLine="720"/>
        <w:jc w:val="both"/>
        <w:rPr>
          <w:sz w:val="27"/>
          <w:szCs w:val="27"/>
        </w:rPr>
      </w:pPr>
      <w:r w:rsidRPr="007407DF">
        <w:rPr>
          <w:sz w:val="27"/>
          <w:szCs w:val="27"/>
        </w:rPr>
        <w:lastRenderedPageBreak/>
        <w:t>Atbilstoši Elektronisko sakaru likuma 65.panta otrajā un ceturtajā daļā noteiktajam „</w:t>
      </w:r>
      <w:r w:rsidRPr="007407DF">
        <w:rPr>
          <w:i/>
          <w:iCs/>
          <w:sz w:val="27"/>
          <w:szCs w:val="27"/>
        </w:rPr>
        <w:t>Elektronisko sakaru komersants, kuram ir noteiktas universālā pakalpojuma saistības, aprēķina universālā pakalpojuma saistību tīrās izmaksas saskaņā ar Regulatora noteikto universālā pakalpojuma saistību tīro izmaksu aprēķināšanas un noteikšanas metodiku. […] Tīrās izmaksas, kas izriet no universālā pakalpojuma saistību izpildes, kompensē saskaņā ar noteikto kompensācijas mehānismu, ja elektronisko sakaru komersants, kas sniedz universālo pakalpojumu, pierāda, ka ir pakļauts netaisnīgam apgrūtinājumam un saistību izpilde rada zaudējumus</w:t>
      </w:r>
      <w:r w:rsidRPr="007407DF">
        <w:rPr>
          <w:sz w:val="27"/>
          <w:szCs w:val="27"/>
        </w:rPr>
        <w:t>”.</w:t>
      </w:r>
    </w:p>
    <w:p w14:paraId="0AECAD12" w14:textId="4E1C7D8F" w:rsidR="007E1F95" w:rsidRPr="00816296" w:rsidRDefault="007E1F95" w:rsidP="0007085F">
      <w:pPr>
        <w:spacing w:before="120"/>
        <w:ind w:firstLine="720"/>
        <w:jc w:val="both"/>
        <w:rPr>
          <w:b/>
          <w:bCs/>
          <w:color w:val="000000"/>
          <w:sz w:val="27"/>
          <w:szCs w:val="27"/>
        </w:rPr>
      </w:pPr>
      <w:r w:rsidRPr="007407DF">
        <w:rPr>
          <w:color w:val="000000"/>
          <w:sz w:val="27"/>
          <w:szCs w:val="27"/>
        </w:rPr>
        <w:t>Universālā pakalpojuma saistību tīro izmaksu kompensācijas mehānisma izveide ir atlikta 5 reizes kopš 2004.gadā tika izstrādāts Elektronisko sakaru likums. Lēmums par zaudējumu kompensēšanu no universālā pakalpojuma sniedzēja valstij izmaksājamajām dividendēm Ministru kabinetā tika pieņemts kā pagaidu risinājums līdz attiecīga universālā pakalpojuma fonda vai cita finansēšanas un kompensācijas mehānisma izveidei elektronisko sakaru nozarē.</w:t>
      </w:r>
      <w:r>
        <w:rPr>
          <w:color w:val="000000"/>
          <w:sz w:val="27"/>
          <w:szCs w:val="27"/>
        </w:rPr>
        <w:t xml:space="preserve"> Ņemot vērā minēto, atbilstoši Ministru kabineta 2020.gada 24.marta sēdes protokollēmuma (prot. Nr.17 22.</w:t>
      </w:r>
      <w:r w:rsidRPr="00DD4EC7">
        <w:rPr>
          <w:color w:val="000000"/>
          <w:sz w:val="27"/>
          <w:szCs w:val="27"/>
        </w:rPr>
        <w:t>§</w:t>
      </w:r>
      <w:r w:rsidR="00E2129D">
        <w:rPr>
          <w:color w:val="000000"/>
          <w:sz w:val="27"/>
          <w:szCs w:val="27"/>
        </w:rPr>
        <w:t xml:space="preserve"> TA-339</w:t>
      </w:r>
      <w:r>
        <w:rPr>
          <w:color w:val="000000"/>
          <w:sz w:val="27"/>
          <w:szCs w:val="27"/>
        </w:rPr>
        <w:t xml:space="preserve">) </w:t>
      </w:r>
      <w:r w:rsidR="000F0401">
        <w:rPr>
          <w:color w:val="000000"/>
          <w:sz w:val="27"/>
          <w:szCs w:val="27"/>
        </w:rPr>
        <w:t>5</w:t>
      </w:r>
      <w:r>
        <w:rPr>
          <w:color w:val="000000"/>
          <w:sz w:val="27"/>
          <w:szCs w:val="27"/>
        </w:rPr>
        <w:t xml:space="preserve">.punktam </w:t>
      </w:r>
      <w:r w:rsidRPr="00DD4EC7">
        <w:rPr>
          <w:color w:val="000000"/>
          <w:sz w:val="27"/>
          <w:szCs w:val="27"/>
        </w:rPr>
        <w:t xml:space="preserve">Satiksmes ministrijai </w:t>
      </w:r>
      <w:r>
        <w:rPr>
          <w:color w:val="000000"/>
          <w:sz w:val="27"/>
          <w:szCs w:val="27"/>
        </w:rPr>
        <w:t>jāsagatavo</w:t>
      </w:r>
      <w:r w:rsidRPr="00DD4EC7">
        <w:rPr>
          <w:color w:val="000000"/>
          <w:sz w:val="27"/>
          <w:szCs w:val="27"/>
        </w:rPr>
        <w:t xml:space="preserve"> un līdz 2020.gada 21.decembrim noteiktā kārtībā </w:t>
      </w:r>
      <w:r>
        <w:rPr>
          <w:color w:val="000000"/>
          <w:sz w:val="27"/>
          <w:szCs w:val="27"/>
        </w:rPr>
        <w:t>jā</w:t>
      </w:r>
      <w:r w:rsidRPr="00DD4EC7">
        <w:rPr>
          <w:color w:val="000000"/>
          <w:sz w:val="27"/>
          <w:szCs w:val="27"/>
        </w:rPr>
        <w:t>iesnie</w:t>
      </w:r>
      <w:r>
        <w:rPr>
          <w:color w:val="000000"/>
          <w:sz w:val="27"/>
          <w:szCs w:val="27"/>
        </w:rPr>
        <w:t>dz</w:t>
      </w:r>
      <w:r w:rsidRPr="00DD4EC7">
        <w:rPr>
          <w:color w:val="000000"/>
          <w:sz w:val="27"/>
          <w:szCs w:val="27"/>
        </w:rPr>
        <w:t xml:space="preserve"> izskatīšanai Ministru kabinetā priekšlikumus universālā pakalpojuma fonda vai cita finansēšanas un kompensācijas mehānisma elektronisko sakaru nozarē</w:t>
      </w:r>
      <w:r w:rsidR="00586080">
        <w:rPr>
          <w:color w:val="000000"/>
          <w:sz w:val="27"/>
          <w:szCs w:val="27"/>
        </w:rPr>
        <w:t xml:space="preserve"> atbilstoši </w:t>
      </w:r>
      <w:r w:rsidR="00586080" w:rsidRPr="007407DF">
        <w:rPr>
          <w:color w:val="000000"/>
          <w:sz w:val="27"/>
          <w:szCs w:val="27"/>
        </w:rPr>
        <w:t xml:space="preserve">Eiropas Parlamenta un Padomes </w:t>
      </w:r>
      <w:r w:rsidR="00586080">
        <w:rPr>
          <w:color w:val="000000"/>
          <w:sz w:val="27"/>
          <w:szCs w:val="27"/>
        </w:rPr>
        <w:t>2018.gada 11.decembra D</w:t>
      </w:r>
      <w:r w:rsidR="00586080" w:rsidRPr="007407DF">
        <w:rPr>
          <w:color w:val="000000"/>
          <w:sz w:val="27"/>
          <w:szCs w:val="27"/>
        </w:rPr>
        <w:t>irektīva</w:t>
      </w:r>
      <w:r w:rsidR="00586080">
        <w:rPr>
          <w:color w:val="000000"/>
          <w:sz w:val="27"/>
          <w:szCs w:val="27"/>
        </w:rPr>
        <w:t>i</w:t>
      </w:r>
      <w:r w:rsidR="00586080" w:rsidRPr="007407DF">
        <w:rPr>
          <w:color w:val="000000"/>
          <w:sz w:val="27"/>
          <w:szCs w:val="27"/>
        </w:rPr>
        <w:t xml:space="preserve"> (ES) 2018/1972 par Eiropas Elektronisko sakaru kodeksa izveidi</w:t>
      </w:r>
      <w:r w:rsidR="0007085F">
        <w:rPr>
          <w:color w:val="000000"/>
          <w:sz w:val="27"/>
          <w:szCs w:val="27"/>
        </w:rPr>
        <w:t xml:space="preserve">, kā arī </w:t>
      </w:r>
      <w:r w:rsidR="0007085F" w:rsidRPr="0007085F">
        <w:rPr>
          <w:color w:val="000000"/>
          <w:sz w:val="27"/>
          <w:szCs w:val="27"/>
        </w:rPr>
        <w:t>Satiksmes ministrij</w:t>
      </w:r>
      <w:r w:rsidR="0007085F">
        <w:rPr>
          <w:color w:val="000000"/>
          <w:sz w:val="27"/>
          <w:szCs w:val="27"/>
        </w:rPr>
        <w:t>a</w:t>
      </w:r>
      <w:r w:rsidR="0007085F" w:rsidRPr="0007085F">
        <w:rPr>
          <w:color w:val="000000"/>
          <w:sz w:val="27"/>
          <w:szCs w:val="27"/>
        </w:rPr>
        <w:t xml:space="preserve"> </w:t>
      </w:r>
      <w:r w:rsidR="0007085F">
        <w:rPr>
          <w:color w:val="000000"/>
          <w:sz w:val="27"/>
          <w:szCs w:val="27"/>
        </w:rPr>
        <w:t xml:space="preserve">noteikta </w:t>
      </w:r>
      <w:r w:rsidR="0007085F" w:rsidRPr="0007085F">
        <w:rPr>
          <w:color w:val="000000"/>
          <w:sz w:val="27"/>
          <w:szCs w:val="27"/>
        </w:rPr>
        <w:t>par atbildīgo iestādi universālā pakalpojuma politikas īstenošanai elektronisko sakaru pakalpojumu nozarē, tostarp nodrošinot saistības universālā pakalpojuma pieejamības nodrošināšanai</w:t>
      </w:r>
      <w:r w:rsidR="0007085F">
        <w:rPr>
          <w:color w:val="000000"/>
          <w:sz w:val="27"/>
          <w:szCs w:val="27"/>
        </w:rPr>
        <w:t xml:space="preserve">. </w:t>
      </w:r>
      <w:r w:rsidR="00B7038B">
        <w:rPr>
          <w:color w:val="000000"/>
          <w:sz w:val="27"/>
          <w:szCs w:val="27"/>
        </w:rPr>
        <w:t xml:space="preserve">Priekšlikumi </w:t>
      </w:r>
      <w:r w:rsidR="00B7038B" w:rsidRPr="00DD4EC7">
        <w:rPr>
          <w:color w:val="000000"/>
          <w:sz w:val="27"/>
          <w:szCs w:val="27"/>
        </w:rPr>
        <w:t>universālā pakalpojuma fonda vai cita finansēšanas un kompensācijas mehānisma</w:t>
      </w:r>
      <w:r w:rsidR="00B7038B">
        <w:rPr>
          <w:color w:val="000000"/>
          <w:sz w:val="27"/>
          <w:szCs w:val="27"/>
        </w:rPr>
        <w:t xml:space="preserve"> izveidei iekļauti </w:t>
      </w:r>
      <w:r w:rsidR="00CC7105">
        <w:rPr>
          <w:color w:val="000000"/>
          <w:sz w:val="27"/>
          <w:szCs w:val="27"/>
        </w:rPr>
        <w:t xml:space="preserve">Satiksmes ministrijas izstrādātajā </w:t>
      </w:r>
      <w:r w:rsidR="00B7038B">
        <w:rPr>
          <w:color w:val="000000"/>
          <w:sz w:val="27"/>
          <w:szCs w:val="27"/>
        </w:rPr>
        <w:t>likumprojektā “Elektronisko sakaru likums”</w:t>
      </w:r>
      <w:r w:rsidR="00406606">
        <w:rPr>
          <w:color w:val="000000"/>
          <w:sz w:val="27"/>
          <w:szCs w:val="27"/>
        </w:rPr>
        <w:t xml:space="preserve"> (VSS-765, TA-1392)</w:t>
      </w:r>
      <w:r w:rsidR="0007085F">
        <w:rPr>
          <w:color w:val="000000"/>
          <w:sz w:val="27"/>
          <w:szCs w:val="27"/>
        </w:rPr>
        <w:t xml:space="preserve">, </w:t>
      </w:r>
      <w:r w:rsidR="0007085F" w:rsidRPr="000E3149">
        <w:rPr>
          <w:color w:val="000000"/>
          <w:sz w:val="27"/>
          <w:szCs w:val="27"/>
        </w:rPr>
        <w:t>kas atbilstoši paredz arī to, ka par universāl</w:t>
      </w:r>
      <w:r w:rsidR="00E70225" w:rsidRPr="000E3149">
        <w:rPr>
          <w:color w:val="000000"/>
          <w:sz w:val="27"/>
          <w:szCs w:val="27"/>
        </w:rPr>
        <w:t>ā</w:t>
      </w:r>
      <w:r w:rsidR="0007085F" w:rsidRPr="000E3149">
        <w:rPr>
          <w:color w:val="000000"/>
          <w:sz w:val="27"/>
          <w:szCs w:val="27"/>
        </w:rPr>
        <w:t xml:space="preserve"> pakalpojuma kompensācijas mehānism</w:t>
      </w:r>
      <w:r w:rsidR="00E70225" w:rsidRPr="000E3149">
        <w:rPr>
          <w:color w:val="000000"/>
          <w:sz w:val="27"/>
          <w:szCs w:val="27"/>
        </w:rPr>
        <w:t>u</w:t>
      </w:r>
      <w:r w:rsidR="0007085F" w:rsidRPr="000E3149">
        <w:rPr>
          <w:color w:val="000000"/>
          <w:sz w:val="27"/>
          <w:szCs w:val="27"/>
        </w:rPr>
        <w:t xml:space="preserve"> elektronisko sakaru pakalpojumu nozarē</w:t>
      </w:r>
      <w:r w:rsidR="00E70225" w:rsidRPr="000E3149">
        <w:rPr>
          <w:color w:val="000000"/>
          <w:sz w:val="27"/>
          <w:szCs w:val="27"/>
        </w:rPr>
        <w:t xml:space="preserve"> būs atbildīga Satiksmes ministrija, neatkarīgi no </w:t>
      </w:r>
      <w:r w:rsidR="00E70225" w:rsidRPr="000E3149">
        <w:rPr>
          <w:sz w:val="27"/>
          <w:szCs w:val="27"/>
        </w:rPr>
        <w:t>universālā pakalpojuma sniedzēja.</w:t>
      </w:r>
    </w:p>
    <w:p w14:paraId="34B83B6B" w14:textId="77777777" w:rsidR="00442096" w:rsidRPr="007407DF" w:rsidRDefault="006958A6" w:rsidP="008A759F">
      <w:pPr>
        <w:spacing w:before="120"/>
        <w:ind w:firstLine="720"/>
        <w:jc w:val="both"/>
        <w:rPr>
          <w:sz w:val="27"/>
          <w:szCs w:val="27"/>
        </w:rPr>
      </w:pPr>
      <w:r>
        <w:rPr>
          <w:color w:val="000000"/>
          <w:sz w:val="27"/>
          <w:szCs w:val="27"/>
        </w:rPr>
        <w:t>Vienlaikus, s</w:t>
      </w:r>
      <w:r w:rsidR="00442096" w:rsidRPr="007407DF">
        <w:rPr>
          <w:sz w:val="27"/>
          <w:szCs w:val="27"/>
        </w:rPr>
        <w:t>askaņā</w:t>
      </w:r>
      <w:r w:rsidR="002A6DDA" w:rsidRPr="007407DF">
        <w:rPr>
          <w:sz w:val="27"/>
          <w:szCs w:val="27"/>
        </w:rPr>
        <w:t xml:space="preserve"> ar Elektronisko sakaru likuma p</w:t>
      </w:r>
      <w:r w:rsidR="00442096" w:rsidRPr="007407DF">
        <w:rPr>
          <w:sz w:val="27"/>
          <w:szCs w:val="27"/>
        </w:rPr>
        <w:t xml:space="preserve">ārejas noteikumu 14.punktu </w:t>
      </w:r>
      <w:r w:rsidR="007E1F95">
        <w:rPr>
          <w:sz w:val="27"/>
          <w:szCs w:val="27"/>
        </w:rPr>
        <w:t xml:space="preserve">noteikts, ka </w:t>
      </w:r>
      <w:r w:rsidR="00442096" w:rsidRPr="007407DF">
        <w:rPr>
          <w:sz w:val="27"/>
          <w:szCs w:val="27"/>
        </w:rPr>
        <w:t>universālā pakalpojuma fondu vai citu finansēšanas un kompensācijas mehānismu izveido Ministru kabinets līdz 20</w:t>
      </w:r>
      <w:r w:rsidR="00F0025D" w:rsidRPr="007407DF">
        <w:rPr>
          <w:sz w:val="27"/>
          <w:szCs w:val="27"/>
        </w:rPr>
        <w:t>22</w:t>
      </w:r>
      <w:r w:rsidR="00442096" w:rsidRPr="007407DF">
        <w:rPr>
          <w:sz w:val="27"/>
          <w:szCs w:val="27"/>
        </w:rPr>
        <w:t>.gada 1.j</w:t>
      </w:r>
      <w:r w:rsidR="00E35CF2" w:rsidRPr="007407DF">
        <w:rPr>
          <w:sz w:val="27"/>
          <w:szCs w:val="27"/>
        </w:rPr>
        <w:t>anvārim</w:t>
      </w:r>
      <w:r w:rsidR="00442096" w:rsidRPr="007407DF">
        <w:rPr>
          <w:sz w:val="27"/>
          <w:szCs w:val="27"/>
        </w:rPr>
        <w:t>. Ja līdz 20</w:t>
      </w:r>
      <w:r w:rsidR="00F0025D" w:rsidRPr="007407DF">
        <w:rPr>
          <w:sz w:val="27"/>
          <w:szCs w:val="27"/>
        </w:rPr>
        <w:t>22</w:t>
      </w:r>
      <w:r w:rsidR="00442096" w:rsidRPr="007407DF">
        <w:rPr>
          <w:sz w:val="27"/>
          <w:szCs w:val="27"/>
        </w:rPr>
        <w:t>.gada 1.j</w:t>
      </w:r>
      <w:r w:rsidR="00E35CF2" w:rsidRPr="007407DF">
        <w:rPr>
          <w:sz w:val="27"/>
          <w:szCs w:val="27"/>
        </w:rPr>
        <w:t>anvārim</w:t>
      </w:r>
      <w:r w:rsidR="00442096" w:rsidRPr="007407DF">
        <w:rPr>
          <w:sz w:val="27"/>
          <w:szCs w:val="27"/>
        </w:rPr>
        <w:t xml:space="preserve"> universālā pakalpojuma fondu vai citu finansēšanas un kompensācijas mehānismu Ministru kabinets nav izveidojis, tad līdz tā izveidošanai universālā pakalpojuma saistību izpildes radītos zaudējumus kompensē no valsts budžeta.</w:t>
      </w:r>
    </w:p>
    <w:p w14:paraId="1ACC5456" w14:textId="77777777" w:rsidR="00ED7C04" w:rsidRPr="007407DF" w:rsidRDefault="00442096" w:rsidP="004B52C1">
      <w:pPr>
        <w:spacing w:before="120"/>
        <w:ind w:firstLine="720"/>
        <w:jc w:val="both"/>
        <w:rPr>
          <w:sz w:val="27"/>
          <w:szCs w:val="27"/>
        </w:rPr>
      </w:pPr>
      <w:r w:rsidRPr="007407DF">
        <w:rPr>
          <w:sz w:val="27"/>
          <w:szCs w:val="27"/>
        </w:rPr>
        <w:t xml:space="preserve">Tā kā Ministru kabinets līdz šim brīdim nav izveidojis universālā pakalpojuma fondu vai citu finansēšanas un kompensēšanas mehānismu, </w:t>
      </w:r>
      <w:r w:rsidRPr="007407DF">
        <w:rPr>
          <w:sz w:val="27"/>
          <w:szCs w:val="27"/>
        </w:rPr>
        <w:lastRenderedPageBreak/>
        <w:t>universālā pakalpojuma saistību izpildes radītie zaudējumi ir jākompensē no valsts budžeta.</w:t>
      </w:r>
    </w:p>
    <w:p w14:paraId="2BCC2044" w14:textId="05632C84" w:rsidR="008B09C6" w:rsidRPr="001756CE" w:rsidRDefault="004F0A0B" w:rsidP="008A759F">
      <w:pPr>
        <w:spacing w:before="120"/>
        <w:ind w:firstLine="720"/>
        <w:jc w:val="both"/>
        <w:rPr>
          <w:sz w:val="27"/>
          <w:szCs w:val="27"/>
        </w:rPr>
      </w:pPr>
      <w:r>
        <w:rPr>
          <w:sz w:val="27"/>
          <w:szCs w:val="27"/>
        </w:rPr>
        <w:t>Kompensācija no valsts budžeta</w:t>
      </w:r>
      <w:r w:rsidR="008B09C6" w:rsidRPr="007407DF">
        <w:rPr>
          <w:sz w:val="27"/>
          <w:szCs w:val="27"/>
        </w:rPr>
        <w:t xml:space="preserve"> saskaņā ar Ministru kabineta </w:t>
      </w:r>
      <w:r w:rsidR="0071573D" w:rsidRPr="007407DF">
        <w:rPr>
          <w:sz w:val="27"/>
          <w:szCs w:val="27"/>
        </w:rPr>
        <w:t xml:space="preserve">2014.gada 22.aprīļa </w:t>
      </w:r>
      <w:r w:rsidR="008B09C6" w:rsidRPr="007407DF">
        <w:rPr>
          <w:sz w:val="27"/>
          <w:szCs w:val="27"/>
        </w:rPr>
        <w:t>sēdes prot</w:t>
      </w:r>
      <w:r w:rsidR="00200D86" w:rsidRPr="007407DF">
        <w:rPr>
          <w:sz w:val="27"/>
          <w:szCs w:val="27"/>
        </w:rPr>
        <w:t>o</w:t>
      </w:r>
      <w:r w:rsidR="008B09C6" w:rsidRPr="007407DF">
        <w:rPr>
          <w:sz w:val="27"/>
          <w:szCs w:val="27"/>
        </w:rPr>
        <w:t>kollēmuma (</w:t>
      </w:r>
      <w:r w:rsidR="000F0401">
        <w:rPr>
          <w:sz w:val="27"/>
          <w:szCs w:val="27"/>
        </w:rPr>
        <w:t>p</w:t>
      </w:r>
      <w:r w:rsidR="008B09C6" w:rsidRPr="007407DF">
        <w:rPr>
          <w:sz w:val="27"/>
          <w:szCs w:val="27"/>
        </w:rPr>
        <w:t>rot.Nr.24  39.§  TA-770)  4.punktā noteikto kārtību</w:t>
      </w:r>
      <w:r>
        <w:rPr>
          <w:sz w:val="27"/>
          <w:szCs w:val="27"/>
        </w:rPr>
        <w:t xml:space="preserve"> paredz</w:t>
      </w:r>
      <w:r w:rsidR="008B09C6" w:rsidRPr="007407DF">
        <w:rPr>
          <w:sz w:val="27"/>
          <w:szCs w:val="27"/>
        </w:rPr>
        <w:t xml:space="preserve"> </w:t>
      </w:r>
      <w:r w:rsidR="000E3149">
        <w:rPr>
          <w:sz w:val="27"/>
          <w:szCs w:val="27"/>
        </w:rPr>
        <w:t>“</w:t>
      </w:r>
      <w:r w:rsidR="008B09C6" w:rsidRPr="007407DF">
        <w:rPr>
          <w:i/>
          <w:sz w:val="27"/>
          <w:szCs w:val="27"/>
        </w:rPr>
        <w:t xml:space="preserve">līdz Elektronisko sakaru likuma 66.pantā noteiktā universālā pakalpojuma finansēšanas un kompensācijas mehānisma izveidei, ja nepieciešams, </w:t>
      </w:r>
      <w:r w:rsidR="008B09C6" w:rsidRPr="007407DF">
        <w:rPr>
          <w:b/>
          <w:i/>
          <w:sz w:val="27"/>
          <w:szCs w:val="27"/>
        </w:rPr>
        <w:t xml:space="preserve">zaudējumi tiek kompensēti, samazinot valstij pienākošos un izmaksājamo sabiedrības ar ierobežotu atbildību </w:t>
      </w:r>
      <w:r w:rsidR="007E1F95">
        <w:rPr>
          <w:b/>
          <w:i/>
          <w:sz w:val="27"/>
          <w:szCs w:val="27"/>
        </w:rPr>
        <w:t>“</w:t>
      </w:r>
      <w:r w:rsidR="008B09C6" w:rsidRPr="007407DF">
        <w:rPr>
          <w:b/>
          <w:i/>
          <w:sz w:val="27"/>
          <w:szCs w:val="27"/>
        </w:rPr>
        <w:t>Lattelecom” dividenžu summu par iepriekšējā gada darbības rezultātiem</w:t>
      </w:r>
      <w:r w:rsidR="008B09C6" w:rsidRPr="007407DF">
        <w:rPr>
          <w:i/>
          <w:sz w:val="27"/>
          <w:szCs w:val="27"/>
        </w:rPr>
        <w:t xml:space="preserve">. Priekšlikums par universālā pakalpojuma saistību izpildes radīto zaudējumu kompensēšanu ir iesniedzams Ministru kabinetā trīs mēnešu laikā pēc Sabiedrisko pakalpojumu regulēšanas komisijas lēmuma par kompensējamām universālā pakalpojuma saistību tīrajām izmaksām elektronisko sakaru nozarē pieņemšanas un paziņošanas Ekonomikas </w:t>
      </w:r>
      <w:r w:rsidR="008B09C6" w:rsidRPr="001756CE">
        <w:rPr>
          <w:i/>
          <w:sz w:val="27"/>
          <w:szCs w:val="27"/>
        </w:rPr>
        <w:t>ministrijai</w:t>
      </w:r>
      <w:r w:rsidR="008B09C6" w:rsidRPr="001756CE">
        <w:rPr>
          <w:sz w:val="27"/>
          <w:szCs w:val="27"/>
        </w:rPr>
        <w:t>.”</w:t>
      </w:r>
    </w:p>
    <w:p w14:paraId="494665C9" w14:textId="7E97FAAA" w:rsidR="00870E3C" w:rsidRPr="001756CE" w:rsidRDefault="00870E3C" w:rsidP="00870E3C">
      <w:pPr>
        <w:spacing w:before="120"/>
        <w:ind w:firstLine="720"/>
        <w:jc w:val="both"/>
        <w:rPr>
          <w:sz w:val="27"/>
          <w:szCs w:val="27"/>
        </w:rPr>
      </w:pPr>
      <w:r w:rsidRPr="001756CE">
        <w:rPr>
          <w:sz w:val="27"/>
          <w:szCs w:val="27"/>
        </w:rPr>
        <w:t>Tas nozīmē, ka universālā pakalpojuma saistību izpildes radīto zaudējumu kompensēšana notiek SIA “Tet” dividenžu izmaksas brīdī tā dalībniekiem, t.i., SIA “Tet” ietur universālā pakalpojuma saistību izpildes radīto zaudējumu summu no Latvijas valstij (kā SIA “Tet” dalībniekam) izmaksājamās dividenžu summas, faktiski pārskaitot starpību Valsts kases kontā.</w:t>
      </w:r>
    </w:p>
    <w:p w14:paraId="27783E40" w14:textId="75B41F40" w:rsidR="00870E3C" w:rsidRPr="001756CE" w:rsidRDefault="00870E3C" w:rsidP="00870E3C">
      <w:pPr>
        <w:spacing w:before="120"/>
        <w:ind w:firstLine="720"/>
        <w:jc w:val="both"/>
        <w:rPr>
          <w:sz w:val="27"/>
          <w:szCs w:val="27"/>
        </w:rPr>
      </w:pPr>
      <w:r w:rsidRPr="001756CE">
        <w:rPr>
          <w:sz w:val="27"/>
          <w:szCs w:val="27"/>
        </w:rPr>
        <w:t xml:space="preserve">Universālā pakalpojuma saistību izpildes radīto zaudējumu kompensācija neietekmē dividenžu nodokļa aprēķinu, jo dividenžu nodokli maksā no SIA “Tet” tīrās peļņas (pirms Universālā pakalpojuma izpildes radīto zaudējumu kompensācijas ieturēšanas). Tādējādi šāda kārtība, kur daļa dividenžu tiek novirzīta saistību kompensēšanai, neietekmē valstij aprēķināto nomaksājamo nodokļu apmēru. </w:t>
      </w:r>
    </w:p>
    <w:p w14:paraId="08E7D523" w14:textId="670C4773" w:rsidR="00870E3C" w:rsidRDefault="00870E3C" w:rsidP="00870E3C">
      <w:pPr>
        <w:spacing w:before="120"/>
        <w:ind w:firstLine="720"/>
        <w:jc w:val="both"/>
        <w:rPr>
          <w:sz w:val="27"/>
          <w:szCs w:val="27"/>
        </w:rPr>
      </w:pPr>
      <w:r w:rsidRPr="001756CE">
        <w:rPr>
          <w:sz w:val="27"/>
          <w:szCs w:val="27"/>
        </w:rPr>
        <w:t>Šāda kārtība (zaudējumu kompensēšana, ieturot summu no valstij kā dalībniekam izmaksājamajām dividendēm) izvēlēta, jo cita veida kompensācijas mehānisms nav izveidots. Vienlaikus, esošais mehānisms vērtējams kā piemērots risinājums, jo citi iespējami kompensēšanas veidi, piemēram, speciāla fonda izveide vai maksājums no valsts budžeta, radītu papildus administratīvu slogu un resursu patēriņu valstij, piemēram, dokumentus sagatavojot pieprasījumam gadskārtējā valsts budžeta sagatavošanas procesā tīro izmaksu kompensēšanai vai arī pieprasot nepieciešamo finansēju valsts saistību izpildei no budžeta programmas "Līdzekļi neparedzētiem gadījumiem".</w:t>
      </w:r>
      <w:r>
        <w:rPr>
          <w:sz w:val="27"/>
          <w:szCs w:val="27"/>
        </w:rPr>
        <w:t xml:space="preserve"> </w:t>
      </w:r>
    </w:p>
    <w:p w14:paraId="50FE8CF2" w14:textId="7B423EBD" w:rsidR="00442096" w:rsidRPr="007407DF" w:rsidRDefault="00C2616D" w:rsidP="008A759F">
      <w:pPr>
        <w:spacing w:before="120"/>
        <w:ind w:firstLine="720"/>
        <w:jc w:val="both"/>
        <w:rPr>
          <w:sz w:val="27"/>
          <w:szCs w:val="27"/>
        </w:rPr>
      </w:pPr>
      <w:r w:rsidRPr="007407DF">
        <w:rPr>
          <w:sz w:val="27"/>
          <w:szCs w:val="27"/>
        </w:rPr>
        <w:t>SIA</w:t>
      </w:r>
      <w:r w:rsidR="00442096" w:rsidRPr="007407DF">
        <w:rPr>
          <w:sz w:val="27"/>
          <w:szCs w:val="27"/>
        </w:rPr>
        <w:t xml:space="preserve"> </w:t>
      </w:r>
      <w:r w:rsidR="007E1F95">
        <w:rPr>
          <w:sz w:val="27"/>
          <w:szCs w:val="27"/>
        </w:rPr>
        <w:t>“</w:t>
      </w:r>
      <w:r w:rsidR="00034525" w:rsidRPr="007407DF">
        <w:rPr>
          <w:sz w:val="27"/>
          <w:szCs w:val="27"/>
        </w:rPr>
        <w:t>Tet</w:t>
      </w:r>
      <w:r w:rsidR="00442096" w:rsidRPr="007407DF">
        <w:rPr>
          <w:sz w:val="27"/>
          <w:szCs w:val="27"/>
        </w:rPr>
        <w:t>” 20</w:t>
      </w:r>
      <w:r w:rsidR="00AD3A2D">
        <w:rPr>
          <w:sz w:val="27"/>
          <w:szCs w:val="27"/>
        </w:rPr>
        <w:t>20</w:t>
      </w:r>
      <w:r w:rsidR="00442096" w:rsidRPr="007407DF">
        <w:rPr>
          <w:sz w:val="27"/>
          <w:szCs w:val="27"/>
        </w:rPr>
        <w:t>.gadā bija vienīgais universālā pakalpojuma sniedzējs, kuram saskaņā ar Regulatora lēmumiem</w:t>
      </w:r>
      <w:r w:rsidR="00D226A7" w:rsidRPr="007407DF">
        <w:rPr>
          <w:rStyle w:val="FootnoteReference"/>
          <w:sz w:val="27"/>
          <w:szCs w:val="27"/>
        </w:rPr>
        <w:footnoteReference w:id="4"/>
      </w:r>
      <w:r w:rsidR="00442096" w:rsidRPr="007407DF">
        <w:rPr>
          <w:sz w:val="27"/>
          <w:szCs w:val="27"/>
        </w:rPr>
        <w:t xml:space="preserve"> ir noteiktas universālā </w:t>
      </w:r>
      <w:r w:rsidR="00442096" w:rsidRPr="007407DF">
        <w:rPr>
          <w:sz w:val="27"/>
          <w:szCs w:val="27"/>
        </w:rPr>
        <w:lastRenderedPageBreak/>
        <w:t xml:space="preserve">pakalpojuma saistības un līdz ar to arī tikai </w:t>
      </w:r>
      <w:r w:rsidR="00E97193" w:rsidRPr="007407DF">
        <w:rPr>
          <w:sz w:val="27"/>
          <w:szCs w:val="27"/>
        </w:rPr>
        <w:t>SIA</w:t>
      </w:r>
      <w:r w:rsidR="00442096" w:rsidRPr="007407DF">
        <w:rPr>
          <w:sz w:val="27"/>
          <w:szCs w:val="27"/>
        </w:rPr>
        <w:t xml:space="preserve"> </w:t>
      </w:r>
      <w:r w:rsidR="00625526">
        <w:rPr>
          <w:sz w:val="27"/>
          <w:szCs w:val="27"/>
        </w:rPr>
        <w:t>“</w:t>
      </w:r>
      <w:r w:rsidR="00FD529C" w:rsidRPr="007407DF">
        <w:rPr>
          <w:sz w:val="27"/>
          <w:szCs w:val="27"/>
        </w:rPr>
        <w:t>Tet</w:t>
      </w:r>
      <w:r w:rsidR="00442096" w:rsidRPr="007407DF">
        <w:rPr>
          <w:sz w:val="27"/>
          <w:szCs w:val="27"/>
        </w:rPr>
        <w:t xml:space="preserve">” ir papildus izmaksas un zaudējumi, kas izriet no universālā pakalpojuma saistību izpildes. </w:t>
      </w:r>
    </w:p>
    <w:p w14:paraId="5071FB40" w14:textId="77777777" w:rsidR="00442096" w:rsidRPr="007407DF" w:rsidRDefault="00442096" w:rsidP="008A759F">
      <w:pPr>
        <w:spacing w:before="120"/>
        <w:ind w:firstLine="720"/>
        <w:jc w:val="both"/>
        <w:rPr>
          <w:sz w:val="27"/>
          <w:szCs w:val="27"/>
        </w:rPr>
      </w:pPr>
      <w:r w:rsidRPr="007407DF">
        <w:rPr>
          <w:sz w:val="27"/>
          <w:szCs w:val="27"/>
        </w:rPr>
        <w:t xml:space="preserve">Regulators </w:t>
      </w:r>
      <w:r w:rsidR="00AD350D" w:rsidRPr="007407DF">
        <w:rPr>
          <w:sz w:val="27"/>
          <w:szCs w:val="27"/>
        </w:rPr>
        <w:t>ar 20</w:t>
      </w:r>
      <w:r w:rsidR="007E1F95">
        <w:rPr>
          <w:sz w:val="27"/>
          <w:szCs w:val="27"/>
        </w:rPr>
        <w:t>2</w:t>
      </w:r>
      <w:r w:rsidR="00AD3A2D">
        <w:rPr>
          <w:sz w:val="27"/>
          <w:szCs w:val="27"/>
        </w:rPr>
        <w:t>1</w:t>
      </w:r>
      <w:r w:rsidR="00AD350D" w:rsidRPr="007407DF">
        <w:rPr>
          <w:sz w:val="27"/>
          <w:szCs w:val="27"/>
        </w:rPr>
        <w:t xml:space="preserve">.gada </w:t>
      </w:r>
      <w:r w:rsidR="00F0025D" w:rsidRPr="007407DF">
        <w:rPr>
          <w:sz w:val="27"/>
          <w:szCs w:val="27"/>
        </w:rPr>
        <w:t>2</w:t>
      </w:r>
      <w:r w:rsidR="00AD3A2D">
        <w:rPr>
          <w:sz w:val="27"/>
          <w:szCs w:val="27"/>
        </w:rPr>
        <w:t>3</w:t>
      </w:r>
      <w:r w:rsidR="00AD350D" w:rsidRPr="007407DF">
        <w:rPr>
          <w:sz w:val="27"/>
          <w:szCs w:val="27"/>
        </w:rPr>
        <w:t>.septembra lēmumu Nr.1</w:t>
      </w:r>
      <w:r w:rsidR="00AD3A2D">
        <w:rPr>
          <w:sz w:val="27"/>
          <w:szCs w:val="27"/>
        </w:rPr>
        <w:t>02</w:t>
      </w:r>
      <w:r w:rsidR="00AD350D" w:rsidRPr="007407DF">
        <w:rPr>
          <w:sz w:val="27"/>
          <w:szCs w:val="27"/>
        </w:rPr>
        <w:t xml:space="preserve"> </w:t>
      </w:r>
      <w:r w:rsidR="007E1F95">
        <w:rPr>
          <w:sz w:val="27"/>
          <w:szCs w:val="27"/>
        </w:rPr>
        <w:t>“</w:t>
      </w:r>
      <w:r w:rsidR="00AD350D" w:rsidRPr="007407DF">
        <w:rPr>
          <w:sz w:val="27"/>
          <w:szCs w:val="27"/>
        </w:rPr>
        <w:t xml:space="preserve">Par sabiedrības ar ierobežotu atbildību </w:t>
      </w:r>
      <w:r w:rsidR="007E1F95">
        <w:rPr>
          <w:sz w:val="27"/>
          <w:szCs w:val="27"/>
        </w:rPr>
        <w:t>“</w:t>
      </w:r>
      <w:r w:rsidR="003D6750" w:rsidRPr="007407DF">
        <w:rPr>
          <w:sz w:val="27"/>
          <w:szCs w:val="27"/>
        </w:rPr>
        <w:t>Tet</w:t>
      </w:r>
      <w:r w:rsidR="00AD350D" w:rsidRPr="007407DF">
        <w:rPr>
          <w:sz w:val="27"/>
          <w:szCs w:val="27"/>
        </w:rPr>
        <w:t>” aprēķināto 20</w:t>
      </w:r>
      <w:r w:rsidR="00AD3A2D">
        <w:rPr>
          <w:sz w:val="27"/>
          <w:szCs w:val="27"/>
        </w:rPr>
        <w:t>20</w:t>
      </w:r>
      <w:r w:rsidR="00AD350D" w:rsidRPr="007407DF">
        <w:rPr>
          <w:sz w:val="27"/>
          <w:szCs w:val="27"/>
        </w:rPr>
        <w:t>.gada universālā pakalpojuma saistību tīro izmaksu apstiprināšanu”</w:t>
      </w:r>
      <w:r w:rsidRPr="007407DF">
        <w:rPr>
          <w:sz w:val="27"/>
          <w:szCs w:val="27"/>
        </w:rPr>
        <w:t xml:space="preserve">, izvērtējot </w:t>
      </w:r>
      <w:r w:rsidR="00C2616D" w:rsidRPr="007407DF">
        <w:rPr>
          <w:sz w:val="27"/>
          <w:szCs w:val="27"/>
        </w:rPr>
        <w:t>SIA</w:t>
      </w:r>
      <w:r w:rsidRPr="007407DF">
        <w:rPr>
          <w:sz w:val="27"/>
          <w:szCs w:val="27"/>
        </w:rPr>
        <w:t xml:space="preserve"> </w:t>
      </w:r>
      <w:r w:rsidR="001C3121">
        <w:rPr>
          <w:sz w:val="27"/>
          <w:szCs w:val="27"/>
        </w:rPr>
        <w:t>“</w:t>
      </w:r>
      <w:r w:rsidR="003D6750" w:rsidRPr="007407DF">
        <w:rPr>
          <w:sz w:val="27"/>
          <w:szCs w:val="27"/>
        </w:rPr>
        <w:t>Tet</w:t>
      </w:r>
      <w:r w:rsidRPr="007407DF">
        <w:rPr>
          <w:sz w:val="27"/>
          <w:szCs w:val="27"/>
        </w:rPr>
        <w:t xml:space="preserve">” netaisnīgo apgrūtinājumu un zaudējumus, ko ir radījusi universālā pakalpojuma saistību izpilde, apstiprināja </w:t>
      </w:r>
      <w:r w:rsidR="00C2616D" w:rsidRPr="007407DF">
        <w:rPr>
          <w:sz w:val="27"/>
          <w:szCs w:val="27"/>
        </w:rPr>
        <w:t>SIA</w:t>
      </w:r>
      <w:r w:rsidR="00FF74BA" w:rsidRPr="007407DF">
        <w:rPr>
          <w:sz w:val="27"/>
          <w:szCs w:val="27"/>
        </w:rPr>
        <w:t xml:space="preserve"> </w:t>
      </w:r>
      <w:r w:rsidR="001C3121">
        <w:rPr>
          <w:sz w:val="27"/>
          <w:szCs w:val="27"/>
        </w:rPr>
        <w:t>“</w:t>
      </w:r>
      <w:r w:rsidR="003D6750" w:rsidRPr="007407DF">
        <w:rPr>
          <w:sz w:val="27"/>
          <w:szCs w:val="27"/>
        </w:rPr>
        <w:t>Tet</w:t>
      </w:r>
      <w:r w:rsidRPr="007407DF">
        <w:rPr>
          <w:sz w:val="27"/>
          <w:szCs w:val="27"/>
        </w:rPr>
        <w:t>” 20</w:t>
      </w:r>
      <w:r w:rsidR="00AD3A2D">
        <w:rPr>
          <w:sz w:val="27"/>
          <w:szCs w:val="27"/>
        </w:rPr>
        <w:t>20</w:t>
      </w:r>
      <w:r w:rsidRPr="007407DF">
        <w:rPr>
          <w:sz w:val="27"/>
          <w:szCs w:val="27"/>
        </w:rPr>
        <w:t xml:space="preserve">.gada universālā pakalpojuma saistību tīrās izmaksas </w:t>
      </w:r>
      <w:r w:rsidR="00F0025D" w:rsidRPr="007407DF">
        <w:rPr>
          <w:b/>
          <w:color w:val="000000"/>
          <w:sz w:val="27"/>
          <w:szCs w:val="27"/>
        </w:rPr>
        <w:t>3</w:t>
      </w:r>
      <w:r w:rsidR="001C3121">
        <w:rPr>
          <w:b/>
          <w:color w:val="000000"/>
          <w:sz w:val="27"/>
          <w:szCs w:val="27"/>
        </w:rPr>
        <w:t>6</w:t>
      </w:r>
      <w:r w:rsidR="00AD3A2D">
        <w:rPr>
          <w:b/>
          <w:color w:val="000000"/>
          <w:sz w:val="27"/>
          <w:szCs w:val="27"/>
        </w:rPr>
        <w:t>7</w:t>
      </w:r>
      <w:r w:rsidR="004B69BD" w:rsidRPr="007407DF">
        <w:rPr>
          <w:b/>
          <w:color w:val="000000"/>
          <w:sz w:val="27"/>
          <w:szCs w:val="27"/>
        </w:rPr>
        <w:t> </w:t>
      </w:r>
      <w:r w:rsidR="00AD3A2D">
        <w:rPr>
          <w:b/>
          <w:color w:val="000000"/>
          <w:sz w:val="27"/>
          <w:szCs w:val="27"/>
        </w:rPr>
        <w:t>519</w:t>
      </w:r>
      <w:r w:rsidR="004B69BD" w:rsidRPr="007407DF">
        <w:rPr>
          <w:iCs/>
          <w:sz w:val="27"/>
          <w:szCs w:val="27"/>
        </w:rPr>
        <w:t xml:space="preserve"> </w:t>
      </w:r>
      <w:r w:rsidR="007C2721" w:rsidRPr="007407DF">
        <w:rPr>
          <w:b/>
          <w:i/>
          <w:color w:val="000000"/>
          <w:sz w:val="27"/>
          <w:szCs w:val="27"/>
        </w:rPr>
        <w:t>euro</w:t>
      </w:r>
      <w:r w:rsidR="007C2721" w:rsidRPr="007407DF">
        <w:rPr>
          <w:color w:val="000000"/>
          <w:sz w:val="27"/>
          <w:szCs w:val="27"/>
        </w:rPr>
        <w:t xml:space="preserve"> apmērā</w:t>
      </w:r>
      <w:r w:rsidR="007C2721" w:rsidRPr="007407DF">
        <w:rPr>
          <w:sz w:val="27"/>
          <w:szCs w:val="27"/>
        </w:rPr>
        <w:t xml:space="preserve"> </w:t>
      </w:r>
      <w:r w:rsidR="00733496" w:rsidRPr="007407DF">
        <w:rPr>
          <w:sz w:val="27"/>
          <w:szCs w:val="27"/>
        </w:rPr>
        <w:t xml:space="preserve">un </w:t>
      </w:r>
      <w:r w:rsidR="00227C40" w:rsidRPr="007407DF">
        <w:rPr>
          <w:sz w:val="27"/>
          <w:szCs w:val="27"/>
        </w:rPr>
        <w:t xml:space="preserve">par to </w:t>
      </w:r>
      <w:r w:rsidR="00232B60" w:rsidRPr="007407DF">
        <w:rPr>
          <w:sz w:val="27"/>
          <w:szCs w:val="27"/>
        </w:rPr>
        <w:t>20</w:t>
      </w:r>
      <w:r w:rsidR="005A0D64">
        <w:rPr>
          <w:sz w:val="27"/>
          <w:szCs w:val="27"/>
        </w:rPr>
        <w:t>2</w:t>
      </w:r>
      <w:r w:rsidR="00445CD6">
        <w:rPr>
          <w:sz w:val="27"/>
          <w:szCs w:val="27"/>
        </w:rPr>
        <w:t>1</w:t>
      </w:r>
      <w:r w:rsidR="00232B60" w:rsidRPr="007407DF">
        <w:rPr>
          <w:sz w:val="27"/>
          <w:szCs w:val="27"/>
        </w:rPr>
        <w:t>.gada</w:t>
      </w:r>
      <w:r w:rsidR="00227C40" w:rsidRPr="007407DF">
        <w:rPr>
          <w:sz w:val="27"/>
          <w:szCs w:val="27"/>
        </w:rPr>
        <w:t xml:space="preserve"> </w:t>
      </w:r>
      <w:r w:rsidR="00445CD6">
        <w:rPr>
          <w:sz w:val="27"/>
          <w:szCs w:val="27"/>
        </w:rPr>
        <w:t>27</w:t>
      </w:r>
      <w:r w:rsidR="003823C8">
        <w:rPr>
          <w:sz w:val="27"/>
          <w:szCs w:val="27"/>
        </w:rPr>
        <w:t>.septembrī</w:t>
      </w:r>
      <w:r w:rsidR="00227C40" w:rsidRPr="007407DF">
        <w:rPr>
          <w:sz w:val="27"/>
          <w:szCs w:val="27"/>
        </w:rPr>
        <w:t xml:space="preserve"> paziņoja arī Ekonomikas ministrijai.</w:t>
      </w:r>
    </w:p>
    <w:p w14:paraId="3FC0B033" w14:textId="77777777" w:rsidR="006A0E72" w:rsidRDefault="006A0E72" w:rsidP="006A0E72">
      <w:pPr>
        <w:spacing w:before="120"/>
        <w:ind w:firstLine="720"/>
        <w:jc w:val="both"/>
        <w:rPr>
          <w:sz w:val="27"/>
          <w:szCs w:val="27"/>
        </w:rPr>
      </w:pPr>
      <w:r w:rsidRPr="007407DF">
        <w:rPr>
          <w:sz w:val="27"/>
          <w:szCs w:val="27"/>
        </w:rPr>
        <w:t xml:space="preserve">SIA </w:t>
      </w:r>
      <w:r w:rsidR="00B509C6">
        <w:rPr>
          <w:sz w:val="27"/>
          <w:szCs w:val="27"/>
        </w:rPr>
        <w:t>“</w:t>
      </w:r>
      <w:r w:rsidR="00543079" w:rsidRPr="007407DF">
        <w:rPr>
          <w:sz w:val="27"/>
          <w:szCs w:val="27"/>
        </w:rPr>
        <w:t>Tet</w:t>
      </w:r>
      <w:r w:rsidRPr="007407DF">
        <w:rPr>
          <w:sz w:val="27"/>
          <w:szCs w:val="27"/>
        </w:rPr>
        <w:t>” 20</w:t>
      </w:r>
      <w:r w:rsidR="009129A9">
        <w:rPr>
          <w:sz w:val="27"/>
          <w:szCs w:val="27"/>
        </w:rPr>
        <w:t>20</w:t>
      </w:r>
      <w:r w:rsidRPr="007407DF">
        <w:rPr>
          <w:sz w:val="27"/>
          <w:szCs w:val="27"/>
        </w:rPr>
        <w:t xml:space="preserve">.gadā sniegtā universālā pakalpojuma saistību tīro izmaksu kompensācija saskaņā ar Regulatora veikto izvērtējumu atbilst Eiropas </w:t>
      </w:r>
      <w:r w:rsidR="00417755">
        <w:rPr>
          <w:sz w:val="27"/>
          <w:szCs w:val="27"/>
        </w:rPr>
        <w:t>Savienības</w:t>
      </w:r>
      <w:r w:rsidRPr="007407DF">
        <w:rPr>
          <w:sz w:val="27"/>
          <w:szCs w:val="27"/>
        </w:rPr>
        <w:t xml:space="preserve"> </w:t>
      </w:r>
      <w:r w:rsidR="001839FC">
        <w:rPr>
          <w:sz w:val="27"/>
          <w:szCs w:val="27"/>
        </w:rPr>
        <w:t>T</w:t>
      </w:r>
      <w:r w:rsidRPr="007407DF">
        <w:rPr>
          <w:sz w:val="27"/>
          <w:szCs w:val="27"/>
        </w:rPr>
        <w:t xml:space="preserve">iesas 2003.gada 24.jūlija spriedumā </w:t>
      </w:r>
      <w:r w:rsidRPr="007407DF">
        <w:rPr>
          <w:i/>
          <w:iCs/>
          <w:sz w:val="27"/>
          <w:szCs w:val="27"/>
        </w:rPr>
        <w:t xml:space="preserve">Altmark </w:t>
      </w:r>
      <w:r w:rsidRPr="007407DF">
        <w:rPr>
          <w:sz w:val="27"/>
          <w:szCs w:val="27"/>
        </w:rPr>
        <w:t>lietā noteiktajiem četriem kumulatīvajiem kritērijiem un tādējādi nekvalificējas kā komercdarbības atbalsts</w:t>
      </w:r>
      <w:r w:rsidR="009A1F30">
        <w:rPr>
          <w:sz w:val="27"/>
          <w:szCs w:val="27"/>
        </w:rPr>
        <w:t xml:space="preserve">, ņemot vērā sekojošu informāciju. </w:t>
      </w:r>
    </w:p>
    <w:p w14:paraId="5E346839" w14:textId="77777777" w:rsidR="009A1F30" w:rsidRPr="0073663C" w:rsidRDefault="009A1F30" w:rsidP="009A1F30">
      <w:pPr>
        <w:spacing w:before="120"/>
        <w:ind w:firstLine="720"/>
        <w:jc w:val="both"/>
        <w:rPr>
          <w:color w:val="000000" w:themeColor="text1"/>
          <w:sz w:val="27"/>
          <w:szCs w:val="27"/>
        </w:rPr>
      </w:pPr>
      <w:r w:rsidRPr="0073663C">
        <w:rPr>
          <w:color w:val="000000" w:themeColor="text1"/>
          <w:sz w:val="27"/>
          <w:szCs w:val="27"/>
        </w:rPr>
        <w:t xml:space="preserve">Eiropas Savienības </w:t>
      </w:r>
      <w:r w:rsidR="0020206E" w:rsidRPr="0073663C">
        <w:rPr>
          <w:color w:val="000000" w:themeColor="text1"/>
          <w:sz w:val="27"/>
          <w:szCs w:val="27"/>
        </w:rPr>
        <w:t>T</w:t>
      </w:r>
      <w:r w:rsidRPr="0073663C">
        <w:rPr>
          <w:color w:val="000000" w:themeColor="text1"/>
          <w:sz w:val="27"/>
          <w:szCs w:val="27"/>
        </w:rPr>
        <w:t xml:space="preserve">iesa attiecībā uz kompensāciju par izmaksām, kas rodas, sniedzot vispārējas tautsaimnieciskas nozīmes pakalpojumus, spriedumā lietā </w:t>
      </w:r>
      <w:r w:rsidRPr="0073663C">
        <w:rPr>
          <w:i/>
          <w:iCs/>
          <w:color w:val="000000" w:themeColor="text1"/>
          <w:sz w:val="27"/>
          <w:szCs w:val="27"/>
        </w:rPr>
        <w:t>Altmark</w:t>
      </w:r>
      <w:r w:rsidRPr="0073663C">
        <w:rPr>
          <w:color w:val="000000" w:themeColor="text1"/>
          <w:sz w:val="27"/>
          <w:szCs w:val="27"/>
        </w:rPr>
        <w:t xml:space="preserve"> noteica četrus kumulatīv</w:t>
      </w:r>
      <w:r w:rsidR="00A72ED5">
        <w:rPr>
          <w:color w:val="000000" w:themeColor="text1"/>
          <w:sz w:val="27"/>
          <w:szCs w:val="27"/>
        </w:rPr>
        <w:t>us</w:t>
      </w:r>
      <w:r w:rsidRPr="0073663C">
        <w:rPr>
          <w:color w:val="000000" w:themeColor="text1"/>
          <w:sz w:val="27"/>
          <w:szCs w:val="27"/>
        </w:rPr>
        <w:t xml:space="preserve"> nosacījumus:</w:t>
      </w:r>
    </w:p>
    <w:p w14:paraId="1B8F286D" w14:textId="77777777" w:rsidR="009A1F30" w:rsidRPr="0073663C" w:rsidRDefault="009A1F30" w:rsidP="009A1F30">
      <w:pPr>
        <w:spacing w:before="60"/>
        <w:ind w:firstLine="720"/>
        <w:jc w:val="both"/>
        <w:rPr>
          <w:color w:val="000000" w:themeColor="text1"/>
          <w:sz w:val="27"/>
          <w:szCs w:val="27"/>
        </w:rPr>
      </w:pPr>
      <w:r w:rsidRPr="0073663C">
        <w:rPr>
          <w:color w:val="000000" w:themeColor="text1"/>
          <w:sz w:val="27"/>
          <w:szCs w:val="27"/>
        </w:rPr>
        <w:t>1) saņēmējam komersantam reāli ir jābūt pienākumam sniegt sabiedriskos pakalpojumus, un šim pienākumam jābūt skaidri noteiktam;</w:t>
      </w:r>
    </w:p>
    <w:p w14:paraId="5E0EAFA5" w14:textId="77777777" w:rsidR="009A1F30" w:rsidRPr="0073663C" w:rsidRDefault="009A1F30" w:rsidP="009A1F30">
      <w:pPr>
        <w:spacing w:before="60"/>
        <w:ind w:firstLine="720"/>
        <w:jc w:val="both"/>
        <w:rPr>
          <w:color w:val="000000" w:themeColor="text1"/>
          <w:sz w:val="27"/>
          <w:szCs w:val="27"/>
        </w:rPr>
      </w:pPr>
      <w:r w:rsidRPr="0073663C">
        <w:rPr>
          <w:color w:val="000000" w:themeColor="text1"/>
          <w:sz w:val="27"/>
          <w:szCs w:val="27"/>
        </w:rPr>
        <w:t>2) parametri, uz kuru pamata aprēķina kompensāciju, jānosaka iepriekš, ievērojot objektivitāti un pārredzamību;</w:t>
      </w:r>
    </w:p>
    <w:p w14:paraId="747522CE" w14:textId="77777777" w:rsidR="009A1F30" w:rsidRPr="0073663C" w:rsidRDefault="009A1F30" w:rsidP="009A1F30">
      <w:pPr>
        <w:spacing w:before="60"/>
        <w:ind w:firstLine="720"/>
        <w:jc w:val="both"/>
        <w:rPr>
          <w:color w:val="000000" w:themeColor="text1"/>
          <w:sz w:val="27"/>
          <w:szCs w:val="27"/>
        </w:rPr>
      </w:pPr>
      <w:r w:rsidRPr="0073663C">
        <w:rPr>
          <w:color w:val="000000" w:themeColor="text1"/>
          <w:sz w:val="27"/>
          <w:szCs w:val="27"/>
        </w:rPr>
        <w:t>3) kompensācija nedrīkst pārsniegt summu, kas nepieciešama, lai segtu visas izmaksas vai daļu no izmaksām, kas rodas pildot sabiedrisko</w:t>
      </w:r>
      <w:r w:rsidRPr="009A1F30">
        <w:rPr>
          <w:color w:val="4472C4" w:themeColor="accent1"/>
          <w:sz w:val="27"/>
          <w:szCs w:val="27"/>
        </w:rPr>
        <w:t xml:space="preserve"> </w:t>
      </w:r>
      <w:r w:rsidRPr="0073663C">
        <w:rPr>
          <w:color w:val="000000" w:themeColor="text1"/>
          <w:sz w:val="27"/>
          <w:szCs w:val="27"/>
        </w:rPr>
        <w:t>pakalpojumu sniegšanas pienākumu, ņemot vērā attiecīgus ienākumus un saprātīgu peļņu;</w:t>
      </w:r>
    </w:p>
    <w:p w14:paraId="4CC53F2F" w14:textId="77777777" w:rsidR="009A1F30" w:rsidRPr="0073663C" w:rsidRDefault="009A1F30" w:rsidP="009A1F30">
      <w:pPr>
        <w:spacing w:before="60"/>
        <w:ind w:firstLine="720"/>
        <w:jc w:val="both"/>
        <w:rPr>
          <w:color w:val="000000" w:themeColor="text1"/>
          <w:sz w:val="27"/>
          <w:szCs w:val="27"/>
        </w:rPr>
      </w:pPr>
      <w:r w:rsidRPr="0073663C">
        <w:rPr>
          <w:color w:val="000000" w:themeColor="text1"/>
          <w:sz w:val="27"/>
          <w:szCs w:val="27"/>
        </w:rPr>
        <w:t>4) gadījumā, ja komersants, kuram ir pienākums sniegt sabiedriskos pakalpojumus konkrētā gadījumā nav izvēlēts saskaņā ar publiskā iepirkuma procedūru, kas ļautu izvēlēties pretendentu, kurš ir spējīgs sniegt pakalpojumus par kopienai zemāko cenu, nepieciešamās kompensācijas līmenis jānosaka, pamatojoties uz to izmaksu analīzi, kuras rastos tipiskam, labi pārvaldītam un atbilstīgi apgādātam komersantam.</w:t>
      </w:r>
    </w:p>
    <w:p w14:paraId="4615BBC6" w14:textId="77777777" w:rsidR="00417755" w:rsidRDefault="00F84A2F" w:rsidP="006A0E72">
      <w:pPr>
        <w:spacing w:before="120"/>
        <w:ind w:firstLine="720"/>
        <w:jc w:val="both"/>
        <w:rPr>
          <w:color w:val="4472C4" w:themeColor="accent1"/>
          <w:sz w:val="27"/>
          <w:szCs w:val="27"/>
        </w:rPr>
      </w:pPr>
      <w:r w:rsidRPr="0073663C">
        <w:rPr>
          <w:color w:val="000000" w:themeColor="text1"/>
          <w:sz w:val="27"/>
          <w:szCs w:val="27"/>
        </w:rPr>
        <w:t>Atbilstība kritērijiem:</w:t>
      </w:r>
    </w:p>
    <w:p w14:paraId="4AD182A1" w14:textId="77777777" w:rsidR="00F84A2F" w:rsidRPr="0073663C" w:rsidRDefault="00F84A2F" w:rsidP="006A0E72">
      <w:pPr>
        <w:spacing w:before="120"/>
        <w:ind w:firstLine="720"/>
        <w:jc w:val="both"/>
        <w:rPr>
          <w:color w:val="000000" w:themeColor="text1"/>
          <w:sz w:val="27"/>
          <w:szCs w:val="27"/>
        </w:rPr>
      </w:pPr>
      <w:r w:rsidRPr="0073663C">
        <w:rPr>
          <w:color w:val="000000" w:themeColor="text1"/>
          <w:sz w:val="27"/>
          <w:szCs w:val="27"/>
        </w:rPr>
        <w:t xml:space="preserve">1) Elektronisko sakaru likuma XIV nodaļā “Universālais pakalpojums” noteikta universālā pakalpojuma saistību noteikšana, tā sniedzēja izvēle un saistību tīro izmaksu noteikšana un zaudējumu kompensēšana, kā arī noteikts finansēšanas un kompensācijas mehānisms. </w:t>
      </w:r>
      <w:r w:rsidRPr="0073663C">
        <w:rPr>
          <w:color w:val="000000" w:themeColor="text1"/>
          <w:sz w:val="27"/>
          <w:szCs w:val="27"/>
        </w:rPr>
        <w:lastRenderedPageBreak/>
        <w:t>No minētā regulējuma izriet, ka ar finansēšanu un kompensēšanu saistītie jautājumi ir Ministru kabineta kompetencē, savukārt Regulators noteic universālā pakalpojuma saistību apmēru, elektronisko sakaru komersantu, kurš nodrošina noteikto universālā pakalpojuma saistību izpildi, un uzrauga šo saistību izpildi, kā arī apstiprina universālā pakalpojuma saistību tīro izmaksu aprēķināšanas un noteikšanas metodiku un elektronisko sakaru komersanta aprēķinātās universālā pakalpojuma saistību tīrās izmaksas.</w:t>
      </w:r>
    </w:p>
    <w:p w14:paraId="628D4350" w14:textId="77777777" w:rsidR="009A1F30" w:rsidRPr="0073663C" w:rsidRDefault="00F84A2F" w:rsidP="006A0E72">
      <w:pPr>
        <w:spacing w:before="120"/>
        <w:ind w:firstLine="720"/>
        <w:jc w:val="both"/>
        <w:rPr>
          <w:color w:val="000000" w:themeColor="text1"/>
          <w:sz w:val="27"/>
          <w:szCs w:val="27"/>
        </w:rPr>
      </w:pPr>
      <w:r w:rsidRPr="0073663C">
        <w:rPr>
          <w:color w:val="000000" w:themeColor="text1"/>
          <w:sz w:val="27"/>
          <w:szCs w:val="27"/>
        </w:rPr>
        <w:t>Saskaņā ar Elektronisko sakaru likuma 64.panta pirmo un otro daļu, lai visā Latvijas teritorijā nodrošinātu universālā pakalpojuma sniegšanu, Regulators elektronisko sakaru komersantam nosaka universālā pakalpojuma saistības, nodrošinot, ka universālo pakalpojumu sniedz ekonomiski izdevīgākajā veidā pastāvīgi un nepārtraukti, un paredzot galalietotājiem iespēju saņemt universālā pakalpojuma saistībās ietvertos pakalpojumus.</w:t>
      </w:r>
    </w:p>
    <w:p w14:paraId="605C3252" w14:textId="77777777" w:rsidR="00F84A2F" w:rsidRPr="0073663C" w:rsidRDefault="00F84A2F" w:rsidP="006A0E72">
      <w:pPr>
        <w:spacing w:before="120"/>
        <w:ind w:firstLine="720"/>
        <w:jc w:val="both"/>
        <w:rPr>
          <w:color w:val="000000" w:themeColor="text1"/>
          <w:sz w:val="27"/>
          <w:szCs w:val="27"/>
        </w:rPr>
      </w:pPr>
      <w:r w:rsidRPr="0073663C">
        <w:rPr>
          <w:color w:val="000000" w:themeColor="text1"/>
          <w:sz w:val="27"/>
          <w:szCs w:val="27"/>
        </w:rPr>
        <w:t>Pildot universālā pakalpojuma sniedzēja pienākumu, SIA “Tet” ir jānodrošina atlaides noteiktām abonentu grupām (personām ar īpašām vajadzībām). Noteiktas maksas atlaides internetam, abonēšanas maksai un sarunām veido universālā pakalpojuma saistību tīrās izmaksas. No 2017.gada 1.janvāra universālā pakalpojuma saistības ietver platjoslas interneta un balss telefonijas pakalpojumu nodrošināšanu personām ar invaliditāti, nosakot šo pakalpojumu maksas atlaidi.</w:t>
      </w:r>
    </w:p>
    <w:p w14:paraId="4C0360F6" w14:textId="77777777" w:rsidR="00F84A2F" w:rsidRPr="0073663C" w:rsidRDefault="00F84A2F" w:rsidP="00F84A2F">
      <w:pPr>
        <w:spacing w:before="120"/>
        <w:ind w:firstLine="720"/>
        <w:jc w:val="both"/>
        <w:rPr>
          <w:color w:val="000000" w:themeColor="text1"/>
          <w:sz w:val="27"/>
          <w:szCs w:val="27"/>
        </w:rPr>
      </w:pPr>
      <w:r w:rsidRPr="0073663C">
        <w:rPr>
          <w:color w:val="000000" w:themeColor="text1"/>
          <w:sz w:val="27"/>
          <w:szCs w:val="27"/>
        </w:rPr>
        <w:t>2) Saskaņā ar Elektronisko sakaru likuma 65.panta trešo daļu Regulators apstiprina universālā pakalpojuma saistību tīro izmaksu aprēķināšanas un noteikšanas metodiku un elektronisko sakaru komersanta aprēķinātās universālā pakalpojuma saistību tīrās izmaksas. Elektronisko sakaru komersants, kas sniedz universālo pakalpojumu, nodrošina, ka universālā pakalpojuma saistību tīro izmaksu aprēķinu pārbauda zvērināts revidents vai zvērinātu revidentu komercsabiedrība. Tīro izmaksu aprēķins un zvērināta revidenta vai zvērinātu revidentu komercsabiedrības ziņojums ir pieejams publiski.</w:t>
      </w:r>
    </w:p>
    <w:p w14:paraId="38AB89CB" w14:textId="77777777" w:rsidR="001F185E" w:rsidRPr="0073663C" w:rsidRDefault="00F84A2F" w:rsidP="001F185E">
      <w:pPr>
        <w:spacing w:before="120"/>
        <w:ind w:firstLine="720"/>
        <w:jc w:val="both"/>
        <w:rPr>
          <w:color w:val="000000" w:themeColor="text1"/>
          <w:sz w:val="27"/>
          <w:szCs w:val="27"/>
        </w:rPr>
      </w:pPr>
      <w:r w:rsidRPr="0073663C">
        <w:rPr>
          <w:color w:val="000000" w:themeColor="text1"/>
          <w:sz w:val="27"/>
          <w:szCs w:val="27"/>
        </w:rPr>
        <w:t>Ar Regulatora 2017.gada 6.jūlija lēmumu Nr.1/20 “</w:t>
      </w:r>
      <w:r w:rsidRPr="0073663C">
        <w:rPr>
          <w:i/>
          <w:iCs/>
          <w:color w:val="000000" w:themeColor="text1"/>
          <w:sz w:val="27"/>
          <w:szCs w:val="27"/>
        </w:rPr>
        <w:t>Universālā pakalpojuma saistību tīro izmaksu aprēķināšanas un noteikšanas metodika</w:t>
      </w:r>
      <w:r w:rsidRPr="0073663C">
        <w:rPr>
          <w:color w:val="000000" w:themeColor="text1"/>
          <w:sz w:val="27"/>
          <w:szCs w:val="27"/>
        </w:rPr>
        <w:t>” (turpmāk – Metodika) noteikta kārtība, kādā universālā pakalpojuma sniedzējs aprēķina un nosaka universālā pakalpojuma saistību tīrās izmaksas.</w:t>
      </w:r>
      <w:r w:rsidR="001F185E" w:rsidRPr="0073663C">
        <w:rPr>
          <w:color w:val="000000" w:themeColor="text1"/>
          <w:sz w:val="27"/>
          <w:szCs w:val="27"/>
        </w:rPr>
        <w:t xml:space="preserve"> Savukārt elektronisko sakaru komersanti, tai skaitā universālā pakalpojuma sniedzējs, izmaksas par katru sabiedriskā pakalpojuma veidu aprēķina atbilstoši Regulatora 2013.gada 19.decembra lēmumam Nr.1/40 “</w:t>
      </w:r>
      <w:r w:rsidR="001F185E" w:rsidRPr="0073663C">
        <w:rPr>
          <w:i/>
          <w:iCs/>
          <w:color w:val="000000" w:themeColor="text1"/>
          <w:sz w:val="27"/>
          <w:szCs w:val="27"/>
        </w:rPr>
        <w:t>Elektronisko sakaru pakalpojumu izmaksu aprēķināšanas un attiecināšanas metodika</w:t>
      </w:r>
      <w:r w:rsidR="001F185E" w:rsidRPr="0073663C">
        <w:rPr>
          <w:color w:val="000000" w:themeColor="text1"/>
          <w:sz w:val="27"/>
          <w:szCs w:val="27"/>
        </w:rPr>
        <w:t>”</w:t>
      </w:r>
      <w:r w:rsidR="008E4E27" w:rsidRPr="0073663C">
        <w:rPr>
          <w:color w:val="000000" w:themeColor="text1"/>
          <w:sz w:val="27"/>
          <w:szCs w:val="27"/>
        </w:rPr>
        <w:t>.</w:t>
      </w:r>
    </w:p>
    <w:p w14:paraId="27D21514" w14:textId="77777777" w:rsidR="001F185E" w:rsidRPr="000154C5" w:rsidRDefault="001F185E" w:rsidP="001F185E">
      <w:pPr>
        <w:spacing w:before="120"/>
        <w:ind w:firstLine="720"/>
        <w:jc w:val="both"/>
        <w:rPr>
          <w:color w:val="000000" w:themeColor="text1"/>
          <w:sz w:val="27"/>
          <w:szCs w:val="27"/>
        </w:rPr>
      </w:pPr>
      <w:r w:rsidRPr="000154C5">
        <w:rPr>
          <w:color w:val="000000" w:themeColor="text1"/>
          <w:sz w:val="27"/>
          <w:szCs w:val="27"/>
        </w:rPr>
        <w:t xml:space="preserve">3) </w:t>
      </w:r>
      <w:r w:rsidR="00FB2C44" w:rsidRPr="000154C5">
        <w:rPr>
          <w:color w:val="000000" w:themeColor="text1"/>
          <w:sz w:val="27"/>
          <w:szCs w:val="27"/>
        </w:rPr>
        <w:t xml:space="preserve">Universālā pakalpojuma saistību tīrās izmaksas ir izmaksas, kas veidojas kā starpība starp izdevumiem un ieņēmumiem, kas universālā pakalpojuma sniedzējam rodas, sniedzot universālo pakalpojumu, atšķirībā no izmaksām, kad universālais pakalpojums netiek sniegts. </w:t>
      </w:r>
    </w:p>
    <w:p w14:paraId="417F5C0F" w14:textId="77777777" w:rsidR="00FB2C44" w:rsidRPr="000154C5" w:rsidRDefault="00FB2C44" w:rsidP="001F185E">
      <w:pPr>
        <w:spacing w:before="120"/>
        <w:ind w:firstLine="720"/>
        <w:jc w:val="both"/>
        <w:rPr>
          <w:color w:val="000000" w:themeColor="text1"/>
          <w:sz w:val="27"/>
          <w:szCs w:val="27"/>
        </w:rPr>
      </w:pPr>
      <w:r w:rsidRPr="000154C5">
        <w:rPr>
          <w:color w:val="000000" w:themeColor="text1"/>
          <w:sz w:val="27"/>
          <w:szCs w:val="27"/>
        </w:rPr>
        <w:lastRenderedPageBreak/>
        <w:t xml:space="preserve">Atbilstoši </w:t>
      </w:r>
      <w:r w:rsidR="00D805E2" w:rsidRPr="000154C5">
        <w:rPr>
          <w:color w:val="000000" w:themeColor="text1"/>
          <w:sz w:val="27"/>
          <w:szCs w:val="27"/>
        </w:rPr>
        <w:t>M</w:t>
      </w:r>
      <w:r w:rsidRPr="000154C5">
        <w:rPr>
          <w:color w:val="000000" w:themeColor="text1"/>
          <w:sz w:val="27"/>
          <w:szCs w:val="27"/>
        </w:rPr>
        <w:t xml:space="preserve">etodikā paredzētajam, </w:t>
      </w:r>
      <w:r w:rsidR="001A7CD6" w:rsidRPr="000154C5">
        <w:rPr>
          <w:color w:val="000000" w:themeColor="text1"/>
          <w:sz w:val="27"/>
          <w:szCs w:val="27"/>
        </w:rPr>
        <w:t>tīro izmaksu aprēķinā precīzi un nepārprotami norāda tikai tās izmaksas, kas rodas, nodrošinot attiecīgo pakalpojumu, norāda attiecīgās izmaksas par katru atlaides pozīciju atsevišķi, nosaka formulu nemateriālo ieguvumu aprēķināšanai u.c. Attiecīgi universālā pakalpojuma tīro izmaksu kompensācija nepārsniedz summu, kas nepieciešama, lai segtu visas izmaksas vai daļu no izmaksām, kas rodas pildot sabiedrisko pakalpojumu sniegšanas pienākumu, ņemot vērā attiecīgus ienākumus un saprātīgu peļņu.</w:t>
      </w:r>
    </w:p>
    <w:p w14:paraId="4DFB8357" w14:textId="77777777" w:rsidR="00DA42B1" w:rsidRPr="000154C5" w:rsidRDefault="00DA42B1" w:rsidP="001F185E">
      <w:pPr>
        <w:spacing w:before="120"/>
        <w:ind w:firstLine="720"/>
        <w:jc w:val="both"/>
        <w:rPr>
          <w:color w:val="000000" w:themeColor="text1"/>
          <w:sz w:val="27"/>
          <w:szCs w:val="27"/>
        </w:rPr>
      </w:pPr>
      <w:r w:rsidRPr="000154C5">
        <w:rPr>
          <w:color w:val="000000" w:themeColor="text1"/>
          <w:sz w:val="27"/>
          <w:szCs w:val="27"/>
        </w:rPr>
        <w:t xml:space="preserve">4) </w:t>
      </w:r>
      <w:r w:rsidR="00B45390" w:rsidRPr="000154C5">
        <w:rPr>
          <w:color w:val="000000" w:themeColor="text1"/>
          <w:sz w:val="27"/>
          <w:szCs w:val="27"/>
        </w:rPr>
        <w:t xml:space="preserve">Regulators jau kopš 2003.gada 1.janvāra universālā pakalpojuma sniegšanas pienākumu ir noteicis SIA “Tet”, tā kā </w:t>
      </w:r>
      <w:r w:rsidR="009F3957" w:rsidRPr="000154C5">
        <w:rPr>
          <w:color w:val="000000" w:themeColor="text1"/>
          <w:sz w:val="27"/>
          <w:szCs w:val="27"/>
        </w:rPr>
        <w:t>tam</w:t>
      </w:r>
      <w:r w:rsidR="00B45390" w:rsidRPr="000154C5">
        <w:rPr>
          <w:color w:val="000000" w:themeColor="text1"/>
          <w:sz w:val="27"/>
          <w:szCs w:val="27"/>
        </w:rPr>
        <w:t xml:space="preserve"> ir nozīmīgas un praktiskas priekšrocības elektronisko sakaru nozarē tā mēroga ekonomikas un apjoma ekonomikas dēļ. SIA “Tet” infrastruktūra dod iespēju nodrošināt universālā pakalpojuma sniegšanu publiskā fiksētā telefonu tīkla pieslēgumiem visā Latvijas teritorijā.</w:t>
      </w:r>
    </w:p>
    <w:p w14:paraId="44EA7CEB" w14:textId="77777777" w:rsidR="0098126F" w:rsidRPr="000154C5" w:rsidRDefault="0098126F" w:rsidP="001F185E">
      <w:pPr>
        <w:spacing w:before="120"/>
        <w:ind w:firstLine="720"/>
        <w:jc w:val="both"/>
        <w:rPr>
          <w:color w:val="000000" w:themeColor="text1"/>
          <w:sz w:val="27"/>
          <w:szCs w:val="27"/>
        </w:rPr>
      </w:pPr>
      <w:r w:rsidRPr="000154C5">
        <w:rPr>
          <w:color w:val="000000" w:themeColor="text1"/>
          <w:sz w:val="27"/>
          <w:szCs w:val="27"/>
        </w:rPr>
        <w:t>Tā kā SIA “Tet” ir vislielākais lietotāju skaits, tad tās aprēķinātais nemateriālais ieguvums ir lielāks nekā citiem elektronisko sakaru komersantiem. Tā rezultātā SIA “Tet” aprēķinātās universālā pakalpojuma saistību tīrās izmaksas ir mazākas nekā tās būtu, ja pakalpojumu sniegtu cits elektronisko sakaru komersants. Ņemot vērā to, ka universālā pakalpojuma saistību tīrās izmaksas, t.i., kompensējamā summa veidojas no atlaidēm noteiktām abonentu grupām (atlaides personām ar invaliditāti), ko Regulators ir noteicis ar Lēmumiem, šī izmaksu pozīcija nav atkarīga no pakalpojuma nodrošināšanas tarifa vai izmaksām, bet gan no lietotāju skaita, kuri objektīvi kvalificējas šī pakalpojuma izmantošanai.</w:t>
      </w:r>
    </w:p>
    <w:p w14:paraId="72C714D1" w14:textId="77777777" w:rsidR="0098126F" w:rsidRPr="000154C5" w:rsidRDefault="0098126F" w:rsidP="001F185E">
      <w:pPr>
        <w:spacing w:before="120"/>
        <w:ind w:firstLine="720"/>
        <w:jc w:val="both"/>
        <w:rPr>
          <w:color w:val="000000" w:themeColor="text1"/>
          <w:sz w:val="27"/>
          <w:szCs w:val="27"/>
        </w:rPr>
      </w:pPr>
      <w:r w:rsidRPr="000154C5">
        <w:rPr>
          <w:color w:val="000000" w:themeColor="text1"/>
          <w:sz w:val="27"/>
          <w:szCs w:val="27"/>
        </w:rPr>
        <w:t>Tāpat norādāms, ka likuma “Par sabiedrisko pakalpojumu regulatoriem” 26.panta otrā daļa noteic, ka elektronisko sakaru komersants kārto atsevišķu grāmatvedības uzskaiti katram sabiedriskā pakalpojuma</w:t>
      </w:r>
      <w:r w:rsidRPr="0098126F">
        <w:rPr>
          <w:color w:val="4472C4"/>
          <w:sz w:val="27"/>
          <w:szCs w:val="27"/>
        </w:rPr>
        <w:t xml:space="preserve"> </w:t>
      </w:r>
      <w:r w:rsidRPr="000154C5">
        <w:rPr>
          <w:color w:val="000000" w:themeColor="text1"/>
          <w:sz w:val="27"/>
          <w:szCs w:val="27"/>
        </w:rPr>
        <w:t>veidam un minētā uzskaite kopējā grāmatvedības uzskaitē ir nodalīta. SIA “Tet” sniegtā universālā pakalpojuma sarakstā ietilpstošo pakalpojumu grāmatvedība ir pārredzama, uzskaitīta katram sniegtajam universālajam pakalpojumam.</w:t>
      </w:r>
    </w:p>
    <w:p w14:paraId="5A7680C6" w14:textId="77777777" w:rsidR="0098126F" w:rsidRPr="000154C5" w:rsidRDefault="00D805E2" w:rsidP="0098126F">
      <w:pPr>
        <w:spacing w:before="120"/>
        <w:ind w:firstLine="720"/>
        <w:jc w:val="both"/>
        <w:rPr>
          <w:color w:val="000000" w:themeColor="text1"/>
          <w:sz w:val="27"/>
          <w:szCs w:val="27"/>
        </w:rPr>
      </w:pPr>
      <w:r w:rsidRPr="000154C5">
        <w:rPr>
          <w:color w:val="000000" w:themeColor="text1"/>
          <w:sz w:val="27"/>
          <w:szCs w:val="27"/>
        </w:rPr>
        <w:t>Tā kā</w:t>
      </w:r>
      <w:r w:rsidR="0098126F" w:rsidRPr="000154C5">
        <w:rPr>
          <w:color w:val="000000" w:themeColor="text1"/>
          <w:sz w:val="27"/>
          <w:szCs w:val="27"/>
        </w:rPr>
        <w:t xml:space="preserve"> SIA “Tet” darbojas elektronisko sakaru tirgū konkurences apstākļos, gadījumā, ja universālā pakalpojuma saistību tīrās izmaksas netiktu kompensētas, elektronisko sakaru komersants būtu nostādīts nevienlīdzīgā situācijā attiecībā pret citiem tirgus dalībniekiem. Proti, sniegt universālo pakalpojumu, nodrošinot tā pieejamību neatkarīgi no iedzīvotāju ienākumu līmeņa un izpildot noteiktas kvalitātes prasības visā Latvijas teritorijā, nav elektronisko sakaru komersanta komerciālajās interesēs, tā kā šāds pakalpojums rada zaudējumus. </w:t>
      </w:r>
    </w:p>
    <w:p w14:paraId="0F3706AC" w14:textId="77777777" w:rsidR="0098126F" w:rsidRPr="000154C5" w:rsidRDefault="0098126F" w:rsidP="0098126F">
      <w:pPr>
        <w:spacing w:before="120"/>
        <w:ind w:firstLine="720"/>
        <w:jc w:val="both"/>
        <w:rPr>
          <w:color w:val="000000" w:themeColor="text1"/>
          <w:sz w:val="27"/>
          <w:szCs w:val="27"/>
        </w:rPr>
      </w:pPr>
      <w:r w:rsidRPr="000154C5">
        <w:rPr>
          <w:color w:val="000000" w:themeColor="text1"/>
          <w:sz w:val="27"/>
          <w:szCs w:val="27"/>
        </w:rPr>
        <w:t>No minētā izriet, ka SIA “Tet” tīro izmaksu kompensācijas līmenis ir noteikts, pamatojoties uz to izmaksu analīzi, kuras rastos tipiskam, labi pārvaldītam un atbilstīgi apgādātam komersantam.</w:t>
      </w:r>
    </w:p>
    <w:p w14:paraId="4D07A6B0" w14:textId="77777777" w:rsidR="00551D22" w:rsidRPr="007407DF" w:rsidRDefault="00227C40" w:rsidP="008A759F">
      <w:pPr>
        <w:spacing w:before="120"/>
        <w:ind w:firstLine="720"/>
        <w:jc w:val="both"/>
        <w:rPr>
          <w:sz w:val="27"/>
          <w:szCs w:val="27"/>
        </w:rPr>
      </w:pPr>
      <w:r w:rsidRPr="007407DF">
        <w:rPr>
          <w:sz w:val="27"/>
          <w:szCs w:val="27"/>
        </w:rPr>
        <w:lastRenderedPageBreak/>
        <w:t>Ņ</w:t>
      </w:r>
      <w:r w:rsidR="00442096" w:rsidRPr="007407DF">
        <w:rPr>
          <w:bCs/>
          <w:sz w:val="27"/>
          <w:szCs w:val="27"/>
        </w:rPr>
        <w:t>emot vērā iepriek</w:t>
      </w:r>
      <w:r w:rsidRPr="007407DF">
        <w:rPr>
          <w:bCs/>
          <w:sz w:val="27"/>
          <w:szCs w:val="27"/>
        </w:rPr>
        <w:t>š minēto,</w:t>
      </w:r>
      <w:r w:rsidRPr="007407DF">
        <w:rPr>
          <w:b/>
          <w:bCs/>
          <w:sz w:val="27"/>
          <w:szCs w:val="27"/>
        </w:rPr>
        <w:t xml:space="preserve"> </w:t>
      </w:r>
      <w:r w:rsidRPr="007407DF">
        <w:rPr>
          <w:bCs/>
          <w:sz w:val="27"/>
          <w:szCs w:val="27"/>
        </w:rPr>
        <w:t xml:space="preserve">Ekonomikas ministrija ir sagatavojusi </w:t>
      </w:r>
      <w:r w:rsidR="00551D22" w:rsidRPr="007407DF">
        <w:rPr>
          <w:bCs/>
          <w:sz w:val="27"/>
          <w:szCs w:val="27"/>
        </w:rPr>
        <w:t>izskatīšanai Ministru kabineta sēdē</w:t>
      </w:r>
      <w:r w:rsidR="00442096" w:rsidRPr="007407DF">
        <w:rPr>
          <w:bCs/>
          <w:sz w:val="27"/>
          <w:szCs w:val="27"/>
        </w:rPr>
        <w:t xml:space="preserve"> </w:t>
      </w:r>
      <w:r w:rsidR="00AC0AAD" w:rsidRPr="007407DF">
        <w:rPr>
          <w:b/>
          <w:i/>
          <w:sz w:val="27"/>
          <w:szCs w:val="27"/>
          <w:lang w:val="cs-CZ"/>
        </w:rPr>
        <w:t>l</w:t>
      </w:r>
      <w:r w:rsidR="007C2721" w:rsidRPr="007407DF">
        <w:rPr>
          <w:b/>
          <w:i/>
          <w:sz w:val="27"/>
          <w:szCs w:val="27"/>
          <w:lang w:val="cs-CZ"/>
        </w:rPr>
        <w:t>īguma</w:t>
      </w:r>
      <w:r w:rsidR="007C2721" w:rsidRPr="007407DF">
        <w:rPr>
          <w:i/>
          <w:sz w:val="27"/>
          <w:szCs w:val="27"/>
          <w:lang w:val="cs-CZ"/>
        </w:rPr>
        <w:t xml:space="preserve"> </w:t>
      </w:r>
      <w:r w:rsidR="007C2721" w:rsidRPr="007407DF">
        <w:rPr>
          <w:b/>
          <w:i/>
          <w:sz w:val="27"/>
          <w:szCs w:val="27"/>
          <w:lang w:val="cs-CZ"/>
        </w:rPr>
        <w:t>projektu</w:t>
      </w:r>
      <w:r w:rsidR="00551D22" w:rsidRPr="007407DF">
        <w:rPr>
          <w:sz w:val="27"/>
          <w:szCs w:val="27"/>
        </w:rPr>
        <w:t>, k</w:t>
      </w:r>
      <w:r w:rsidR="007C2721" w:rsidRPr="007407DF">
        <w:rPr>
          <w:sz w:val="27"/>
          <w:szCs w:val="27"/>
        </w:rPr>
        <w:t>o</w:t>
      </w:r>
      <w:r w:rsidR="00551D22" w:rsidRPr="007407DF">
        <w:rPr>
          <w:sz w:val="27"/>
          <w:szCs w:val="27"/>
        </w:rPr>
        <w:t xml:space="preserve"> </w:t>
      </w:r>
      <w:r w:rsidR="007C2721" w:rsidRPr="007407DF">
        <w:rPr>
          <w:sz w:val="27"/>
          <w:szCs w:val="27"/>
        </w:rPr>
        <w:t xml:space="preserve">paredzēts </w:t>
      </w:r>
      <w:r w:rsidR="00551D22" w:rsidRPr="007407DF">
        <w:rPr>
          <w:sz w:val="27"/>
          <w:szCs w:val="27"/>
        </w:rPr>
        <w:t>noslēgt starp Latvijas Republik</w:t>
      </w:r>
      <w:r w:rsidR="00F665F5">
        <w:rPr>
          <w:sz w:val="27"/>
          <w:szCs w:val="27"/>
        </w:rPr>
        <w:t xml:space="preserve">u </w:t>
      </w:r>
      <w:r w:rsidR="00551D22" w:rsidRPr="007407DF">
        <w:rPr>
          <w:sz w:val="27"/>
          <w:szCs w:val="27"/>
        </w:rPr>
        <w:t xml:space="preserve">un </w:t>
      </w:r>
      <w:r w:rsidR="00C2616D" w:rsidRPr="007407DF">
        <w:rPr>
          <w:sz w:val="27"/>
          <w:szCs w:val="27"/>
        </w:rPr>
        <w:t>SIA</w:t>
      </w:r>
      <w:r w:rsidR="00551D22" w:rsidRPr="007407DF">
        <w:rPr>
          <w:sz w:val="27"/>
          <w:szCs w:val="27"/>
        </w:rPr>
        <w:t xml:space="preserve"> </w:t>
      </w:r>
      <w:r w:rsidR="00F665F5">
        <w:rPr>
          <w:sz w:val="27"/>
          <w:szCs w:val="27"/>
        </w:rPr>
        <w:t>“</w:t>
      </w:r>
      <w:r w:rsidR="00543079" w:rsidRPr="007407DF">
        <w:rPr>
          <w:sz w:val="27"/>
          <w:szCs w:val="27"/>
        </w:rPr>
        <w:t>Tet</w:t>
      </w:r>
      <w:r w:rsidR="00551D22" w:rsidRPr="007407DF">
        <w:rPr>
          <w:sz w:val="27"/>
          <w:szCs w:val="27"/>
        </w:rPr>
        <w:t>” par</w:t>
      </w:r>
      <w:r w:rsidR="00AC0AAD" w:rsidRPr="007407DF">
        <w:rPr>
          <w:sz w:val="27"/>
          <w:szCs w:val="27"/>
        </w:rPr>
        <w:t xml:space="preserve"> 20</w:t>
      </w:r>
      <w:r w:rsidR="009129A9">
        <w:rPr>
          <w:sz w:val="27"/>
          <w:szCs w:val="27"/>
        </w:rPr>
        <w:t>20</w:t>
      </w:r>
      <w:r w:rsidR="00AC0AAD" w:rsidRPr="007407DF">
        <w:rPr>
          <w:sz w:val="27"/>
          <w:szCs w:val="27"/>
        </w:rPr>
        <w:t>.gadā sniegtā universālā pakalpojuma saistību tīro izmaksu kompensāciju</w:t>
      </w:r>
      <w:r w:rsidR="00551D22" w:rsidRPr="007407DF">
        <w:rPr>
          <w:sz w:val="27"/>
          <w:szCs w:val="27"/>
        </w:rPr>
        <w:t xml:space="preserve">. </w:t>
      </w:r>
      <w:r w:rsidR="00A30FF1" w:rsidRPr="007407DF">
        <w:rPr>
          <w:sz w:val="27"/>
          <w:szCs w:val="27"/>
        </w:rPr>
        <w:t>L</w:t>
      </w:r>
      <w:r w:rsidR="007C2721" w:rsidRPr="007407DF">
        <w:rPr>
          <w:sz w:val="27"/>
          <w:szCs w:val="27"/>
        </w:rPr>
        <w:t>īguma projekts</w:t>
      </w:r>
      <w:r w:rsidR="00551D22" w:rsidRPr="007407DF">
        <w:rPr>
          <w:sz w:val="27"/>
          <w:szCs w:val="27"/>
        </w:rPr>
        <w:t xml:space="preserve"> paredz, ka valsts </w:t>
      </w:r>
      <w:r w:rsidR="00FF74BA" w:rsidRPr="007407DF">
        <w:rPr>
          <w:sz w:val="27"/>
          <w:szCs w:val="27"/>
        </w:rPr>
        <w:t>finansiālā</w:t>
      </w:r>
      <w:r w:rsidR="00551D22" w:rsidRPr="007407DF">
        <w:rPr>
          <w:sz w:val="27"/>
          <w:szCs w:val="27"/>
        </w:rPr>
        <w:t xml:space="preserve">s saistības pret </w:t>
      </w:r>
      <w:r w:rsidR="00C2616D" w:rsidRPr="007407DF">
        <w:rPr>
          <w:sz w:val="27"/>
          <w:szCs w:val="27"/>
        </w:rPr>
        <w:t>SIA</w:t>
      </w:r>
      <w:r w:rsidR="00551D22" w:rsidRPr="007407DF">
        <w:rPr>
          <w:sz w:val="27"/>
          <w:szCs w:val="27"/>
        </w:rPr>
        <w:t xml:space="preserve"> </w:t>
      </w:r>
      <w:r w:rsidR="00F665F5">
        <w:rPr>
          <w:sz w:val="27"/>
          <w:szCs w:val="27"/>
        </w:rPr>
        <w:t>“</w:t>
      </w:r>
      <w:r w:rsidR="00435DC7" w:rsidRPr="007407DF">
        <w:rPr>
          <w:sz w:val="27"/>
          <w:szCs w:val="27"/>
        </w:rPr>
        <w:t>Tet</w:t>
      </w:r>
      <w:r w:rsidR="00551D22" w:rsidRPr="007407DF">
        <w:rPr>
          <w:sz w:val="27"/>
          <w:szCs w:val="27"/>
        </w:rPr>
        <w:t>”</w:t>
      </w:r>
      <w:r w:rsidR="00FF74BA" w:rsidRPr="007407DF">
        <w:rPr>
          <w:b/>
          <w:sz w:val="27"/>
          <w:szCs w:val="27"/>
        </w:rPr>
        <w:t xml:space="preserve"> par 20</w:t>
      </w:r>
      <w:r w:rsidR="009129A9">
        <w:rPr>
          <w:b/>
          <w:sz w:val="27"/>
          <w:szCs w:val="27"/>
        </w:rPr>
        <w:t>20</w:t>
      </w:r>
      <w:r w:rsidR="00FF74BA" w:rsidRPr="007407DF">
        <w:rPr>
          <w:b/>
          <w:sz w:val="27"/>
          <w:szCs w:val="27"/>
        </w:rPr>
        <w:t>.gada universālā pakalpojuma saistību tīr</w:t>
      </w:r>
      <w:r w:rsidR="00B25CAC" w:rsidRPr="007407DF">
        <w:rPr>
          <w:b/>
          <w:sz w:val="27"/>
          <w:szCs w:val="27"/>
        </w:rPr>
        <w:t>o</w:t>
      </w:r>
      <w:r w:rsidR="00FF74BA" w:rsidRPr="007407DF">
        <w:rPr>
          <w:b/>
          <w:sz w:val="27"/>
          <w:szCs w:val="27"/>
        </w:rPr>
        <w:t xml:space="preserve"> izmaks</w:t>
      </w:r>
      <w:r w:rsidR="00B25CAC" w:rsidRPr="007407DF">
        <w:rPr>
          <w:b/>
          <w:sz w:val="27"/>
          <w:szCs w:val="27"/>
        </w:rPr>
        <w:t>u kompensēšanu</w:t>
      </w:r>
      <w:r w:rsidR="00FF74BA" w:rsidRPr="007407DF">
        <w:rPr>
          <w:b/>
          <w:sz w:val="27"/>
          <w:szCs w:val="27"/>
        </w:rPr>
        <w:t xml:space="preserve"> </w:t>
      </w:r>
      <w:r w:rsidR="0033254D" w:rsidRPr="007407DF">
        <w:rPr>
          <w:b/>
          <w:bCs/>
          <w:sz w:val="27"/>
          <w:szCs w:val="27"/>
        </w:rPr>
        <w:t>3</w:t>
      </w:r>
      <w:r w:rsidR="00F665F5">
        <w:rPr>
          <w:b/>
          <w:bCs/>
          <w:sz w:val="27"/>
          <w:szCs w:val="27"/>
        </w:rPr>
        <w:t>6</w:t>
      </w:r>
      <w:r w:rsidR="009129A9">
        <w:rPr>
          <w:b/>
          <w:bCs/>
          <w:sz w:val="27"/>
          <w:szCs w:val="27"/>
        </w:rPr>
        <w:t>7</w:t>
      </w:r>
      <w:r w:rsidR="007C2721" w:rsidRPr="007407DF">
        <w:rPr>
          <w:b/>
          <w:sz w:val="27"/>
          <w:szCs w:val="27"/>
        </w:rPr>
        <w:t> </w:t>
      </w:r>
      <w:r w:rsidR="009129A9">
        <w:rPr>
          <w:b/>
          <w:sz w:val="27"/>
          <w:szCs w:val="27"/>
        </w:rPr>
        <w:t>519</w:t>
      </w:r>
      <w:r w:rsidR="00FF74BA" w:rsidRPr="007407DF">
        <w:rPr>
          <w:b/>
          <w:sz w:val="27"/>
          <w:szCs w:val="27"/>
        </w:rPr>
        <w:t xml:space="preserve"> </w:t>
      </w:r>
      <w:r w:rsidR="007C2721" w:rsidRPr="007407DF">
        <w:rPr>
          <w:b/>
          <w:i/>
          <w:sz w:val="27"/>
          <w:szCs w:val="27"/>
        </w:rPr>
        <w:t xml:space="preserve">euro </w:t>
      </w:r>
      <w:r w:rsidR="00FF74BA" w:rsidRPr="007407DF">
        <w:rPr>
          <w:b/>
          <w:sz w:val="27"/>
          <w:szCs w:val="27"/>
        </w:rPr>
        <w:t xml:space="preserve">apmērā </w:t>
      </w:r>
      <w:r w:rsidR="00FF74BA" w:rsidRPr="007407DF">
        <w:rPr>
          <w:sz w:val="27"/>
          <w:szCs w:val="27"/>
        </w:rPr>
        <w:t>izpildīs</w:t>
      </w:r>
      <w:r w:rsidR="00551D22" w:rsidRPr="007407DF">
        <w:rPr>
          <w:sz w:val="27"/>
          <w:szCs w:val="27"/>
        </w:rPr>
        <w:t xml:space="preserve">, attiecīgi samazinot Latvijas Republikai dividendēs izmaksājamo </w:t>
      </w:r>
      <w:r w:rsidR="00A30FF1" w:rsidRPr="007407DF">
        <w:rPr>
          <w:sz w:val="27"/>
          <w:szCs w:val="27"/>
        </w:rPr>
        <w:t xml:space="preserve">SIA </w:t>
      </w:r>
      <w:r w:rsidR="00F665F5">
        <w:rPr>
          <w:sz w:val="27"/>
          <w:szCs w:val="27"/>
        </w:rPr>
        <w:t>“</w:t>
      </w:r>
      <w:r w:rsidR="00435DC7" w:rsidRPr="007407DF">
        <w:rPr>
          <w:sz w:val="27"/>
          <w:szCs w:val="27"/>
        </w:rPr>
        <w:t>Tet</w:t>
      </w:r>
      <w:r w:rsidR="00551D22" w:rsidRPr="007407DF">
        <w:rPr>
          <w:sz w:val="27"/>
          <w:szCs w:val="27"/>
        </w:rPr>
        <w:t>” peļņas daļu</w:t>
      </w:r>
      <w:r w:rsidR="007C2721" w:rsidRPr="007407DF">
        <w:rPr>
          <w:sz w:val="27"/>
          <w:szCs w:val="27"/>
        </w:rPr>
        <w:t xml:space="preserve"> par 20</w:t>
      </w:r>
      <w:r w:rsidR="00F665F5">
        <w:rPr>
          <w:sz w:val="27"/>
          <w:szCs w:val="27"/>
        </w:rPr>
        <w:t>2</w:t>
      </w:r>
      <w:r w:rsidR="009129A9">
        <w:rPr>
          <w:sz w:val="27"/>
          <w:szCs w:val="27"/>
        </w:rPr>
        <w:t>1</w:t>
      </w:r>
      <w:r w:rsidR="00B25CAC" w:rsidRPr="007407DF">
        <w:rPr>
          <w:sz w:val="27"/>
          <w:szCs w:val="27"/>
        </w:rPr>
        <w:t>.gadu.</w:t>
      </w:r>
    </w:p>
    <w:p w14:paraId="333CDC2D" w14:textId="21C80300" w:rsidR="003C71DB" w:rsidRPr="001756CE" w:rsidRDefault="00787C3D" w:rsidP="003C71DB">
      <w:pPr>
        <w:spacing w:before="120"/>
        <w:ind w:firstLine="720"/>
        <w:jc w:val="both"/>
        <w:rPr>
          <w:sz w:val="27"/>
          <w:szCs w:val="27"/>
        </w:rPr>
      </w:pPr>
      <w:r w:rsidRPr="007407DF">
        <w:rPr>
          <w:sz w:val="27"/>
          <w:szCs w:val="27"/>
        </w:rPr>
        <w:t>Iepriekš min</w:t>
      </w:r>
      <w:r w:rsidR="00021988" w:rsidRPr="007407DF">
        <w:rPr>
          <w:sz w:val="27"/>
          <w:szCs w:val="27"/>
        </w:rPr>
        <w:t xml:space="preserve">ētā kārtība, kādā valsts kompensē </w:t>
      </w:r>
      <w:r w:rsidR="00C46ECB" w:rsidRPr="007407DF">
        <w:rPr>
          <w:sz w:val="27"/>
          <w:szCs w:val="27"/>
        </w:rPr>
        <w:t xml:space="preserve">elektronisko sakaru komersantam </w:t>
      </w:r>
      <w:r w:rsidR="00021988" w:rsidRPr="007407DF">
        <w:rPr>
          <w:sz w:val="27"/>
          <w:szCs w:val="27"/>
        </w:rPr>
        <w:t>universālā pakalpojuma saistību tīrās izmaksas par 20</w:t>
      </w:r>
      <w:r w:rsidR="00E25409">
        <w:rPr>
          <w:sz w:val="27"/>
          <w:szCs w:val="27"/>
        </w:rPr>
        <w:t>20</w:t>
      </w:r>
      <w:r w:rsidR="00021988" w:rsidRPr="007407DF">
        <w:rPr>
          <w:sz w:val="27"/>
          <w:szCs w:val="27"/>
        </w:rPr>
        <w:t>.gadu</w:t>
      </w:r>
      <w:r w:rsidRPr="007407DF">
        <w:rPr>
          <w:sz w:val="27"/>
          <w:szCs w:val="27"/>
        </w:rPr>
        <w:t xml:space="preserve">, </w:t>
      </w:r>
      <w:r w:rsidR="00021988" w:rsidRPr="007407DF">
        <w:rPr>
          <w:sz w:val="27"/>
          <w:szCs w:val="27"/>
        </w:rPr>
        <w:t xml:space="preserve">ir īstenojama, </w:t>
      </w:r>
      <w:r w:rsidRPr="007407DF">
        <w:rPr>
          <w:sz w:val="27"/>
          <w:szCs w:val="27"/>
        </w:rPr>
        <w:t xml:space="preserve">ja </w:t>
      </w:r>
      <w:r w:rsidR="00C2616D" w:rsidRPr="007407DF">
        <w:rPr>
          <w:sz w:val="27"/>
          <w:szCs w:val="27"/>
        </w:rPr>
        <w:t>SIA</w:t>
      </w:r>
      <w:r w:rsidR="00797379" w:rsidRPr="007407DF">
        <w:rPr>
          <w:sz w:val="27"/>
          <w:szCs w:val="27"/>
        </w:rPr>
        <w:t xml:space="preserve"> </w:t>
      </w:r>
      <w:r w:rsidR="00C82E19">
        <w:rPr>
          <w:sz w:val="27"/>
          <w:szCs w:val="27"/>
        </w:rPr>
        <w:t>“</w:t>
      </w:r>
      <w:r w:rsidR="005E3EF9" w:rsidRPr="007407DF">
        <w:rPr>
          <w:sz w:val="27"/>
          <w:szCs w:val="27"/>
        </w:rPr>
        <w:t>Tet</w:t>
      </w:r>
      <w:r w:rsidR="00797379" w:rsidRPr="007407DF">
        <w:rPr>
          <w:sz w:val="27"/>
          <w:szCs w:val="27"/>
        </w:rPr>
        <w:t>”</w:t>
      </w:r>
      <w:r w:rsidR="00C46ECB" w:rsidRPr="007407DF">
        <w:rPr>
          <w:sz w:val="27"/>
          <w:szCs w:val="27"/>
        </w:rPr>
        <w:t xml:space="preserve"> </w:t>
      </w:r>
      <w:r w:rsidRPr="007407DF">
        <w:rPr>
          <w:sz w:val="27"/>
          <w:szCs w:val="27"/>
        </w:rPr>
        <w:t xml:space="preserve">dalībnieku sapulcē tiks pieņemts </w:t>
      </w:r>
      <w:r w:rsidR="00021988" w:rsidRPr="007407DF">
        <w:rPr>
          <w:sz w:val="27"/>
          <w:szCs w:val="27"/>
        </w:rPr>
        <w:t xml:space="preserve">pozitīvs </w:t>
      </w:r>
      <w:r w:rsidRPr="00D97257">
        <w:rPr>
          <w:sz w:val="27"/>
          <w:szCs w:val="27"/>
        </w:rPr>
        <w:t>lēmums par dividenžu izmaksu</w:t>
      </w:r>
      <w:r w:rsidR="00BF46A6" w:rsidRPr="00D97257">
        <w:rPr>
          <w:sz w:val="27"/>
          <w:szCs w:val="27"/>
        </w:rPr>
        <w:t xml:space="preserve"> par 20</w:t>
      </w:r>
      <w:r w:rsidR="00C82E19" w:rsidRPr="00D97257">
        <w:rPr>
          <w:sz w:val="27"/>
          <w:szCs w:val="27"/>
        </w:rPr>
        <w:t>2</w:t>
      </w:r>
      <w:r w:rsidR="00E25409" w:rsidRPr="00D97257">
        <w:rPr>
          <w:sz w:val="27"/>
          <w:szCs w:val="27"/>
        </w:rPr>
        <w:t>1</w:t>
      </w:r>
      <w:r w:rsidR="00BF46A6" w:rsidRPr="00D97257">
        <w:rPr>
          <w:sz w:val="27"/>
          <w:szCs w:val="27"/>
        </w:rPr>
        <w:t>.gadu</w:t>
      </w:r>
      <w:r w:rsidR="00021988" w:rsidRPr="00D97257">
        <w:rPr>
          <w:sz w:val="27"/>
          <w:szCs w:val="27"/>
        </w:rPr>
        <w:t>.</w:t>
      </w:r>
      <w:r w:rsidR="00704F1C" w:rsidRPr="00D97257">
        <w:rPr>
          <w:sz w:val="27"/>
          <w:szCs w:val="27"/>
        </w:rPr>
        <w:t xml:space="preserve"> </w:t>
      </w:r>
      <w:r w:rsidR="00704F1C" w:rsidRPr="00D97257">
        <w:rPr>
          <w:color w:val="000000"/>
          <w:sz w:val="27"/>
          <w:szCs w:val="27"/>
        </w:rPr>
        <w:t xml:space="preserve">Pretējā gadījumā, proti, </w:t>
      </w:r>
      <w:r w:rsidR="003C71DB" w:rsidRPr="00D97257">
        <w:rPr>
          <w:color w:val="000000"/>
          <w:sz w:val="27"/>
          <w:szCs w:val="27"/>
        </w:rPr>
        <w:t xml:space="preserve">pirmkārt, </w:t>
      </w:r>
      <w:r w:rsidR="00704F1C" w:rsidRPr="00D97257">
        <w:rPr>
          <w:color w:val="000000"/>
          <w:sz w:val="27"/>
          <w:szCs w:val="27"/>
        </w:rPr>
        <w:t xml:space="preserve">ja </w:t>
      </w:r>
      <w:r w:rsidR="00C2616D" w:rsidRPr="00D97257">
        <w:rPr>
          <w:sz w:val="27"/>
          <w:szCs w:val="27"/>
        </w:rPr>
        <w:t>SIA</w:t>
      </w:r>
      <w:r w:rsidR="00704F1C" w:rsidRPr="00D97257">
        <w:rPr>
          <w:sz w:val="27"/>
          <w:szCs w:val="27"/>
        </w:rPr>
        <w:t xml:space="preserve"> </w:t>
      </w:r>
      <w:r w:rsidR="00C82E19" w:rsidRPr="00D97257">
        <w:rPr>
          <w:sz w:val="27"/>
          <w:szCs w:val="27"/>
        </w:rPr>
        <w:t>“</w:t>
      </w:r>
      <w:r w:rsidR="005E3EF9" w:rsidRPr="00D97257">
        <w:rPr>
          <w:sz w:val="27"/>
          <w:szCs w:val="27"/>
        </w:rPr>
        <w:t>Tet</w:t>
      </w:r>
      <w:r w:rsidR="00704F1C" w:rsidRPr="00D97257">
        <w:rPr>
          <w:sz w:val="27"/>
          <w:szCs w:val="27"/>
        </w:rPr>
        <w:t>” dalībnieku sapulcē netiks pieņemts pozitīvs lēmums par dividenžu izmaksu par 20</w:t>
      </w:r>
      <w:r w:rsidR="00C82E19" w:rsidRPr="00D97257">
        <w:rPr>
          <w:sz w:val="27"/>
          <w:szCs w:val="27"/>
        </w:rPr>
        <w:t>2</w:t>
      </w:r>
      <w:r w:rsidR="00E25409" w:rsidRPr="00D97257">
        <w:rPr>
          <w:sz w:val="27"/>
          <w:szCs w:val="27"/>
        </w:rPr>
        <w:t>1</w:t>
      </w:r>
      <w:r w:rsidR="00704F1C" w:rsidRPr="00D97257">
        <w:rPr>
          <w:sz w:val="27"/>
          <w:szCs w:val="27"/>
        </w:rPr>
        <w:t xml:space="preserve">.gadu vai arī </w:t>
      </w:r>
      <w:r w:rsidR="00704F1C" w:rsidRPr="00D97257">
        <w:rPr>
          <w:color w:val="000000"/>
          <w:sz w:val="27"/>
          <w:szCs w:val="27"/>
        </w:rPr>
        <w:t xml:space="preserve">valstij izmaksājamās dividendes būs mazākas par saistību izpildes summu, tad starpību starp ieturējuma summu un dividenžu apmēru Valsts </w:t>
      </w:r>
      <w:r w:rsidR="001312FC" w:rsidRPr="00D97257">
        <w:rPr>
          <w:color w:val="000000"/>
          <w:sz w:val="27"/>
          <w:szCs w:val="27"/>
        </w:rPr>
        <w:t>segs</w:t>
      </w:r>
      <w:r w:rsidR="00704F1C" w:rsidRPr="00D97257">
        <w:rPr>
          <w:color w:val="000000"/>
          <w:sz w:val="27"/>
          <w:szCs w:val="27"/>
        </w:rPr>
        <w:t xml:space="preserve"> 30 dienu laikā no dalībnieku sapulces</w:t>
      </w:r>
      <w:r w:rsidR="00704F1C" w:rsidRPr="001756CE">
        <w:rPr>
          <w:color w:val="000000"/>
          <w:sz w:val="27"/>
          <w:szCs w:val="27"/>
        </w:rPr>
        <w:t xml:space="preserve"> lēmuma par peļņas izlietošanu dienas.</w:t>
      </w:r>
      <w:r w:rsidR="003C71DB" w:rsidRPr="001756CE">
        <w:rPr>
          <w:color w:val="000000"/>
          <w:sz w:val="27"/>
          <w:szCs w:val="27"/>
        </w:rPr>
        <w:t xml:space="preserve"> Otrkārt, ja pretēji esošai kārtībai </w:t>
      </w:r>
      <w:r w:rsidR="003C71DB" w:rsidRPr="001756CE">
        <w:rPr>
          <w:sz w:val="27"/>
          <w:szCs w:val="27"/>
        </w:rPr>
        <w:t xml:space="preserve">tīro izmaksu kompensēšana </w:t>
      </w:r>
      <w:r w:rsidR="003C71DB" w:rsidRPr="001756CE">
        <w:rPr>
          <w:color w:val="000000"/>
          <w:sz w:val="27"/>
          <w:szCs w:val="27"/>
        </w:rPr>
        <w:t xml:space="preserve">tiks veikta citā veidā, </w:t>
      </w:r>
      <w:r w:rsidR="003C71DB" w:rsidRPr="001756CE">
        <w:rPr>
          <w:sz w:val="27"/>
          <w:szCs w:val="27"/>
        </w:rPr>
        <w:t xml:space="preserve">SIA “Tet” jebkurā gadījumā būs tiesības prasīt izmaksas kompensēt. Šādas prasības SIA “Tet” rodas sākot no dienas, kad ir pieņemts Regulatora lēmums par SIA “Tet” aprēķināto universālā pakalpojuma saistību tīro izmaksu apstiprināšanu un ir pagājušas 30 dienas apmaksas veikšanai. </w:t>
      </w:r>
      <w:r w:rsidR="00E62A5E" w:rsidRPr="001756CE">
        <w:rPr>
          <w:sz w:val="27"/>
          <w:szCs w:val="27"/>
        </w:rPr>
        <w:t>Attiecīgi, ja nav īstenojama kārtība, kurā SIA “Tet” dalībnieku sapulcē pieņem pozitīvu lēmumu par dividenžu izmaksu par 2021.gadu, papildus 2020.gada universālā pakalpojuma saistību tīrajām izmaksām, valstij būs jāmaksā nokavējuma procenti likumisko 6 procentu apmērā gadā no dienas, kad SIA “Tet” bija tiesīgs saņemt zaudējumu kompensāciju līdz brīdim, kad apmaksa tiks veikta, radot papildu izmaksas valsij, no kurām iespējams izvairīties, piemērojot esoš</w:t>
      </w:r>
      <w:r w:rsidR="006B6AC7">
        <w:rPr>
          <w:sz w:val="27"/>
          <w:szCs w:val="27"/>
        </w:rPr>
        <w:t>o</w:t>
      </w:r>
      <w:r w:rsidR="00E62A5E" w:rsidRPr="001756CE">
        <w:rPr>
          <w:sz w:val="27"/>
          <w:szCs w:val="27"/>
        </w:rPr>
        <w:t xml:space="preserve"> kārtību.</w:t>
      </w:r>
    </w:p>
    <w:p w14:paraId="43B502E2" w14:textId="77777777" w:rsidR="001312FC" w:rsidRPr="007407DF" w:rsidRDefault="001312FC" w:rsidP="00E7524F">
      <w:pPr>
        <w:rPr>
          <w:sz w:val="27"/>
          <w:szCs w:val="27"/>
        </w:rPr>
      </w:pPr>
    </w:p>
    <w:p w14:paraId="123C5FF6" w14:textId="77777777" w:rsidR="001312FC" w:rsidRPr="007407DF" w:rsidRDefault="001312FC" w:rsidP="00E7524F">
      <w:pPr>
        <w:rPr>
          <w:sz w:val="27"/>
          <w:szCs w:val="27"/>
        </w:rPr>
      </w:pPr>
    </w:p>
    <w:p w14:paraId="313A1B43" w14:textId="77777777" w:rsidR="008A4508" w:rsidRPr="007407DF" w:rsidRDefault="005117F5" w:rsidP="007407DF">
      <w:pPr>
        <w:ind w:right="-58"/>
        <w:rPr>
          <w:sz w:val="27"/>
          <w:szCs w:val="27"/>
        </w:rPr>
      </w:pPr>
      <w:r w:rsidRPr="007407DF">
        <w:rPr>
          <w:sz w:val="27"/>
          <w:szCs w:val="27"/>
        </w:rPr>
        <w:t>E</w:t>
      </w:r>
      <w:r w:rsidR="008A4508" w:rsidRPr="007407DF">
        <w:rPr>
          <w:sz w:val="27"/>
          <w:szCs w:val="27"/>
        </w:rPr>
        <w:t>konomikas ministr</w:t>
      </w:r>
      <w:r w:rsidR="00394B98" w:rsidRPr="007407DF">
        <w:rPr>
          <w:sz w:val="27"/>
          <w:szCs w:val="27"/>
        </w:rPr>
        <w:t>s</w:t>
      </w:r>
      <w:r w:rsidR="00C82E19">
        <w:rPr>
          <w:sz w:val="27"/>
          <w:szCs w:val="27"/>
        </w:rPr>
        <w:t xml:space="preserve"> </w:t>
      </w:r>
      <w:r w:rsidR="00C82E19">
        <w:rPr>
          <w:sz w:val="27"/>
          <w:szCs w:val="27"/>
        </w:rPr>
        <w:tab/>
      </w:r>
      <w:r w:rsidR="00C82E19">
        <w:rPr>
          <w:sz w:val="27"/>
          <w:szCs w:val="27"/>
        </w:rPr>
        <w:tab/>
      </w:r>
      <w:r w:rsidR="00C82E19">
        <w:rPr>
          <w:sz w:val="27"/>
          <w:szCs w:val="27"/>
        </w:rPr>
        <w:tab/>
      </w:r>
      <w:r w:rsidR="00C82E19">
        <w:rPr>
          <w:sz w:val="27"/>
          <w:szCs w:val="27"/>
        </w:rPr>
        <w:tab/>
      </w:r>
      <w:r w:rsidR="00C82E19">
        <w:rPr>
          <w:sz w:val="27"/>
          <w:szCs w:val="27"/>
        </w:rPr>
        <w:tab/>
      </w:r>
      <w:r w:rsidR="00C82E19">
        <w:rPr>
          <w:sz w:val="27"/>
          <w:szCs w:val="27"/>
        </w:rPr>
        <w:tab/>
        <w:t>J. Vitenbergs</w:t>
      </w:r>
    </w:p>
    <w:p w14:paraId="1D34AA57" w14:textId="77777777" w:rsidR="00E7524F" w:rsidRDefault="00E7524F" w:rsidP="00E7524F">
      <w:pPr>
        <w:rPr>
          <w:bCs/>
          <w:sz w:val="27"/>
          <w:szCs w:val="27"/>
        </w:rPr>
      </w:pPr>
    </w:p>
    <w:p w14:paraId="08778CA6" w14:textId="77777777" w:rsidR="007407DF" w:rsidRPr="007407DF" w:rsidRDefault="007407DF" w:rsidP="00E7524F">
      <w:pPr>
        <w:rPr>
          <w:bCs/>
          <w:sz w:val="27"/>
          <w:szCs w:val="27"/>
        </w:rPr>
      </w:pPr>
    </w:p>
    <w:p w14:paraId="6D5B62E4" w14:textId="77777777" w:rsidR="000A3EB8" w:rsidRPr="007407DF" w:rsidRDefault="00484EB6" w:rsidP="00E7524F">
      <w:pPr>
        <w:rPr>
          <w:bCs/>
          <w:sz w:val="27"/>
          <w:szCs w:val="27"/>
        </w:rPr>
      </w:pPr>
      <w:r w:rsidRPr="007407DF">
        <w:rPr>
          <w:bCs/>
          <w:sz w:val="27"/>
          <w:szCs w:val="27"/>
        </w:rPr>
        <w:t xml:space="preserve">Vīza: </w:t>
      </w:r>
    </w:p>
    <w:p w14:paraId="65EDB392" w14:textId="77777777" w:rsidR="007407DF" w:rsidRPr="00EE7EA2" w:rsidRDefault="00484EB6" w:rsidP="00EE7EA2">
      <w:pPr>
        <w:rPr>
          <w:bCs/>
          <w:sz w:val="27"/>
          <w:szCs w:val="27"/>
        </w:rPr>
      </w:pPr>
      <w:r w:rsidRPr="007407DF">
        <w:rPr>
          <w:bCs/>
          <w:sz w:val="27"/>
          <w:szCs w:val="27"/>
        </w:rPr>
        <w:t>Valsts sekretār</w:t>
      </w:r>
      <w:r w:rsidR="00C82E19">
        <w:rPr>
          <w:bCs/>
          <w:sz w:val="27"/>
          <w:szCs w:val="27"/>
        </w:rPr>
        <w:t xml:space="preserve">s </w:t>
      </w:r>
      <w:r w:rsidR="00C82E19">
        <w:rPr>
          <w:bCs/>
          <w:sz w:val="27"/>
          <w:szCs w:val="27"/>
        </w:rPr>
        <w:tab/>
      </w:r>
      <w:r w:rsidR="00C82E19">
        <w:rPr>
          <w:bCs/>
          <w:sz w:val="27"/>
          <w:szCs w:val="27"/>
        </w:rPr>
        <w:tab/>
      </w:r>
      <w:r w:rsidR="00C82E19">
        <w:rPr>
          <w:bCs/>
          <w:sz w:val="27"/>
          <w:szCs w:val="27"/>
        </w:rPr>
        <w:tab/>
      </w:r>
      <w:r w:rsidR="00C82E19">
        <w:rPr>
          <w:bCs/>
          <w:sz w:val="27"/>
          <w:szCs w:val="27"/>
        </w:rPr>
        <w:tab/>
      </w:r>
      <w:r w:rsidR="00C82E19">
        <w:rPr>
          <w:bCs/>
          <w:sz w:val="27"/>
          <w:szCs w:val="27"/>
        </w:rPr>
        <w:tab/>
      </w:r>
      <w:r w:rsidR="00C82E19">
        <w:rPr>
          <w:bCs/>
          <w:sz w:val="27"/>
          <w:szCs w:val="27"/>
        </w:rPr>
        <w:tab/>
      </w:r>
      <w:r w:rsidR="00C82E19">
        <w:rPr>
          <w:bCs/>
          <w:sz w:val="27"/>
          <w:szCs w:val="27"/>
        </w:rPr>
        <w:tab/>
      </w:r>
      <w:r w:rsidR="009E033B">
        <w:rPr>
          <w:bCs/>
          <w:sz w:val="27"/>
          <w:szCs w:val="27"/>
        </w:rPr>
        <w:t>E</w:t>
      </w:r>
      <w:r w:rsidR="0033254D" w:rsidRPr="007407DF">
        <w:rPr>
          <w:bCs/>
          <w:sz w:val="27"/>
          <w:szCs w:val="27"/>
        </w:rPr>
        <w:t>.</w:t>
      </w:r>
      <w:r w:rsidR="005117F5" w:rsidRPr="007407DF">
        <w:rPr>
          <w:bCs/>
          <w:sz w:val="27"/>
          <w:szCs w:val="27"/>
        </w:rPr>
        <w:t> </w:t>
      </w:r>
      <w:r w:rsidR="009E033B">
        <w:rPr>
          <w:bCs/>
          <w:sz w:val="27"/>
          <w:szCs w:val="27"/>
        </w:rPr>
        <w:t>Valantis</w:t>
      </w:r>
    </w:p>
    <w:p w14:paraId="6B0ED3DC" w14:textId="77777777" w:rsidR="007407DF" w:rsidRPr="00DF6BF1" w:rsidRDefault="007407DF" w:rsidP="006B1F53">
      <w:pPr>
        <w:pStyle w:val="BodyTextIndent"/>
        <w:suppressAutoHyphens/>
        <w:spacing w:before="200"/>
        <w:ind w:left="0" w:right="-340"/>
        <w:jc w:val="both"/>
        <w:rPr>
          <w:sz w:val="26"/>
          <w:szCs w:val="26"/>
          <w:lang w:val="lv-LV"/>
        </w:rPr>
      </w:pPr>
    </w:p>
    <w:p w14:paraId="32E28760" w14:textId="77777777" w:rsidR="003B19A5" w:rsidRPr="003B19A5" w:rsidRDefault="00837A8E" w:rsidP="003B19A5">
      <w:pPr>
        <w:rPr>
          <w:sz w:val="20"/>
          <w:szCs w:val="20"/>
        </w:rPr>
      </w:pPr>
      <w:r>
        <w:rPr>
          <w:sz w:val="20"/>
          <w:szCs w:val="20"/>
        </w:rPr>
        <w:t>E.Kudure</w:t>
      </w:r>
      <w:r w:rsidR="00C82E19">
        <w:rPr>
          <w:sz w:val="20"/>
          <w:szCs w:val="20"/>
        </w:rPr>
        <w:t>-Ševčuka</w:t>
      </w:r>
    </w:p>
    <w:p w14:paraId="37702972" w14:textId="77777777" w:rsidR="00C51483" w:rsidRPr="00072BD1" w:rsidRDefault="003B19A5" w:rsidP="00072BD1">
      <w:pPr>
        <w:rPr>
          <w:sz w:val="20"/>
          <w:szCs w:val="20"/>
        </w:rPr>
      </w:pPr>
      <w:r w:rsidRPr="003B19A5">
        <w:rPr>
          <w:sz w:val="20"/>
          <w:szCs w:val="20"/>
        </w:rPr>
        <w:t>67013</w:t>
      </w:r>
      <w:r w:rsidR="00837A8E">
        <w:rPr>
          <w:sz w:val="20"/>
          <w:szCs w:val="20"/>
        </w:rPr>
        <w:t xml:space="preserve">179, </w:t>
      </w:r>
      <w:hyperlink r:id="rId9" w:history="1">
        <w:r w:rsidR="00C82E19" w:rsidRPr="009E4A44">
          <w:rPr>
            <w:rStyle w:val="Hyperlink"/>
            <w:sz w:val="20"/>
            <w:szCs w:val="20"/>
          </w:rPr>
          <w:t>Evita.Kudure-Sevcuka@em.gov.lv</w:t>
        </w:r>
      </w:hyperlink>
      <w:bookmarkStart w:id="0" w:name="_1383384029"/>
      <w:bookmarkEnd w:id="0"/>
      <w:r w:rsidR="009F3E9D">
        <w:rPr>
          <w:sz w:val="20"/>
          <w:szCs w:val="20"/>
        </w:rPr>
        <w:t xml:space="preserve"> </w:t>
      </w:r>
    </w:p>
    <w:sectPr w:rsidR="00C51483" w:rsidRPr="00072BD1" w:rsidSect="008666E2">
      <w:headerReference w:type="default" r:id="rId10"/>
      <w:footerReference w:type="default" r:id="rId11"/>
      <w:headerReference w:type="first" r:id="rId12"/>
      <w:footerReference w:type="first" r:id="rId13"/>
      <w:pgSz w:w="11906" w:h="16838"/>
      <w:pgMar w:top="1440" w:right="1800" w:bottom="1440" w:left="1800"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8F92739" w14:textId="77777777" w:rsidR="004808C2" w:rsidRDefault="004808C2">
      <w:r>
        <w:separator/>
      </w:r>
    </w:p>
  </w:endnote>
  <w:endnote w:type="continuationSeparator" w:id="0">
    <w:p w14:paraId="420AA37C" w14:textId="77777777" w:rsidR="004808C2" w:rsidRDefault="004808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BA"/>
    <w:family w:val="swiss"/>
    <w:pitch w:val="variable"/>
    <w:sig w:usb0="E0002EFF" w:usb1="C000785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Roman">
    <w:altName w:val="Times New Roman"/>
    <w:panose1 w:val="00000000000000000000"/>
    <w:charset w:val="00"/>
    <w:family w:val="auto"/>
    <w:notTrueType/>
    <w:pitch w:val="default"/>
    <w:sig w:usb0="00000003" w:usb1="00000000" w:usb2="00000000" w:usb3="00000000" w:csb0="00000001"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0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64B01D9" w14:textId="349589E7" w:rsidR="00C22B4F" w:rsidRPr="00DB12D5" w:rsidRDefault="00373859" w:rsidP="00645056">
    <w:pPr>
      <w:pStyle w:val="Footer"/>
      <w:jc w:val="both"/>
      <w:rPr>
        <w:sz w:val="20"/>
        <w:szCs w:val="20"/>
      </w:rPr>
    </w:pPr>
    <w:r w:rsidRPr="00DB12D5">
      <w:rPr>
        <w:sz w:val="20"/>
        <w:szCs w:val="20"/>
      </w:rPr>
      <w:t>EMZino_</w:t>
    </w:r>
    <w:r w:rsidR="00411D1B">
      <w:rPr>
        <w:sz w:val="20"/>
        <w:szCs w:val="20"/>
      </w:rPr>
      <w:t>01</w:t>
    </w:r>
    <w:r w:rsidR="004A4BC7">
      <w:rPr>
        <w:sz w:val="20"/>
        <w:szCs w:val="20"/>
      </w:rPr>
      <w:t>0</w:t>
    </w:r>
    <w:r w:rsidR="00411D1B">
      <w:rPr>
        <w:sz w:val="20"/>
        <w:szCs w:val="20"/>
      </w:rPr>
      <w:t>3</w:t>
    </w:r>
    <w:r w:rsidR="002A1C00">
      <w:rPr>
        <w:sz w:val="20"/>
        <w:szCs w:val="20"/>
      </w:rPr>
      <w:t>2</w:t>
    </w:r>
    <w:r w:rsidR="004A4BC7">
      <w:rPr>
        <w:sz w:val="20"/>
        <w:szCs w:val="20"/>
      </w:rPr>
      <w:t>2</w:t>
    </w:r>
    <w:r w:rsidRPr="00DB12D5">
      <w:rPr>
        <w:sz w:val="20"/>
        <w:szCs w:val="20"/>
      </w:rPr>
      <w:t>_</w:t>
    </w:r>
    <w:r w:rsidR="00DC7213">
      <w:rPr>
        <w:sz w:val="20"/>
        <w:szCs w:val="20"/>
      </w:rPr>
      <w:t>UP_</w:t>
    </w:r>
    <w:r w:rsidR="00712ECB">
      <w:rPr>
        <w:sz w:val="20"/>
        <w:szCs w:val="20"/>
      </w:rPr>
      <w:t>Tet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A15AA75" w14:textId="4FA1784C" w:rsidR="00C22B4F" w:rsidRPr="004752A1" w:rsidRDefault="00C22B4F" w:rsidP="004752A1">
    <w:pPr>
      <w:pStyle w:val="Footer"/>
      <w:jc w:val="both"/>
      <w:rPr>
        <w:sz w:val="20"/>
        <w:szCs w:val="20"/>
      </w:rPr>
    </w:pPr>
    <w:r w:rsidRPr="00DB12D5">
      <w:rPr>
        <w:sz w:val="20"/>
        <w:szCs w:val="20"/>
      </w:rPr>
      <w:t>EMZino_</w:t>
    </w:r>
    <w:r w:rsidR="00832830">
      <w:rPr>
        <w:sz w:val="20"/>
        <w:szCs w:val="20"/>
      </w:rPr>
      <w:t>01</w:t>
    </w:r>
    <w:r w:rsidR="004A4BC7">
      <w:rPr>
        <w:sz w:val="20"/>
        <w:szCs w:val="20"/>
      </w:rPr>
      <w:t>0</w:t>
    </w:r>
    <w:r w:rsidR="00832830">
      <w:rPr>
        <w:sz w:val="20"/>
        <w:szCs w:val="20"/>
      </w:rPr>
      <w:t>3</w:t>
    </w:r>
    <w:r w:rsidR="002A1C00">
      <w:rPr>
        <w:sz w:val="20"/>
        <w:szCs w:val="20"/>
      </w:rPr>
      <w:t>2</w:t>
    </w:r>
    <w:r w:rsidR="004A4BC7">
      <w:rPr>
        <w:sz w:val="20"/>
        <w:szCs w:val="20"/>
      </w:rPr>
      <w:t>2</w:t>
    </w:r>
    <w:r w:rsidRPr="00DB12D5">
      <w:rPr>
        <w:sz w:val="20"/>
        <w:szCs w:val="20"/>
      </w:rPr>
      <w:t>_</w:t>
    </w:r>
    <w:r w:rsidR="00DC7213">
      <w:rPr>
        <w:sz w:val="20"/>
        <w:szCs w:val="20"/>
      </w:rPr>
      <w:t>UP_</w:t>
    </w:r>
    <w:r w:rsidR="00712ECB">
      <w:rPr>
        <w:sz w:val="20"/>
        <w:szCs w:val="20"/>
      </w:rPr>
      <w:t>Tet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4F2BD66" w14:textId="77777777" w:rsidR="004808C2" w:rsidRDefault="004808C2">
      <w:r>
        <w:separator/>
      </w:r>
    </w:p>
  </w:footnote>
  <w:footnote w:type="continuationSeparator" w:id="0">
    <w:p w14:paraId="1ECC0842" w14:textId="77777777" w:rsidR="004808C2" w:rsidRDefault="004808C2">
      <w:r>
        <w:continuationSeparator/>
      </w:r>
    </w:p>
  </w:footnote>
  <w:footnote w:id="1">
    <w:p w14:paraId="639637D8" w14:textId="77777777" w:rsidR="004C5644" w:rsidRDefault="004C5644">
      <w:pPr>
        <w:pStyle w:val="FootnoteText"/>
      </w:pPr>
      <w:r>
        <w:rPr>
          <w:rStyle w:val="FootnoteReference"/>
        </w:rPr>
        <w:footnoteRef/>
      </w:r>
      <w:r>
        <w:t xml:space="preserve"> Regulators – Sabiedrisko pakalpojumu regulēšanas komisija</w:t>
      </w:r>
    </w:p>
  </w:footnote>
  <w:footnote w:id="2">
    <w:p w14:paraId="14E93CAD" w14:textId="77777777" w:rsidR="00A769B1" w:rsidRDefault="00A769B1" w:rsidP="00A769B1">
      <w:pPr>
        <w:pStyle w:val="FootnoteText"/>
        <w:jc w:val="both"/>
      </w:pPr>
      <w:r>
        <w:rPr>
          <w:rStyle w:val="FootnoteReference"/>
        </w:rPr>
        <w:footnoteRef/>
      </w:r>
      <w:r>
        <w:t xml:space="preserve"> Regulators</w:t>
      </w:r>
      <w:r w:rsidR="00D43B34">
        <w:t>,</w:t>
      </w:r>
      <w:r>
        <w:t xml:space="preserve"> </w:t>
      </w:r>
      <w:r w:rsidRPr="0098176C">
        <w:t>atbilstoši Elektronisko sakaru likuma</w:t>
      </w:r>
      <w:r>
        <w:t xml:space="preserve"> </w:t>
      </w:r>
      <w:r w:rsidRPr="0098176C">
        <w:t xml:space="preserve">62.panta otrajā daļā noteiktajai </w:t>
      </w:r>
      <w:r w:rsidR="00D43B34">
        <w:t>kārtībai, oficiālajā izdevumā “Latvijas Vēstnesis” ir publicējis tā</w:t>
      </w:r>
      <w:r w:rsidRPr="0098176C">
        <w:t xml:space="preserve"> 04.12.2013. pieņemto</w:t>
      </w:r>
      <w:r w:rsidRPr="0098176C">
        <w:rPr>
          <w:bCs/>
        </w:rPr>
        <w:t xml:space="preserve"> lēmumu Nr.1/32 “</w:t>
      </w:r>
      <w:r w:rsidRPr="0098176C">
        <w:rPr>
          <w:i/>
        </w:rPr>
        <w:t>Noteikumi par universālo pakalpojumu elektronisko sakaru nozarē</w:t>
      </w:r>
      <w:r w:rsidRPr="0098176C">
        <w:rPr>
          <w:bCs/>
        </w:rPr>
        <w:t>”</w:t>
      </w:r>
      <w:r>
        <w:rPr>
          <w:bCs/>
        </w:rPr>
        <w:t xml:space="preserve">, kurā ir </w:t>
      </w:r>
      <w:r>
        <w:t xml:space="preserve">noteiktas universālajā pakalpojumā ietilpstošo pakalpojumu saraksts, universālā pakalpojuma apjoms, ģeogrāfiskā teritorija un galalietotāju loks un universālā pakalpojuma saistības, kuras </w:t>
      </w:r>
      <w:r w:rsidR="00A30FF1">
        <w:t>Regulators</w:t>
      </w:r>
      <w:r>
        <w:t xml:space="preserve"> nosaka elektronisko sakaru komersantam.</w:t>
      </w:r>
    </w:p>
  </w:footnote>
  <w:footnote w:id="3">
    <w:p w14:paraId="52C97F34" w14:textId="77777777" w:rsidR="00A769B1" w:rsidRDefault="00A769B1" w:rsidP="00A769B1">
      <w:pPr>
        <w:pStyle w:val="FootnoteText"/>
        <w:jc w:val="both"/>
      </w:pPr>
      <w:r>
        <w:rPr>
          <w:rStyle w:val="FootnoteReference"/>
        </w:rPr>
        <w:footnoteRef/>
      </w:r>
      <w:r>
        <w:t xml:space="preserve"> Pienākums SIA “</w:t>
      </w:r>
      <w:r w:rsidR="00462372">
        <w:t>Tet</w:t>
      </w:r>
      <w:r>
        <w:t xml:space="preserve">” </w:t>
      </w:r>
      <w:r w:rsidR="003711C6">
        <w:t xml:space="preserve">(iepriekšējais nosaukums  - SIA “Lattelecom”) </w:t>
      </w:r>
      <w:r>
        <w:t>sniegt u</w:t>
      </w:r>
      <w:r>
        <w:rPr>
          <w:bCs/>
        </w:rPr>
        <w:t xml:space="preserve">niversālo pakalpojumu elektronisko sakaru nozarē ir noteikts saskaņā ar </w:t>
      </w:r>
      <w:r w:rsidR="00D979AD">
        <w:rPr>
          <w:szCs w:val="24"/>
        </w:rPr>
        <w:t xml:space="preserve">vairākiem Regulatora </w:t>
      </w:r>
      <w:r w:rsidR="00D979AD" w:rsidRPr="00F27FE0">
        <w:t xml:space="preserve">lēmumiem </w:t>
      </w:r>
      <w:r w:rsidR="00D979AD">
        <w:t xml:space="preserve">- </w:t>
      </w:r>
      <w:r w:rsidR="00D979AD" w:rsidRPr="00F27FE0">
        <w:rPr>
          <w:color w:val="000000"/>
        </w:rPr>
        <w:t>2006.gada 27.decembra lēmumu Nr.316 “Par sabiedrības ar ierobežotu atbildību “Lattelecom” universālā pakalpojuma sniegšanu 2007.gadā”, 2007.gada 24.janvāra lēmumu Nr.12 “Par universālā pakalpojuma saistībām”, 2007.gada 6.jūnija lēmumu Nr.163 “Par sabiedrības ar ierobežotu atbildību “Lattelecom” universālā pakalpojuma sniegšanu 2007.gadā”, 2007.gada 21.decembra lēmumu Nr.616 “Par universālā pakalpojuma saistībām”, 2008.gada 10.septembra lēmumu Nr.285 “Par universālā pakalpojuma saistībām”, 2009.gada 7.decembra lēmumu Nr.427 “Par unive</w:t>
      </w:r>
      <w:r w:rsidR="00E511A7">
        <w:rPr>
          <w:color w:val="000000"/>
        </w:rPr>
        <w:t xml:space="preserve">rsālā pakalpojuma saistībām”, </w:t>
      </w:r>
      <w:r w:rsidR="00D979AD" w:rsidRPr="00F27FE0">
        <w:rPr>
          <w:color w:val="000000"/>
        </w:rPr>
        <w:t>2013.gada 4.decembra lēmumu Nr.232 “Par universālā pakalpojuma saistībām elektronisko sakaru nozarē”</w:t>
      </w:r>
      <w:r w:rsidR="00E511A7">
        <w:rPr>
          <w:color w:val="000000"/>
        </w:rPr>
        <w:t xml:space="preserve"> un </w:t>
      </w:r>
      <w:r w:rsidR="00F53245" w:rsidRPr="00F53245">
        <w:rPr>
          <w:color w:val="000000"/>
        </w:rPr>
        <w:t>2016.gada 17.novembra lēmumu Nr.1/24 “Noteikumi par universālo pakalpojumu elektronisko sakaru nozarē”.</w:t>
      </w:r>
    </w:p>
  </w:footnote>
  <w:footnote w:id="4">
    <w:p w14:paraId="1721DD3D" w14:textId="77777777" w:rsidR="00F27FE0" w:rsidRPr="00F27FE0" w:rsidRDefault="00D226A7" w:rsidP="00D226A7">
      <w:pPr>
        <w:pStyle w:val="FootnoteText"/>
        <w:jc w:val="both"/>
      </w:pPr>
      <w:r>
        <w:rPr>
          <w:rStyle w:val="FootnoteReference"/>
        </w:rPr>
        <w:footnoteRef/>
      </w:r>
      <w:r>
        <w:t xml:space="preserve"> SIA</w:t>
      </w:r>
      <w:r>
        <w:rPr>
          <w:szCs w:val="24"/>
        </w:rPr>
        <w:t xml:space="preserve"> “</w:t>
      </w:r>
      <w:r w:rsidR="00107602">
        <w:rPr>
          <w:szCs w:val="24"/>
        </w:rPr>
        <w:t>Tet</w:t>
      </w:r>
      <w:r>
        <w:rPr>
          <w:szCs w:val="24"/>
        </w:rPr>
        <w:t xml:space="preserve">” elektronisko sakaru nozarē ir noteiktas universālā pakalpojuma saistības ar vairākiem Regulatora </w:t>
      </w:r>
      <w:r w:rsidRPr="00F27FE0">
        <w:t>lēmumiem -</w:t>
      </w:r>
      <w:r w:rsidR="00F27FE0" w:rsidRPr="00F27FE0">
        <w:t xml:space="preserve"> </w:t>
      </w:r>
      <w:r w:rsidR="00F27FE0" w:rsidRPr="00F27FE0">
        <w:rPr>
          <w:color w:val="000000"/>
        </w:rPr>
        <w:t>2006.gada 27.decembra lēmumu Nr.316 “Par sabiedrības ar ierobežotu atbildību “Lattelecom” universālā pakalpojuma sniegšanu 2007.gadā”, 2007.gada 24.janvāra lēmumu Nr.12 “Par universālā pakalpojuma saistībām”, 2007.gada 6.jūnija lēmumu Nr.163 “Par sabiedrības ar ierobežotu atbildību “Lattelecom” universālā pakalpojuma sniegšanu 2007.gadā”, 2007.gada 21.decembra lēmumu Nr.616 “Par universālā pakalpojuma saistībām”, 2008.gada 10.septembra lēmumu Nr.285 “Par universālā pakalpojuma saistībām”, 2009.gada 7.decembra lēmumu Nr.427 “Par unive</w:t>
      </w:r>
      <w:r w:rsidR="00E511A7">
        <w:rPr>
          <w:color w:val="000000"/>
        </w:rPr>
        <w:t xml:space="preserve">rsālā pakalpojuma saistībām”, </w:t>
      </w:r>
      <w:r w:rsidR="00F27FE0" w:rsidRPr="00F27FE0">
        <w:rPr>
          <w:color w:val="000000"/>
        </w:rPr>
        <w:t>2013.gada 4.decembra lēmumu Nr.232 “Par universālā pakalpojuma saistībām elektronisko sakaru nozarē”</w:t>
      </w:r>
      <w:r w:rsidR="00E511A7">
        <w:rPr>
          <w:color w:val="000000"/>
        </w:rPr>
        <w:t xml:space="preserve"> un </w:t>
      </w:r>
      <w:r w:rsidR="00E511A7" w:rsidRPr="00E511A7">
        <w:rPr>
          <w:color w:val="000000"/>
        </w:rPr>
        <w:t>2016.gada 15.decembra lēmumu Nr.168 “Par universālā pakalpojuma saistībām elektronisko sakaru nozarē”</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0C450F6" w14:textId="77777777" w:rsidR="00C22B4F" w:rsidRDefault="00C22B4F">
    <w:pPr>
      <w:pStyle w:val="Header"/>
      <w:jc w:val="center"/>
    </w:pPr>
    <w:r>
      <w:fldChar w:fldCharType="begin"/>
    </w:r>
    <w:r>
      <w:instrText xml:space="preserve"> PAGE   \* MERGEFORMAT </w:instrText>
    </w:r>
    <w:r>
      <w:fldChar w:fldCharType="separate"/>
    </w:r>
    <w:r w:rsidR="001F0569">
      <w:rPr>
        <w:noProof/>
      </w:rPr>
      <w:t>3</w:t>
    </w:r>
    <w:r>
      <w:fldChar w:fldCharType="end"/>
    </w:r>
  </w:p>
  <w:p w14:paraId="3662F36A" w14:textId="77777777" w:rsidR="00C22B4F" w:rsidRDefault="00C22B4F" w:rsidP="008666E2">
    <w:pPr>
      <w:pStyle w:val="Header"/>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83BEFE2" w14:textId="77777777" w:rsidR="008C11A7" w:rsidRPr="008C11A7" w:rsidRDefault="008C11A7" w:rsidP="008C11A7">
    <w:pPr>
      <w:pStyle w:val="Header"/>
      <w:jc w:val="right"/>
      <w:rPr>
        <w:i/>
        <w:sz w:val="28"/>
      </w:rPr>
    </w:pPr>
    <w:r w:rsidRPr="008C11A7">
      <w:rPr>
        <w:i/>
        <w:sz w:val="28"/>
      </w:rPr>
      <w:t>Projekts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18C5543"/>
    <w:multiLevelType w:val="hybridMultilevel"/>
    <w:tmpl w:val="10283086"/>
    <w:lvl w:ilvl="0" w:tplc="12441E84">
      <w:start w:val="1"/>
      <w:numFmt w:val="lowerLetter"/>
      <w:lvlText w:val="(%1)"/>
      <w:lvlJc w:val="left"/>
      <w:pPr>
        <w:ind w:left="1437" w:hanging="360"/>
      </w:pPr>
      <w:rPr>
        <w:rFonts w:ascii="Arial" w:hAnsi="Arial" w:cs="Arial" w:hint="default"/>
        <w:sz w:val="20"/>
        <w:szCs w:val="20"/>
      </w:rPr>
    </w:lvl>
    <w:lvl w:ilvl="1" w:tplc="04260019">
      <w:start w:val="1"/>
      <w:numFmt w:val="lowerLetter"/>
      <w:lvlText w:val="%2."/>
      <w:lvlJc w:val="left"/>
      <w:pPr>
        <w:ind w:left="2157" w:hanging="360"/>
      </w:pPr>
    </w:lvl>
    <w:lvl w:ilvl="2" w:tplc="0426001B">
      <w:start w:val="1"/>
      <w:numFmt w:val="lowerRoman"/>
      <w:lvlText w:val="%3."/>
      <w:lvlJc w:val="right"/>
      <w:pPr>
        <w:ind w:left="2877" w:hanging="180"/>
      </w:pPr>
    </w:lvl>
    <w:lvl w:ilvl="3" w:tplc="0426000F">
      <w:start w:val="1"/>
      <w:numFmt w:val="decimal"/>
      <w:lvlText w:val="%4."/>
      <w:lvlJc w:val="left"/>
      <w:pPr>
        <w:ind w:left="3597" w:hanging="360"/>
      </w:pPr>
    </w:lvl>
    <w:lvl w:ilvl="4" w:tplc="04260019">
      <w:start w:val="1"/>
      <w:numFmt w:val="lowerLetter"/>
      <w:lvlText w:val="%5."/>
      <w:lvlJc w:val="left"/>
      <w:pPr>
        <w:ind w:left="4317" w:hanging="360"/>
      </w:pPr>
    </w:lvl>
    <w:lvl w:ilvl="5" w:tplc="0426001B">
      <w:start w:val="1"/>
      <w:numFmt w:val="lowerRoman"/>
      <w:lvlText w:val="%6."/>
      <w:lvlJc w:val="right"/>
      <w:pPr>
        <w:ind w:left="5037" w:hanging="180"/>
      </w:pPr>
    </w:lvl>
    <w:lvl w:ilvl="6" w:tplc="0426000F">
      <w:start w:val="1"/>
      <w:numFmt w:val="decimal"/>
      <w:lvlText w:val="%7."/>
      <w:lvlJc w:val="left"/>
      <w:pPr>
        <w:ind w:left="5757" w:hanging="360"/>
      </w:pPr>
    </w:lvl>
    <w:lvl w:ilvl="7" w:tplc="04260019">
      <w:start w:val="1"/>
      <w:numFmt w:val="lowerLetter"/>
      <w:lvlText w:val="%8."/>
      <w:lvlJc w:val="left"/>
      <w:pPr>
        <w:ind w:left="6477" w:hanging="360"/>
      </w:pPr>
    </w:lvl>
    <w:lvl w:ilvl="8" w:tplc="0426001B">
      <w:start w:val="1"/>
      <w:numFmt w:val="lowerRoman"/>
      <w:lvlText w:val="%9."/>
      <w:lvlJc w:val="right"/>
      <w:pPr>
        <w:ind w:left="7197" w:hanging="180"/>
      </w:pPr>
    </w:lvl>
  </w:abstractNum>
  <w:abstractNum w:abstractNumId="1" w15:restartNumberingAfterBreak="0">
    <w:nsid w:val="11E0791A"/>
    <w:multiLevelType w:val="multilevel"/>
    <w:tmpl w:val="61F80406"/>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
      <w:lvlJc w:val="left"/>
      <w:pPr>
        <w:tabs>
          <w:tab w:val="num" w:pos="1440"/>
        </w:tabs>
        <w:ind w:left="1440" w:hanging="360"/>
      </w:pPr>
      <w:rPr>
        <w:rFonts w:ascii="Symbol" w:hAnsi="Symbol" w:cs="Symbol" w:hint="default"/>
        <w:sz w:val="20"/>
        <w:szCs w:val="20"/>
      </w:rPr>
    </w:lvl>
    <w:lvl w:ilvl="2">
      <w:start w:val="1"/>
      <w:numFmt w:val="bullet"/>
      <w:lvlText w:val=""/>
      <w:lvlJc w:val="left"/>
      <w:pPr>
        <w:tabs>
          <w:tab w:val="num" w:pos="2160"/>
        </w:tabs>
        <w:ind w:left="2160" w:hanging="360"/>
      </w:pPr>
      <w:rPr>
        <w:rFonts w:ascii="Symbol" w:hAnsi="Symbol" w:cs="Symbol" w:hint="default"/>
        <w:sz w:val="20"/>
        <w:szCs w:val="20"/>
      </w:rPr>
    </w:lvl>
    <w:lvl w:ilvl="3">
      <w:start w:val="1"/>
      <w:numFmt w:val="bullet"/>
      <w:lvlText w:val=""/>
      <w:lvlJc w:val="left"/>
      <w:pPr>
        <w:tabs>
          <w:tab w:val="num" w:pos="2880"/>
        </w:tabs>
        <w:ind w:left="2880" w:hanging="360"/>
      </w:pPr>
      <w:rPr>
        <w:rFonts w:ascii="Symbol" w:hAnsi="Symbol" w:cs="Symbol" w:hint="default"/>
        <w:sz w:val="20"/>
        <w:szCs w:val="20"/>
      </w:rPr>
    </w:lvl>
    <w:lvl w:ilvl="4">
      <w:start w:val="1"/>
      <w:numFmt w:val="bullet"/>
      <w:lvlText w:val=""/>
      <w:lvlJc w:val="left"/>
      <w:pPr>
        <w:tabs>
          <w:tab w:val="num" w:pos="3600"/>
        </w:tabs>
        <w:ind w:left="3600" w:hanging="360"/>
      </w:pPr>
      <w:rPr>
        <w:rFonts w:ascii="Symbol" w:hAnsi="Symbol" w:cs="Symbol" w:hint="default"/>
        <w:sz w:val="20"/>
        <w:szCs w:val="20"/>
      </w:rPr>
    </w:lvl>
    <w:lvl w:ilvl="5">
      <w:start w:val="1"/>
      <w:numFmt w:val="bullet"/>
      <w:lvlText w:val=""/>
      <w:lvlJc w:val="left"/>
      <w:pPr>
        <w:tabs>
          <w:tab w:val="num" w:pos="4320"/>
        </w:tabs>
        <w:ind w:left="4320" w:hanging="360"/>
      </w:pPr>
      <w:rPr>
        <w:rFonts w:ascii="Symbol" w:hAnsi="Symbol" w:cs="Symbol" w:hint="default"/>
        <w:sz w:val="20"/>
        <w:szCs w:val="20"/>
      </w:rPr>
    </w:lvl>
    <w:lvl w:ilvl="6">
      <w:start w:val="1"/>
      <w:numFmt w:val="bullet"/>
      <w:lvlText w:val=""/>
      <w:lvlJc w:val="left"/>
      <w:pPr>
        <w:tabs>
          <w:tab w:val="num" w:pos="5040"/>
        </w:tabs>
        <w:ind w:left="5040" w:hanging="360"/>
      </w:pPr>
      <w:rPr>
        <w:rFonts w:ascii="Symbol" w:hAnsi="Symbol" w:cs="Symbol" w:hint="default"/>
        <w:sz w:val="20"/>
        <w:szCs w:val="20"/>
      </w:rPr>
    </w:lvl>
    <w:lvl w:ilvl="7">
      <w:start w:val="1"/>
      <w:numFmt w:val="bullet"/>
      <w:lvlText w:val=""/>
      <w:lvlJc w:val="left"/>
      <w:pPr>
        <w:tabs>
          <w:tab w:val="num" w:pos="5760"/>
        </w:tabs>
        <w:ind w:left="5760" w:hanging="360"/>
      </w:pPr>
      <w:rPr>
        <w:rFonts w:ascii="Symbol" w:hAnsi="Symbol" w:cs="Symbol" w:hint="default"/>
        <w:sz w:val="20"/>
        <w:szCs w:val="20"/>
      </w:rPr>
    </w:lvl>
    <w:lvl w:ilvl="8">
      <w:start w:val="1"/>
      <w:numFmt w:val="bullet"/>
      <w:lvlText w:val=""/>
      <w:lvlJc w:val="left"/>
      <w:pPr>
        <w:tabs>
          <w:tab w:val="num" w:pos="6480"/>
        </w:tabs>
        <w:ind w:left="6480" w:hanging="360"/>
      </w:pPr>
      <w:rPr>
        <w:rFonts w:ascii="Symbol" w:hAnsi="Symbol" w:cs="Symbol" w:hint="default"/>
        <w:sz w:val="20"/>
        <w:szCs w:val="20"/>
      </w:rPr>
    </w:lvl>
  </w:abstractNum>
  <w:abstractNum w:abstractNumId="2" w15:restartNumberingAfterBreak="0">
    <w:nsid w:val="1A87570E"/>
    <w:multiLevelType w:val="multilevel"/>
    <w:tmpl w:val="0426001D"/>
    <w:lvl w:ilvl="0">
      <w:start w:val="1"/>
      <w:numFmt w:val="decimal"/>
      <w:lvlText w:val="%1)"/>
      <w:lvlJc w:val="left"/>
      <w:pPr>
        <w:ind w:left="360" w:hanging="360"/>
      </w:pPr>
    </w:lvl>
    <w:lvl w:ilvl="1">
      <w:start w:val="1"/>
      <w:numFmt w:val="lowerLetter"/>
      <w:lvlText w:val="%2)"/>
      <w:lvlJc w:val="left"/>
      <w:pPr>
        <w:ind w:left="720" w:hanging="360"/>
      </w:pPr>
      <w:rPr>
        <w:rFonts w:hint="default"/>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1D9F0576"/>
    <w:multiLevelType w:val="hybridMultilevel"/>
    <w:tmpl w:val="745A13B4"/>
    <w:lvl w:ilvl="0" w:tplc="708AC2D2">
      <w:start w:val="1"/>
      <w:numFmt w:val="lowerLetter"/>
      <w:lvlText w:val="%1)"/>
      <w:lvlJc w:val="left"/>
      <w:pPr>
        <w:ind w:left="1080" w:hanging="360"/>
      </w:pPr>
      <w:rPr>
        <w:rFonts w:hint="default"/>
      </w:r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start w:val="1"/>
      <w:numFmt w:val="lowerLetter"/>
      <w:lvlText w:val="%5."/>
      <w:lvlJc w:val="left"/>
      <w:pPr>
        <w:ind w:left="3960" w:hanging="360"/>
      </w:pPr>
    </w:lvl>
    <w:lvl w:ilvl="5" w:tplc="0809001B">
      <w:start w:val="1"/>
      <w:numFmt w:val="lowerRoman"/>
      <w:lvlText w:val="%6."/>
      <w:lvlJc w:val="right"/>
      <w:pPr>
        <w:ind w:left="4680" w:hanging="180"/>
      </w:pPr>
    </w:lvl>
    <w:lvl w:ilvl="6" w:tplc="0809000F">
      <w:start w:val="1"/>
      <w:numFmt w:val="decimal"/>
      <w:lvlText w:val="%7."/>
      <w:lvlJc w:val="left"/>
      <w:pPr>
        <w:ind w:left="5400" w:hanging="360"/>
      </w:pPr>
    </w:lvl>
    <w:lvl w:ilvl="7" w:tplc="08090019">
      <w:start w:val="1"/>
      <w:numFmt w:val="lowerLetter"/>
      <w:lvlText w:val="%8."/>
      <w:lvlJc w:val="left"/>
      <w:pPr>
        <w:ind w:left="6120" w:hanging="360"/>
      </w:pPr>
    </w:lvl>
    <w:lvl w:ilvl="8" w:tplc="0809001B">
      <w:start w:val="1"/>
      <w:numFmt w:val="lowerRoman"/>
      <w:lvlText w:val="%9."/>
      <w:lvlJc w:val="right"/>
      <w:pPr>
        <w:ind w:left="6840" w:hanging="180"/>
      </w:pPr>
    </w:lvl>
  </w:abstractNum>
  <w:abstractNum w:abstractNumId="4" w15:restartNumberingAfterBreak="0">
    <w:nsid w:val="215F6443"/>
    <w:multiLevelType w:val="multilevel"/>
    <w:tmpl w:val="75BE6158"/>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
      <w:lvlJc w:val="left"/>
      <w:pPr>
        <w:tabs>
          <w:tab w:val="num" w:pos="1440"/>
        </w:tabs>
        <w:ind w:left="1440" w:hanging="360"/>
      </w:pPr>
      <w:rPr>
        <w:rFonts w:ascii="Symbol" w:hAnsi="Symbol" w:cs="Symbol" w:hint="default"/>
        <w:sz w:val="20"/>
        <w:szCs w:val="20"/>
      </w:rPr>
    </w:lvl>
    <w:lvl w:ilvl="2">
      <w:start w:val="1"/>
      <w:numFmt w:val="bullet"/>
      <w:lvlText w:val=""/>
      <w:lvlJc w:val="left"/>
      <w:pPr>
        <w:tabs>
          <w:tab w:val="num" w:pos="2160"/>
        </w:tabs>
        <w:ind w:left="2160" w:hanging="360"/>
      </w:pPr>
      <w:rPr>
        <w:rFonts w:ascii="Symbol" w:hAnsi="Symbol" w:cs="Symbol" w:hint="default"/>
        <w:sz w:val="20"/>
        <w:szCs w:val="20"/>
      </w:rPr>
    </w:lvl>
    <w:lvl w:ilvl="3">
      <w:start w:val="1"/>
      <w:numFmt w:val="bullet"/>
      <w:lvlText w:val=""/>
      <w:lvlJc w:val="left"/>
      <w:pPr>
        <w:tabs>
          <w:tab w:val="num" w:pos="2880"/>
        </w:tabs>
        <w:ind w:left="2880" w:hanging="360"/>
      </w:pPr>
      <w:rPr>
        <w:rFonts w:ascii="Symbol" w:hAnsi="Symbol" w:cs="Symbol" w:hint="default"/>
        <w:sz w:val="20"/>
        <w:szCs w:val="20"/>
      </w:rPr>
    </w:lvl>
    <w:lvl w:ilvl="4">
      <w:start w:val="1"/>
      <w:numFmt w:val="bullet"/>
      <w:lvlText w:val=""/>
      <w:lvlJc w:val="left"/>
      <w:pPr>
        <w:tabs>
          <w:tab w:val="num" w:pos="3600"/>
        </w:tabs>
        <w:ind w:left="3600" w:hanging="360"/>
      </w:pPr>
      <w:rPr>
        <w:rFonts w:ascii="Symbol" w:hAnsi="Symbol" w:cs="Symbol" w:hint="default"/>
        <w:sz w:val="20"/>
        <w:szCs w:val="20"/>
      </w:rPr>
    </w:lvl>
    <w:lvl w:ilvl="5">
      <w:start w:val="1"/>
      <w:numFmt w:val="bullet"/>
      <w:lvlText w:val=""/>
      <w:lvlJc w:val="left"/>
      <w:pPr>
        <w:tabs>
          <w:tab w:val="num" w:pos="4320"/>
        </w:tabs>
        <w:ind w:left="4320" w:hanging="360"/>
      </w:pPr>
      <w:rPr>
        <w:rFonts w:ascii="Symbol" w:hAnsi="Symbol" w:cs="Symbol" w:hint="default"/>
        <w:sz w:val="20"/>
        <w:szCs w:val="20"/>
      </w:rPr>
    </w:lvl>
    <w:lvl w:ilvl="6">
      <w:start w:val="1"/>
      <w:numFmt w:val="bullet"/>
      <w:lvlText w:val=""/>
      <w:lvlJc w:val="left"/>
      <w:pPr>
        <w:tabs>
          <w:tab w:val="num" w:pos="5040"/>
        </w:tabs>
        <w:ind w:left="5040" w:hanging="360"/>
      </w:pPr>
      <w:rPr>
        <w:rFonts w:ascii="Symbol" w:hAnsi="Symbol" w:cs="Symbol" w:hint="default"/>
        <w:sz w:val="20"/>
        <w:szCs w:val="20"/>
      </w:rPr>
    </w:lvl>
    <w:lvl w:ilvl="7">
      <w:start w:val="1"/>
      <w:numFmt w:val="bullet"/>
      <w:lvlText w:val=""/>
      <w:lvlJc w:val="left"/>
      <w:pPr>
        <w:tabs>
          <w:tab w:val="num" w:pos="5760"/>
        </w:tabs>
        <w:ind w:left="5760" w:hanging="360"/>
      </w:pPr>
      <w:rPr>
        <w:rFonts w:ascii="Symbol" w:hAnsi="Symbol" w:cs="Symbol" w:hint="default"/>
        <w:sz w:val="20"/>
        <w:szCs w:val="20"/>
      </w:rPr>
    </w:lvl>
    <w:lvl w:ilvl="8">
      <w:start w:val="1"/>
      <w:numFmt w:val="bullet"/>
      <w:lvlText w:val=""/>
      <w:lvlJc w:val="left"/>
      <w:pPr>
        <w:tabs>
          <w:tab w:val="num" w:pos="6480"/>
        </w:tabs>
        <w:ind w:left="6480" w:hanging="360"/>
      </w:pPr>
      <w:rPr>
        <w:rFonts w:ascii="Symbol" w:hAnsi="Symbol" w:cs="Symbol" w:hint="default"/>
        <w:sz w:val="20"/>
        <w:szCs w:val="20"/>
      </w:rPr>
    </w:lvl>
  </w:abstractNum>
  <w:abstractNum w:abstractNumId="5" w15:restartNumberingAfterBreak="0">
    <w:nsid w:val="2D7640CF"/>
    <w:multiLevelType w:val="hybridMultilevel"/>
    <w:tmpl w:val="0C26718A"/>
    <w:lvl w:ilvl="0" w:tplc="04260017">
      <w:start w:val="1"/>
      <w:numFmt w:val="lowerLetter"/>
      <w:lvlText w:val="%1)"/>
      <w:lvlJc w:val="left"/>
      <w:pPr>
        <w:ind w:left="1080" w:hanging="360"/>
      </w:pPr>
    </w:lvl>
    <w:lvl w:ilvl="1" w:tplc="04260019">
      <w:start w:val="1"/>
      <w:numFmt w:val="lowerLetter"/>
      <w:lvlText w:val="%2."/>
      <w:lvlJc w:val="left"/>
      <w:pPr>
        <w:ind w:left="1800" w:hanging="360"/>
      </w:pPr>
    </w:lvl>
    <w:lvl w:ilvl="2" w:tplc="0426001B">
      <w:start w:val="1"/>
      <w:numFmt w:val="lowerRoman"/>
      <w:lvlText w:val="%3."/>
      <w:lvlJc w:val="right"/>
      <w:pPr>
        <w:ind w:left="2520" w:hanging="180"/>
      </w:pPr>
    </w:lvl>
    <w:lvl w:ilvl="3" w:tplc="0426000F">
      <w:start w:val="1"/>
      <w:numFmt w:val="decimal"/>
      <w:lvlText w:val="%4."/>
      <w:lvlJc w:val="left"/>
      <w:pPr>
        <w:ind w:left="3240" w:hanging="360"/>
      </w:pPr>
    </w:lvl>
    <w:lvl w:ilvl="4" w:tplc="04260019">
      <w:start w:val="1"/>
      <w:numFmt w:val="lowerLetter"/>
      <w:lvlText w:val="%5."/>
      <w:lvlJc w:val="left"/>
      <w:pPr>
        <w:ind w:left="3960" w:hanging="360"/>
      </w:pPr>
    </w:lvl>
    <w:lvl w:ilvl="5" w:tplc="0426001B">
      <w:start w:val="1"/>
      <w:numFmt w:val="lowerRoman"/>
      <w:lvlText w:val="%6."/>
      <w:lvlJc w:val="right"/>
      <w:pPr>
        <w:ind w:left="4680" w:hanging="180"/>
      </w:pPr>
    </w:lvl>
    <w:lvl w:ilvl="6" w:tplc="0426000F">
      <w:start w:val="1"/>
      <w:numFmt w:val="decimal"/>
      <w:lvlText w:val="%7."/>
      <w:lvlJc w:val="left"/>
      <w:pPr>
        <w:ind w:left="5400" w:hanging="360"/>
      </w:pPr>
    </w:lvl>
    <w:lvl w:ilvl="7" w:tplc="04260019">
      <w:start w:val="1"/>
      <w:numFmt w:val="lowerLetter"/>
      <w:lvlText w:val="%8."/>
      <w:lvlJc w:val="left"/>
      <w:pPr>
        <w:ind w:left="6120" w:hanging="360"/>
      </w:pPr>
    </w:lvl>
    <w:lvl w:ilvl="8" w:tplc="0426001B">
      <w:start w:val="1"/>
      <w:numFmt w:val="lowerRoman"/>
      <w:lvlText w:val="%9."/>
      <w:lvlJc w:val="right"/>
      <w:pPr>
        <w:ind w:left="6840" w:hanging="180"/>
      </w:pPr>
    </w:lvl>
  </w:abstractNum>
  <w:abstractNum w:abstractNumId="6" w15:restartNumberingAfterBreak="0">
    <w:nsid w:val="2E441180"/>
    <w:multiLevelType w:val="hybridMultilevel"/>
    <w:tmpl w:val="FCB07A60"/>
    <w:lvl w:ilvl="0" w:tplc="E06C295C">
      <w:start w:val="1"/>
      <w:numFmt w:val="lowerLetter"/>
      <w:lvlText w:val="%1)"/>
      <w:lvlJc w:val="left"/>
      <w:pPr>
        <w:ind w:left="1080" w:hanging="360"/>
      </w:pPr>
      <w:rPr>
        <w:rFonts w:hint="default"/>
      </w:rPr>
    </w:lvl>
    <w:lvl w:ilvl="1" w:tplc="04260019">
      <w:start w:val="1"/>
      <w:numFmt w:val="lowerLetter"/>
      <w:lvlText w:val="%2."/>
      <w:lvlJc w:val="left"/>
      <w:pPr>
        <w:ind w:left="1800" w:hanging="360"/>
      </w:pPr>
    </w:lvl>
    <w:lvl w:ilvl="2" w:tplc="0426001B">
      <w:start w:val="1"/>
      <w:numFmt w:val="lowerRoman"/>
      <w:lvlText w:val="%3."/>
      <w:lvlJc w:val="right"/>
      <w:pPr>
        <w:ind w:left="2520" w:hanging="180"/>
      </w:pPr>
    </w:lvl>
    <w:lvl w:ilvl="3" w:tplc="0426000F">
      <w:start w:val="1"/>
      <w:numFmt w:val="decimal"/>
      <w:lvlText w:val="%4."/>
      <w:lvlJc w:val="left"/>
      <w:pPr>
        <w:ind w:left="3240" w:hanging="360"/>
      </w:pPr>
    </w:lvl>
    <w:lvl w:ilvl="4" w:tplc="04260019">
      <w:start w:val="1"/>
      <w:numFmt w:val="lowerLetter"/>
      <w:lvlText w:val="%5."/>
      <w:lvlJc w:val="left"/>
      <w:pPr>
        <w:ind w:left="3960" w:hanging="360"/>
      </w:pPr>
    </w:lvl>
    <w:lvl w:ilvl="5" w:tplc="0426001B">
      <w:start w:val="1"/>
      <w:numFmt w:val="lowerRoman"/>
      <w:lvlText w:val="%6."/>
      <w:lvlJc w:val="right"/>
      <w:pPr>
        <w:ind w:left="4680" w:hanging="180"/>
      </w:pPr>
    </w:lvl>
    <w:lvl w:ilvl="6" w:tplc="0426000F">
      <w:start w:val="1"/>
      <w:numFmt w:val="decimal"/>
      <w:lvlText w:val="%7."/>
      <w:lvlJc w:val="left"/>
      <w:pPr>
        <w:ind w:left="5400" w:hanging="360"/>
      </w:pPr>
    </w:lvl>
    <w:lvl w:ilvl="7" w:tplc="04260019">
      <w:start w:val="1"/>
      <w:numFmt w:val="lowerLetter"/>
      <w:lvlText w:val="%8."/>
      <w:lvlJc w:val="left"/>
      <w:pPr>
        <w:ind w:left="6120" w:hanging="360"/>
      </w:pPr>
    </w:lvl>
    <w:lvl w:ilvl="8" w:tplc="0426001B">
      <w:start w:val="1"/>
      <w:numFmt w:val="lowerRoman"/>
      <w:lvlText w:val="%9."/>
      <w:lvlJc w:val="right"/>
      <w:pPr>
        <w:ind w:left="6840" w:hanging="180"/>
      </w:pPr>
    </w:lvl>
  </w:abstractNum>
  <w:abstractNum w:abstractNumId="7" w15:restartNumberingAfterBreak="0">
    <w:nsid w:val="2E733F80"/>
    <w:multiLevelType w:val="hybridMultilevel"/>
    <w:tmpl w:val="884896F0"/>
    <w:lvl w:ilvl="0" w:tplc="4540F50C">
      <w:numFmt w:val="bullet"/>
      <w:lvlText w:val="-"/>
      <w:lvlJc w:val="left"/>
      <w:pPr>
        <w:ind w:left="1080" w:hanging="360"/>
      </w:pPr>
      <w:rPr>
        <w:rFonts w:ascii="Times New Roman" w:eastAsia="Times New Roman" w:hAnsi="Times New Roman" w:hint="default"/>
      </w:rPr>
    </w:lvl>
    <w:lvl w:ilvl="1" w:tplc="04260003">
      <w:start w:val="1"/>
      <w:numFmt w:val="bullet"/>
      <w:lvlText w:val="o"/>
      <w:lvlJc w:val="left"/>
      <w:pPr>
        <w:ind w:left="1800" w:hanging="360"/>
      </w:pPr>
      <w:rPr>
        <w:rFonts w:ascii="Courier New" w:hAnsi="Courier New" w:cs="Courier New" w:hint="default"/>
      </w:rPr>
    </w:lvl>
    <w:lvl w:ilvl="2" w:tplc="04260005">
      <w:start w:val="1"/>
      <w:numFmt w:val="bullet"/>
      <w:lvlText w:val=""/>
      <w:lvlJc w:val="left"/>
      <w:pPr>
        <w:ind w:left="2520" w:hanging="360"/>
      </w:pPr>
      <w:rPr>
        <w:rFonts w:ascii="Wingdings" w:hAnsi="Wingdings" w:cs="Wingdings" w:hint="default"/>
      </w:rPr>
    </w:lvl>
    <w:lvl w:ilvl="3" w:tplc="04260001">
      <w:start w:val="1"/>
      <w:numFmt w:val="bullet"/>
      <w:lvlText w:val=""/>
      <w:lvlJc w:val="left"/>
      <w:pPr>
        <w:ind w:left="3240" w:hanging="360"/>
      </w:pPr>
      <w:rPr>
        <w:rFonts w:ascii="Symbol" w:hAnsi="Symbol" w:cs="Symbol" w:hint="default"/>
      </w:rPr>
    </w:lvl>
    <w:lvl w:ilvl="4" w:tplc="04260003">
      <w:start w:val="1"/>
      <w:numFmt w:val="bullet"/>
      <w:lvlText w:val="o"/>
      <w:lvlJc w:val="left"/>
      <w:pPr>
        <w:ind w:left="3960" w:hanging="360"/>
      </w:pPr>
      <w:rPr>
        <w:rFonts w:ascii="Courier New" w:hAnsi="Courier New" w:cs="Courier New" w:hint="default"/>
      </w:rPr>
    </w:lvl>
    <w:lvl w:ilvl="5" w:tplc="04260005">
      <w:start w:val="1"/>
      <w:numFmt w:val="bullet"/>
      <w:lvlText w:val=""/>
      <w:lvlJc w:val="left"/>
      <w:pPr>
        <w:ind w:left="4680" w:hanging="360"/>
      </w:pPr>
      <w:rPr>
        <w:rFonts w:ascii="Wingdings" w:hAnsi="Wingdings" w:cs="Wingdings" w:hint="default"/>
      </w:rPr>
    </w:lvl>
    <w:lvl w:ilvl="6" w:tplc="04260001">
      <w:start w:val="1"/>
      <w:numFmt w:val="bullet"/>
      <w:lvlText w:val=""/>
      <w:lvlJc w:val="left"/>
      <w:pPr>
        <w:ind w:left="5400" w:hanging="360"/>
      </w:pPr>
      <w:rPr>
        <w:rFonts w:ascii="Symbol" w:hAnsi="Symbol" w:cs="Symbol" w:hint="default"/>
      </w:rPr>
    </w:lvl>
    <w:lvl w:ilvl="7" w:tplc="04260003">
      <w:start w:val="1"/>
      <w:numFmt w:val="bullet"/>
      <w:lvlText w:val="o"/>
      <w:lvlJc w:val="left"/>
      <w:pPr>
        <w:ind w:left="6120" w:hanging="360"/>
      </w:pPr>
      <w:rPr>
        <w:rFonts w:ascii="Courier New" w:hAnsi="Courier New" w:cs="Courier New" w:hint="default"/>
      </w:rPr>
    </w:lvl>
    <w:lvl w:ilvl="8" w:tplc="04260005">
      <w:start w:val="1"/>
      <w:numFmt w:val="bullet"/>
      <w:lvlText w:val=""/>
      <w:lvlJc w:val="left"/>
      <w:pPr>
        <w:ind w:left="6840" w:hanging="360"/>
      </w:pPr>
      <w:rPr>
        <w:rFonts w:ascii="Wingdings" w:hAnsi="Wingdings" w:cs="Wingdings" w:hint="default"/>
      </w:rPr>
    </w:lvl>
  </w:abstractNum>
  <w:abstractNum w:abstractNumId="8" w15:restartNumberingAfterBreak="0">
    <w:nsid w:val="2F6332B6"/>
    <w:multiLevelType w:val="hybridMultilevel"/>
    <w:tmpl w:val="371E02A6"/>
    <w:lvl w:ilvl="0" w:tplc="4246FAC8">
      <w:start w:val="1"/>
      <w:numFmt w:val="bullet"/>
      <w:lvlText w:val="▬"/>
      <w:lvlJc w:val="left"/>
      <w:pPr>
        <w:tabs>
          <w:tab w:val="num" w:pos="1440"/>
        </w:tabs>
        <w:ind w:left="1440" w:hanging="360"/>
      </w:pPr>
      <w:rPr>
        <w:rFonts w:ascii="Courier New" w:hAnsi="Courier New" w:cs="Courier New" w:hint="default"/>
      </w:rPr>
    </w:lvl>
    <w:lvl w:ilvl="1" w:tplc="04260003">
      <w:start w:val="1"/>
      <w:numFmt w:val="bullet"/>
      <w:lvlText w:val="o"/>
      <w:lvlJc w:val="left"/>
      <w:pPr>
        <w:tabs>
          <w:tab w:val="num" w:pos="1440"/>
        </w:tabs>
        <w:ind w:left="1440" w:hanging="360"/>
      </w:pPr>
      <w:rPr>
        <w:rFonts w:ascii="Courier New" w:hAnsi="Courier New" w:cs="Courier New" w:hint="default"/>
      </w:rPr>
    </w:lvl>
    <w:lvl w:ilvl="2" w:tplc="04260005">
      <w:start w:val="1"/>
      <w:numFmt w:val="bullet"/>
      <w:lvlText w:val=""/>
      <w:lvlJc w:val="left"/>
      <w:pPr>
        <w:tabs>
          <w:tab w:val="num" w:pos="2160"/>
        </w:tabs>
        <w:ind w:left="2160" w:hanging="360"/>
      </w:pPr>
      <w:rPr>
        <w:rFonts w:ascii="Wingdings" w:hAnsi="Wingdings" w:cs="Wingdings" w:hint="default"/>
      </w:rPr>
    </w:lvl>
    <w:lvl w:ilvl="3" w:tplc="04260001">
      <w:start w:val="1"/>
      <w:numFmt w:val="bullet"/>
      <w:lvlText w:val=""/>
      <w:lvlJc w:val="left"/>
      <w:pPr>
        <w:tabs>
          <w:tab w:val="num" w:pos="2880"/>
        </w:tabs>
        <w:ind w:left="2880" w:hanging="360"/>
      </w:pPr>
      <w:rPr>
        <w:rFonts w:ascii="Symbol" w:hAnsi="Symbol" w:cs="Symbol" w:hint="default"/>
      </w:rPr>
    </w:lvl>
    <w:lvl w:ilvl="4" w:tplc="04260003">
      <w:start w:val="1"/>
      <w:numFmt w:val="bullet"/>
      <w:lvlText w:val="o"/>
      <w:lvlJc w:val="left"/>
      <w:pPr>
        <w:tabs>
          <w:tab w:val="num" w:pos="3600"/>
        </w:tabs>
        <w:ind w:left="3600" w:hanging="360"/>
      </w:pPr>
      <w:rPr>
        <w:rFonts w:ascii="Courier New" w:hAnsi="Courier New" w:cs="Courier New" w:hint="default"/>
      </w:rPr>
    </w:lvl>
    <w:lvl w:ilvl="5" w:tplc="04260005">
      <w:start w:val="1"/>
      <w:numFmt w:val="bullet"/>
      <w:lvlText w:val=""/>
      <w:lvlJc w:val="left"/>
      <w:pPr>
        <w:tabs>
          <w:tab w:val="num" w:pos="4320"/>
        </w:tabs>
        <w:ind w:left="4320" w:hanging="360"/>
      </w:pPr>
      <w:rPr>
        <w:rFonts w:ascii="Wingdings" w:hAnsi="Wingdings" w:cs="Wingdings" w:hint="default"/>
      </w:rPr>
    </w:lvl>
    <w:lvl w:ilvl="6" w:tplc="04260001">
      <w:start w:val="1"/>
      <w:numFmt w:val="bullet"/>
      <w:lvlText w:val=""/>
      <w:lvlJc w:val="left"/>
      <w:pPr>
        <w:tabs>
          <w:tab w:val="num" w:pos="5040"/>
        </w:tabs>
        <w:ind w:left="5040" w:hanging="360"/>
      </w:pPr>
      <w:rPr>
        <w:rFonts w:ascii="Symbol" w:hAnsi="Symbol" w:cs="Symbol" w:hint="default"/>
      </w:rPr>
    </w:lvl>
    <w:lvl w:ilvl="7" w:tplc="04260003">
      <w:start w:val="1"/>
      <w:numFmt w:val="bullet"/>
      <w:lvlText w:val="o"/>
      <w:lvlJc w:val="left"/>
      <w:pPr>
        <w:tabs>
          <w:tab w:val="num" w:pos="5760"/>
        </w:tabs>
        <w:ind w:left="5760" w:hanging="360"/>
      </w:pPr>
      <w:rPr>
        <w:rFonts w:ascii="Courier New" w:hAnsi="Courier New" w:cs="Courier New" w:hint="default"/>
      </w:rPr>
    </w:lvl>
    <w:lvl w:ilvl="8" w:tplc="04260005">
      <w:start w:val="1"/>
      <w:numFmt w:val="bullet"/>
      <w:lvlText w:val=""/>
      <w:lvlJc w:val="left"/>
      <w:pPr>
        <w:tabs>
          <w:tab w:val="num" w:pos="6480"/>
        </w:tabs>
        <w:ind w:left="6480" w:hanging="360"/>
      </w:pPr>
      <w:rPr>
        <w:rFonts w:ascii="Wingdings" w:hAnsi="Wingdings" w:cs="Wingdings" w:hint="default"/>
      </w:rPr>
    </w:lvl>
  </w:abstractNum>
  <w:abstractNum w:abstractNumId="9" w15:restartNumberingAfterBreak="0">
    <w:nsid w:val="34BC5291"/>
    <w:multiLevelType w:val="hybridMultilevel"/>
    <w:tmpl w:val="97C4DB74"/>
    <w:lvl w:ilvl="0" w:tplc="FCFC1608">
      <w:numFmt w:val="bullet"/>
      <w:lvlText w:val="-"/>
      <w:lvlJc w:val="left"/>
      <w:pPr>
        <w:tabs>
          <w:tab w:val="num" w:pos="720"/>
        </w:tabs>
        <w:ind w:left="720" w:hanging="360"/>
      </w:pPr>
      <w:rPr>
        <w:rFonts w:ascii="Times-Roman" w:eastAsia="Times New Roman" w:hAnsi="Times-Roman" w:hint="default"/>
      </w:rPr>
    </w:lvl>
    <w:lvl w:ilvl="1" w:tplc="04260003">
      <w:start w:val="1"/>
      <w:numFmt w:val="bullet"/>
      <w:lvlText w:val="o"/>
      <w:lvlJc w:val="left"/>
      <w:pPr>
        <w:tabs>
          <w:tab w:val="num" w:pos="1440"/>
        </w:tabs>
        <w:ind w:left="1440" w:hanging="360"/>
      </w:pPr>
      <w:rPr>
        <w:rFonts w:ascii="Courier New" w:hAnsi="Courier New" w:cs="Courier New" w:hint="default"/>
      </w:rPr>
    </w:lvl>
    <w:lvl w:ilvl="2" w:tplc="04260005">
      <w:start w:val="1"/>
      <w:numFmt w:val="bullet"/>
      <w:lvlText w:val=""/>
      <w:lvlJc w:val="left"/>
      <w:pPr>
        <w:tabs>
          <w:tab w:val="num" w:pos="2160"/>
        </w:tabs>
        <w:ind w:left="2160" w:hanging="360"/>
      </w:pPr>
      <w:rPr>
        <w:rFonts w:ascii="Wingdings" w:hAnsi="Wingdings" w:cs="Wingdings" w:hint="default"/>
      </w:rPr>
    </w:lvl>
    <w:lvl w:ilvl="3" w:tplc="04260001">
      <w:start w:val="1"/>
      <w:numFmt w:val="bullet"/>
      <w:lvlText w:val=""/>
      <w:lvlJc w:val="left"/>
      <w:pPr>
        <w:tabs>
          <w:tab w:val="num" w:pos="2880"/>
        </w:tabs>
        <w:ind w:left="2880" w:hanging="360"/>
      </w:pPr>
      <w:rPr>
        <w:rFonts w:ascii="Symbol" w:hAnsi="Symbol" w:cs="Symbol" w:hint="default"/>
      </w:rPr>
    </w:lvl>
    <w:lvl w:ilvl="4" w:tplc="04260003">
      <w:start w:val="1"/>
      <w:numFmt w:val="bullet"/>
      <w:lvlText w:val="o"/>
      <w:lvlJc w:val="left"/>
      <w:pPr>
        <w:tabs>
          <w:tab w:val="num" w:pos="3600"/>
        </w:tabs>
        <w:ind w:left="3600" w:hanging="360"/>
      </w:pPr>
      <w:rPr>
        <w:rFonts w:ascii="Courier New" w:hAnsi="Courier New" w:cs="Courier New" w:hint="default"/>
      </w:rPr>
    </w:lvl>
    <w:lvl w:ilvl="5" w:tplc="04260005">
      <w:start w:val="1"/>
      <w:numFmt w:val="bullet"/>
      <w:lvlText w:val=""/>
      <w:lvlJc w:val="left"/>
      <w:pPr>
        <w:tabs>
          <w:tab w:val="num" w:pos="4320"/>
        </w:tabs>
        <w:ind w:left="4320" w:hanging="360"/>
      </w:pPr>
      <w:rPr>
        <w:rFonts w:ascii="Wingdings" w:hAnsi="Wingdings" w:cs="Wingdings" w:hint="default"/>
      </w:rPr>
    </w:lvl>
    <w:lvl w:ilvl="6" w:tplc="04260001">
      <w:start w:val="1"/>
      <w:numFmt w:val="bullet"/>
      <w:lvlText w:val=""/>
      <w:lvlJc w:val="left"/>
      <w:pPr>
        <w:tabs>
          <w:tab w:val="num" w:pos="5040"/>
        </w:tabs>
        <w:ind w:left="5040" w:hanging="360"/>
      </w:pPr>
      <w:rPr>
        <w:rFonts w:ascii="Symbol" w:hAnsi="Symbol" w:cs="Symbol" w:hint="default"/>
      </w:rPr>
    </w:lvl>
    <w:lvl w:ilvl="7" w:tplc="04260003">
      <w:start w:val="1"/>
      <w:numFmt w:val="bullet"/>
      <w:lvlText w:val="o"/>
      <w:lvlJc w:val="left"/>
      <w:pPr>
        <w:tabs>
          <w:tab w:val="num" w:pos="5760"/>
        </w:tabs>
        <w:ind w:left="5760" w:hanging="360"/>
      </w:pPr>
      <w:rPr>
        <w:rFonts w:ascii="Courier New" w:hAnsi="Courier New" w:cs="Courier New" w:hint="default"/>
      </w:rPr>
    </w:lvl>
    <w:lvl w:ilvl="8" w:tplc="04260005">
      <w:start w:val="1"/>
      <w:numFmt w:val="bullet"/>
      <w:lvlText w:val=""/>
      <w:lvlJc w:val="left"/>
      <w:pPr>
        <w:tabs>
          <w:tab w:val="num" w:pos="6480"/>
        </w:tabs>
        <w:ind w:left="6480" w:hanging="360"/>
      </w:pPr>
      <w:rPr>
        <w:rFonts w:ascii="Wingdings" w:hAnsi="Wingdings" w:cs="Wingdings" w:hint="default"/>
      </w:rPr>
    </w:lvl>
  </w:abstractNum>
  <w:abstractNum w:abstractNumId="10" w15:restartNumberingAfterBreak="0">
    <w:nsid w:val="40693037"/>
    <w:multiLevelType w:val="hybridMultilevel"/>
    <w:tmpl w:val="0F72C9EE"/>
    <w:lvl w:ilvl="0" w:tplc="BA18C806">
      <w:start w:val="1"/>
      <w:numFmt w:val="decimal"/>
      <w:lvlText w:val="%1."/>
      <w:lvlJc w:val="left"/>
      <w:pPr>
        <w:ind w:left="1080" w:hanging="360"/>
      </w:pPr>
      <w:rPr>
        <w:rFonts w:hint="default"/>
      </w:rPr>
    </w:lvl>
    <w:lvl w:ilvl="1" w:tplc="04260019">
      <w:start w:val="1"/>
      <w:numFmt w:val="lowerLetter"/>
      <w:lvlText w:val="%2."/>
      <w:lvlJc w:val="left"/>
      <w:pPr>
        <w:ind w:left="1800" w:hanging="360"/>
      </w:pPr>
    </w:lvl>
    <w:lvl w:ilvl="2" w:tplc="0426001B">
      <w:start w:val="1"/>
      <w:numFmt w:val="lowerRoman"/>
      <w:lvlText w:val="%3."/>
      <w:lvlJc w:val="right"/>
      <w:pPr>
        <w:ind w:left="2520" w:hanging="180"/>
      </w:pPr>
    </w:lvl>
    <w:lvl w:ilvl="3" w:tplc="0426000F">
      <w:start w:val="1"/>
      <w:numFmt w:val="decimal"/>
      <w:lvlText w:val="%4."/>
      <w:lvlJc w:val="left"/>
      <w:pPr>
        <w:ind w:left="3240" w:hanging="360"/>
      </w:pPr>
    </w:lvl>
    <w:lvl w:ilvl="4" w:tplc="04260019">
      <w:start w:val="1"/>
      <w:numFmt w:val="lowerLetter"/>
      <w:lvlText w:val="%5."/>
      <w:lvlJc w:val="left"/>
      <w:pPr>
        <w:ind w:left="3960" w:hanging="360"/>
      </w:pPr>
    </w:lvl>
    <w:lvl w:ilvl="5" w:tplc="0426001B">
      <w:start w:val="1"/>
      <w:numFmt w:val="lowerRoman"/>
      <w:lvlText w:val="%6."/>
      <w:lvlJc w:val="right"/>
      <w:pPr>
        <w:ind w:left="4680" w:hanging="180"/>
      </w:pPr>
    </w:lvl>
    <w:lvl w:ilvl="6" w:tplc="0426000F">
      <w:start w:val="1"/>
      <w:numFmt w:val="decimal"/>
      <w:lvlText w:val="%7."/>
      <w:lvlJc w:val="left"/>
      <w:pPr>
        <w:ind w:left="5400" w:hanging="360"/>
      </w:pPr>
    </w:lvl>
    <w:lvl w:ilvl="7" w:tplc="04260019">
      <w:start w:val="1"/>
      <w:numFmt w:val="lowerLetter"/>
      <w:lvlText w:val="%8."/>
      <w:lvlJc w:val="left"/>
      <w:pPr>
        <w:ind w:left="6120" w:hanging="360"/>
      </w:pPr>
    </w:lvl>
    <w:lvl w:ilvl="8" w:tplc="0426001B">
      <w:start w:val="1"/>
      <w:numFmt w:val="lowerRoman"/>
      <w:lvlText w:val="%9."/>
      <w:lvlJc w:val="right"/>
      <w:pPr>
        <w:ind w:left="6840" w:hanging="180"/>
      </w:pPr>
    </w:lvl>
  </w:abstractNum>
  <w:abstractNum w:abstractNumId="11" w15:restartNumberingAfterBreak="0">
    <w:nsid w:val="44901053"/>
    <w:multiLevelType w:val="multilevel"/>
    <w:tmpl w:val="626E9A54"/>
    <w:lvl w:ilvl="0">
      <w:start w:val="1"/>
      <w:numFmt w:val="decimal"/>
      <w:lvlRestart w:val="0"/>
      <w:pStyle w:val="1stlevelheading"/>
      <w:lvlText w:val="%1."/>
      <w:lvlJc w:val="left"/>
      <w:pPr>
        <w:tabs>
          <w:tab w:val="num" w:pos="964"/>
        </w:tabs>
        <w:ind w:left="964" w:hanging="964"/>
      </w:pPr>
    </w:lvl>
    <w:lvl w:ilvl="1">
      <w:start w:val="1"/>
      <w:numFmt w:val="decimal"/>
      <w:pStyle w:val="2ndlevelheading"/>
      <w:lvlText w:val="%1.%2."/>
      <w:lvlJc w:val="left"/>
      <w:pPr>
        <w:tabs>
          <w:tab w:val="num" w:pos="964"/>
        </w:tabs>
        <w:ind w:left="964" w:hanging="964"/>
      </w:pPr>
    </w:lvl>
    <w:lvl w:ilvl="2">
      <w:start w:val="1"/>
      <w:numFmt w:val="decimal"/>
      <w:pStyle w:val="3rdlevelheading"/>
      <w:lvlText w:val="%1.%2.%3."/>
      <w:lvlJc w:val="left"/>
      <w:pPr>
        <w:tabs>
          <w:tab w:val="num" w:pos="964"/>
        </w:tabs>
        <w:ind w:left="964" w:hanging="964"/>
      </w:pPr>
    </w:lvl>
    <w:lvl w:ilvl="3">
      <w:start w:val="1"/>
      <w:numFmt w:val="lowerLetter"/>
      <w:pStyle w:val="4thlevelheading"/>
      <w:lvlText w:val="(%4)"/>
      <w:lvlJc w:val="left"/>
      <w:pPr>
        <w:tabs>
          <w:tab w:val="num" w:pos="1928"/>
        </w:tabs>
        <w:ind w:left="1928" w:hanging="851"/>
      </w:pPr>
    </w:lvl>
    <w:lvl w:ilvl="4">
      <w:start w:val="1"/>
      <w:numFmt w:val="lowerRoman"/>
      <w:pStyle w:val="5thlevelheading"/>
      <w:lvlText w:val="(%5)"/>
      <w:lvlJc w:val="left"/>
      <w:pPr>
        <w:tabs>
          <w:tab w:val="num" w:pos="2835"/>
        </w:tabs>
        <w:ind w:left="2835" w:hanging="851"/>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2" w15:restartNumberingAfterBreak="0">
    <w:nsid w:val="462E0F6E"/>
    <w:multiLevelType w:val="hybridMultilevel"/>
    <w:tmpl w:val="CF4C397E"/>
    <w:lvl w:ilvl="0" w:tplc="511C17BC">
      <w:start w:val="1"/>
      <w:numFmt w:val="bullet"/>
      <w:lvlText w:val="-"/>
      <w:lvlJc w:val="left"/>
      <w:pPr>
        <w:ind w:left="1080" w:hanging="360"/>
      </w:pPr>
      <w:rPr>
        <w:rFonts w:ascii="Times New Roman" w:eastAsia="Times New Roman" w:hAnsi="Times New Roman" w:hint="default"/>
      </w:rPr>
    </w:lvl>
    <w:lvl w:ilvl="1" w:tplc="04260003">
      <w:start w:val="1"/>
      <w:numFmt w:val="bullet"/>
      <w:lvlText w:val="o"/>
      <w:lvlJc w:val="left"/>
      <w:pPr>
        <w:ind w:left="1800" w:hanging="360"/>
      </w:pPr>
      <w:rPr>
        <w:rFonts w:ascii="Courier New" w:hAnsi="Courier New" w:cs="Courier New" w:hint="default"/>
      </w:rPr>
    </w:lvl>
    <w:lvl w:ilvl="2" w:tplc="04260005">
      <w:start w:val="1"/>
      <w:numFmt w:val="bullet"/>
      <w:lvlText w:val=""/>
      <w:lvlJc w:val="left"/>
      <w:pPr>
        <w:ind w:left="2520" w:hanging="360"/>
      </w:pPr>
      <w:rPr>
        <w:rFonts w:ascii="Wingdings" w:hAnsi="Wingdings" w:cs="Wingdings" w:hint="default"/>
      </w:rPr>
    </w:lvl>
    <w:lvl w:ilvl="3" w:tplc="04260001">
      <w:start w:val="1"/>
      <w:numFmt w:val="bullet"/>
      <w:lvlText w:val=""/>
      <w:lvlJc w:val="left"/>
      <w:pPr>
        <w:ind w:left="3240" w:hanging="360"/>
      </w:pPr>
      <w:rPr>
        <w:rFonts w:ascii="Symbol" w:hAnsi="Symbol" w:cs="Symbol" w:hint="default"/>
      </w:rPr>
    </w:lvl>
    <w:lvl w:ilvl="4" w:tplc="04260003">
      <w:start w:val="1"/>
      <w:numFmt w:val="bullet"/>
      <w:lvlText w:val="o"/>
      <w:lvlJc w:val="left"/>
      <w:pPr>
        <w:ind w:left="3960" w:hanging="360"/>
      </w:pPr>
      <w:rPr>
        <w:rFonts w:ascii="Courier New" w:hAnsi="Courier New" w:cs="Courier New" w:hint="default"/>
      </w:rPr>
    </w:lvl>
    <w:lvl w:ilvl="5" w:tplc="04260005">
      <w:start w:val="1"/>
      <w:numFmt w:val="bullet"/>
      <w:lvlText w:val=""/>
      <w:lvlJc w:val="left"/>
      <w:pPr>
        <w:ind w:left="4680" w:hanging="360"/>
      </w:pPr>
      <w:rPr>
        <w:rFonts w:ascii="Wingdings" w:hAnsi="Wingdings" w:cs="Wingdings" w:hint="default"/>
      </w:rPr>
    </w:lvl>
    <w:lvl w:ilvl="6" w:tplc="04260001">
      <w:start w:val="1"/>
      <w:numFmt w:val="bullet"/>
      <w:lvlText w:val=""/>
      <w:lvlJc w:val="left"/>
      <w:pPr>
        <w:ind w:left="5400" w:hanging="360"/>
      </w:pPr>
      <w:rPr>
        <w:rFonts w:ascii="Symbol" w:hAnsi="Symbol" w:cs="Symbol" w:hint="default"/>
      </w:rPr>
    </w:lvl>
    <w:lvl w:ilvl="7" w:tplc="04260003">
      <w:start w:val="1"/>
      <w:numFmt w:val="bullet"/>
      <w:lvlText w:val="o"/>
      <w:lvlJc w:val="left"/>
      <w:pPr>
        <w:ind w:left="6120" w:hanging="360"/>
      </w:pPr>
      <w:rPr>
        <w:rFonts w:ascii="Courier New" w:hAnsi="Courier New" w:cs="Courier New" w:hint="default"/>
      </w:rPr>
    </w:lvl>
    <w:lvl w:ilvl="8" w:tplc="04260005">
      <w:start w:val="1"/>
      <w:numFmt w:val="bullet"/>
      <w:lvlText w:val=""/>
      <w:lvlJc w:val="left"/>
      <w:pPr>
        <w:ind w:left="6840" w:hanging="360"/>
      </w:pPr>
      <w:rPr>
        <w:rFonts w:ascii="Wingdings" w:hAnsi="Wingdings" w:cs="Wingdings" w:hint="default"/>
      </w:rPr>
    </w:lvl>
  </w:abstractNum>
  <w:abstractNum w:abstractNumId="13" w15:restartNumberingAfterBreak="0">
    <w:nsid w:val="4A376E80"/>
    <w:multiLevelType w:val="hybridMultilevel"/>
    <w:tmpl w:val="9B0EEB9E"/>
    <w:lvl w:ilvl="0" w:tplc="5958162A">
      <w:start w:val="3"/>
      <w:numFmt w:val="bullet"/>
      <w:lvlText w:val="–"/>
      <w:lvlJc w:val="left"/>
      <w:pPr>
        <w:ind w:left="720" w:hanging="360"/>
      </w:pPr>
      <w:rPr>
        <w:rFonts w:ascii="Times New Roman" w:eastAsia="Times New Roman" w:hAnsi="Times New Roman"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cs="Wingdings" w:hint="default"/>
      </w:rPr>
    </w:lvl>
    <w:lvl w:ilvl="3" w:tplc="04260001">
      <w:start w:val="1"/>
      <w:numFmt w:val="bullet"/>
      <w:lvlText w:val=""/>
      <w:lvlJc w:val="left"/>
      <w:pPr>
        <w:ind w:left="2880" w:hanging="360"/>
      </w:pPr>
      <w:rPr>
        <w:rFonts w:ascii="Symbol" w:hAnsi="Symbol" w:cs="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cs="Wingdings" w:hint="default"/>
      </w:rPr>
    </w:lvl>
    <w:lvl w:ilvl="6" w:tplc="04260001">
      <w:start w:val="1"/>
      <w:numFmt w:val="bullet"/>
      <w:lvlText w:val=""/>
      <w:lvlJc w:val="left"/>
      <w:pPr>
        <w:ind w:left="5040" w:hanging="360"/>
      </w:pPr>
      <w:rPr>
        <w:rFonts w:ascii="Symbol" w:hAnsi="Symbol" w:cs="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cs="Wingdings" w:hint="default"/>
      </w:rPr>
    </w:lvl>
  </w:abstractNum>
  <w:abstractNum w:abstractNumId="14" w15:restartNumberingAfterBreak="0">
    <w:nsid w:val="4F8D2785"/>
    <w:multiLevelType w:val="hybridMultilevel"/>
    <w:tmpl w:val="16A2AF02"/>
    <w:lvl w:ilvl="0" w:tplc="04260011">
      <w:start w:val="1"/>
      <w:numFmt w:val="decimal"/>
      <w:lvlText w:val="%1)"/>
      <w:lvlJc w:val="left"/>
      <w:pPr>
        <w:ind w:left="1440" w:hanging="360"/>
      </w:pPr>
    </w:lvl>
    <w:lvl w:ilvl="1" w:tplc="04260019">
      <w:start w:val="1"/>
      <w:numFmt w:val="lowerLetter"/>
      <w:lvlText w:val="%2."/>
      <w:lvlJc w:val="left"/>
      <w:pPr>
        <w:ind w:left="2160" w:hanging="360"/>
      </w:pPr>
    </w:lvl>
    <w:lvl w:ilvl="2" w:tplc="0426001B">
      <w:start w:val="1"/>
      <w:numFmt w:val="lowerRoman"/>
      <w:lvlText w:val="%3."/>
      <w:lvlJc w:val="right"/>
      <w:pPr>
        <w:ind w:left="2880" w:hanging="180"/>
      </w:pPr>
    </w:lvl>
    <w:lvl w:ilvl="3" w:tplc="0426000F">
      <w:start w:val="1"/>
      <w:numFmt w:val="decimal"/>
      <w:lvlText w:val="%4."/>
      <w:lvlJc w:val="left"/>
      <w:pPr>
        <w:ind w:left="3600" w:hanging="360"/>
      </w:pPr>
    </w:lvl>
    <w:lvl w:ilvl="4" w:tplc="04260019">
      <w:start w:val="1"/>
      <w:numFmt w:val="lowerLetter"/>
      <w:lvlText w:val="%5."/>
      <w:lvlJc w:val="left"/>
      <w:pPr>
        <w:ind w:left="4320" w:hanging="360"/>
      </w:pPr>
    </w:lvl>
    <w:lvl w:ilvl="5" w:tplc="0426001B">
      <w:start w:val="1"/>
      <w:numFmt w:val="lowerRoman"/>
      <w:lvlText w:val="%6."/>
      <w:lvlJc w:val="right"/>
      <w:pPr>
        <w:ind w:left="5040" w:hanging="180"/>
      </w:pPr>
    </w:lvl>
    <w:lvl w:ilvl="6" w:tplc="0426000F">
      <w:start w:val="1"/>
      <w:numFmt w:val="decimal"/>
      <w:lvlText w:val="%7."/>
      <w:lvlJc w:val="left"/>
      <w:pPr>
        <w:ind w:left="5760" w:hanging="360"/>
      </w:pPr>
    </w:lvl>
    <w:lvl w:ilvl="7" w:tplc="04260019">
      <w:start w:val="1"/>
      <w:numFmt w:val="lowerLetter"/>
      <w:lvlText w:val="%8."/>
      <w:lvlJc w:val="left"/>
      <w:pPr>
        <w:ind w:left="6480" w:hanging="360"/>
      </w:pPr>
    </w:lvl>
    <w:lvl w:ilvl="8" w:tplc="0426001B">
      <w:start w:val="1"/>
      <w:numFmt w:val="lowerRoman"/>
      <w:lvlText w:val="%9."/>
      <w:lvlJc w:val="right"/>
      <w:pPr>
        <w:ind w:left="7200" w:hanging="180"/>
      </w:pPr>
    </w:lvl>
  </w:abstractNum>
  <w:abstractNum w:abstractNumId="15" w15:restartNumberingAfterBreak="0">
    <w:nsid w:val="513768AE"/>
    <w:multiLevelType w:val="multilevel"/>
    <w:tmpl w:val="626E9A54"/>
    <w:lvl w:ilvl="0">
      <w:start w:val="1"/>
      <w:numFmt w:val="decimal"/>
      <w:lvlRestart w:val="0"/>
      <w:lvlText w:val="%1."/>
      <w:lvlJc w:val="left"/>
      <w:pPr>
        <w:tabs>
          <w:tab w:val="num" w:pos="964"/>
        </w:tabs>
        <w:ind w:left="964" w:hanging="964"/>
      </w:pPr>
    </w:lvl>
    <w:lvl w:ilvl="1">
      <w:start w:val="1"/>
      <w:numFmt w:val="decimal"/>
      <w:lvlText w:val="%1.%2."/>
      <w:lvlJc w:val="left"/>
      <w:pPr>
        <w:tabs>
          <w:tab w:val="num" w:pos="964"/>
        </w:tabs>
        <w:ind w:left="964" w:hanging="964"/>
      </w:pPr>
    </w:lvl>
    <w:lvl w:ilvl="2">
      <w:start w:val="1"/>
      <w:numFmt w:val="decimal"/>
      <w:lvlText w:val="%1.%2.%3."/>
      <w:lvlJc w:val="left"/>
      <w:pPr>
        <w:tabs>
          <w:tab w:val="num" w:pos="964"/>
        </w:tabs>
        <w:ind w:left="964" w:hanging="964"/>
      </w:pPr>
    </w:lvl>
    <w:lvl w:ilvl="3">
      <w:start w:val="1"/>
      <w:numFmt w:val="lowerLetter"/>
      <w:lvlText w:val="(%4)"/>
      <w:lvlJc w:val="left"/>
      <w:pPr>
        <w:tabs>
          <w:tab w:val="num" w:pos="1928"/>
        </w:tabs>
        <w:ind w:left="1928" w:hanging="851"/>
      </w:pPr>
    </w:lvl>
    <w:lvl w:ilvl="4">
      <w:start w:val="1"/>
      <w:numFmt w:val="lowerRoman"/>
      <w:lvlText w:val="(%5)"/>
      <w:lvlJc w:val="left"/>
      <w:pPr>
        <w:tabs>
          <w:tab w:val="num" w:pos="2835"/>
        </w:tabs>
        <w:ind w:left="2835" w:hanging="851"/>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6" w15:restartNumberingAfterBreak="0">
    <w:nsid w:val="51B25C44"/>
    <w:multiLevelType w:val="multilevel"/>
    <w:tmpl w:val="06265DB6"/>
    <w:styleLink w:val="SLONumberings"/>
    <w:lvl w:ilvl="0">
      <w:start w:val="1"/>
      <w:numFmt w:val="decimal"/>
      <w:lvlRestart w:val="0"/>
      <w:lvlText w:val="%1."/>
      <w:lvlJc w:val="left"/>
      <w:pPr>
        <w:tabs>
          <w:tab w:val="num" w:pos="964"/>
        </w:tabs>
        <w:ind w:left="964" w:hanging="964"/>
      </w:pPr>
      <w:rPr>
        <w:rFonts w:hint="default"/>
      </w:rPr>
    </w:lvl>
    <w:lvl w:ilvl="1">
      <w:start w:val="1"/>
      <w:numFmt w:val="decimal"/>
      <w:lvlText w:val="%1.%2."/>
      <w:lvlJc w:val="left"/>
      <w:pPr>
        <w:tabs>
          <w:tab w:val="num" w:pos="964"/>
        </w:tabs>
        <w:ind w:left="964" w:hanging="964"/>
      </w:pPr>
      <w:rPr>
        <w:rFonts w:hint="default"/>
      </w:rPr>
    </w:lvl>
    <w:lvl w:ilvl="2">
      <w:start w:val="1"/>
      <w:numFmt w:val="decimal"/>
      <w:lvlText w:val="%1.%2.%3."/>
      <w:lvlJc w:val="left"/>
      <w:pPr>
        <w:tabs>
          <w:tab w:val="num" w:pos="964"/>
        </w:tabs>
        <w:ind w:left="964" w:hanging="964"/>
      </w:pPr>
      <w:rPr>
        <w:rFonts w:hint="default"/>
      </w:rPr>
    </w:lvl>
    <w:lvl w:ilvl="3">
      <w:start w:val="1"/>
      <w:numFmt w:val="lowerLetter"/>
      <w:lvlText w:val="(%4)"/>
      <w:lvlJc w:val="left"/>
      <w:pPr>
        <w:tabs>
          <w:tab w:val="num" w:pos="1928"/>
        </w:tabs>
        <w:ind w:left="1928" w:hanging="851"/>
      </w:pPr>
      <w:rPr>
        <w:rFonts w:hint="default"/>
      </w:rPr>
    </w:lvl>
    <w:lvl w:ilvl="4">
      <w:start w:val="1"/>
      <w:numFmt w:val="lowerRoman"/>
      <w:lvlText w:val="(%5)"/>
      <w:lvlJc w:val="left"/>
      <w:pPr>
        <w:tabs>
          <w:tab w:val="num" w:pos="2835"/>
        </w:tabs>
        <w:ind w:left="2835" w:hanging="851"/>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7" w15:restartNumberingAfterBreak="0">
    <w:nsid w:val="51FD1E82"/>
    <w:multiLevelType w:val="multilevel"/>
    <w:tmpl w:val="310E6FE6"/>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
      <w:lvlJc w:val="left"/>
      <w:pPr>
        <w:tabs>
          <w:tab w:val="num" w:pos="1440"/>
        </w:tabs>
        <w:ind w:left="1440" w:hanging="360"/>
      </w:pPr>
      <w:rPr>
        <w:rFonts w:ascii="Symbol" w:hAnsi="Symbol" w:cs="Symbol" w:hint="default"/>
        <w:sz w:val="20"/>
        <w:szCs w:val="20"/>
      </w:rPr>
    </w:lvl>
    <w:lvl w:ilvl="2">
      <w:start w:val="1"/>
      <w:numFmt w:val="bullet"/>
      <w:lvlText w:val=""/>
      <w:lvlJc w:val="left"/>
      <w:pPr>
        <w:tabs>
          <w:tab w:val="num" w:pos="2160"/>
        </w:tabs>
        <w:ind w:left="2160" w:hanging="360"/>
      </w:pPr>
      <w:rPr>
        <w:rFonts w:ascii="Symbol" w:hAnsi="Symbol" w:cs="Symbol" w:hint="default"/>
        <w:sz w:val="20"/>
        <w:szCs w:val="20"/>
      </w:rPr>
    </w:lvl>
    <w:lvl w:ilvl="3">
      <w:start w:val="1"/>
      <w:numFmt w:val="bullet"/>
      <w:lvlText w:val=""/>
      <w:lvlJc w:val="left"/>
      <w:pPr>
        <w:tabs>
          <w:tab w:val="num" w:pos="2880"/>
        </w:tabs>
        <w:ind w:left="2880" w:hanging="360"/>
      </w:pPr>
      <w:rPr>
        <w:rFonts w:ascii="Symbol" w:hAnsi="Symbol" w:cs="Symbol" w:hint="default"/>
        <w:sz w:val="20"/>
        <w:szCs w:val="20"/>
      </w:rPr>
    </w:lvl>
    <w:lvl w:ilvl="4">
      <w:start w:val="1"/>
      <w:numFmt w:val="bullet"/>
      <w:lvlText w:val=""/>
      <w:lvlJc w:val="left"/>
      <w:pPr>
        <w:tabs>
          <w:tab w:val="num" w:pos="3600"/>
        </w:tabs>
        <w:ind w:left="3600" w:hanging="360"/>
      </w:pPr>
      <w:rPr>
        <w:rFonts w:ascii="Symbol" w:hAnsi="Symbol" w:cs="Symbol" w:hint="default"/>
        <w:sz w:val="20"/>
        <w:szCs w:val="20"/>
      </w:rPr>
    </w:lvl>
    <w:lvl w:ilvl="5">
      <w:start w:val="1"/>
      <w:numFmt w:val="bullet"/>
      <w:lvlText w:val=""/>
      <w:lvlJc w:val="left"/>
      <w:pPr>
        <w:tabs>
          <w:tab w:val="num" w:pos="4320"/>
        </w:tabs>
        <w:ind w:left="4320" w:hanging="360"/>
      </w:pPr>
      <w:rPr>
        <w:rFonts w:ascii="Symbol" w:hAnsi="Symbol" w:cs="Symbol" w:hint="default"/>
        <w:sz w:val="20"/>
        <w:szCs w:val="20"/>
      </w:rPr>
    </w:lvl>
    <w:lvl w:ilvl="6">
      <w:start w:val="1"/>
      <w:numFmt w:val="bullet"/>
      <w:lvlText w:val=""/>
      <w:lvlJc w:val="left"/>
      <w:pPr>
        <w:tabs>
          <w:tab w:val="num" w:pos="5040"/>
        </w:tabs>
        <w:ind w:left="5040" w:hanging="360"/>
      </w:pPr>
      <w:rPr>
        <w:rFonts w:ascii="Symbol" w:hAnsi="Symbol" w:cs="Symbol" w:hint="default"/>
        <w:sz w:val="20"/>
        <w:szCs w:val="20"/>
      </w:rPr>
    </w:lvl>
    <w:lvl w:ilvl="7">
      <w:start w:val="1"/>
      <w:numFmt w:val="bullet"/>
      <w:lvlText w:val=""/>
      <w:lvlJc w:val="left"/>
      <w:pPr>
        <w:tabs>
          <w:tab w:val="num" w:pos="5760"/>
        </w:tabs>
        <w:ind w:left="5760" w:hanging="360"/>
      </w:pPr>
      <w:rPr>
        <w:rFonts w:ascii="Symbol" w:hAnsi="Symbol" w:cs="Symbol" w:hint="default"/>
        <w:sz w:val="20"/>
        <w:szCs w:val="20"/>
      </w:rPr>
    </w:lvl>
    <w:lvl w:ilvl="8">
      <w:start w:val="1"/>
      <w:numFmt w:val="bullet"/>
      <w:lvlText w:val=""/>
      <w:lvlJc w:val="left"/>
      <w:pPr>
        <w:tabs>
          <w:tab w:val="num" w:pos="6480"/>
        </w:tabs>
        <w:ind w:left="6480" w:hanging="360"/>
      </w:pPr>
      <w:rPr>
        <w:rFonts w:ascii="Symbol" w:hAnsi="Symbol" w:cs="Symbol" w:hint="default"/>
        <w:sz w:val="20"/>
        <w:szCs w:val="20"/>
      </w:rPr>
    </w:lvl>
  </w:abstractNum>
  <w:abstractNum w:abstractNumId="18" w15:restartNumberingAfterBreak="0">
    <w:nsid w:val="578C62A6"/>
    <w:multiLevelType w:val="hybridMultilevel"/>
    <w:tmpl w:val="16A2AF02"/>
    <w:lvl w:ilvl="0" w:tplc="04260011">
      <w:start w:val="1"/>
      <w:numFmt w:val="decimal"/>
      <w:lvlText w:val="%1)"/>
      <w:lvlJc w:val="left"/>
      <w:pPr>
        <w:ind w:left="1440" w:hanging="360"/>
      </w:pPr>
    </w:lvl>
    <w:lvl w:ilvl="1" w:tplc="04260019">
      <w:start w:val="1"/>
      <w:numFmt w:val="lowerLetter"/>
      <w:lvlText w:val="%2."/>
      <w:lvlJc w:val="left"/>
      <w:pPr>
        <w:ind w:left="2160" w:hanging="360"/>
      </w:pPr>
    </w:lvl>
    <w:lvl w:ilvl="2" w:tplc="0426001B">
      <w:start w:val="1"/>
      <w:numFmt w:val="lowerRoman"/>
      <w:lvlText w:val="%3."/>
      <w:lvlJc w:val="right"/>
      <w:pPr>
        <w:ind w:left="2880" w:hanging="180"/>
      </w:pPr>
    </w:lvl>
    <w:lvl w:ilvl="3" w:tplc="0426000F">
      <w:start w:val="1"/>
      <w:numFmt w:val="decimal"/>
      <w:lvlText w:val="%4."/>
      <w:lvlJc w:val="left"/>
      <w:pPr>
        <w:ind w:left="3600" w:hanging="360"/>
      </w:pPr>
    </w:lvl>
    <w:lvl w:ilvl="4" w:tplc="04260019">
      <w:start w:val="1"/>
      <w:numFmt w:val="lowerLetter"/>
      <w:lvlText w:val="%5."/>
      <w:lvlJc w:val="left"/>
      <w:pPr>
        <w:ind w:left="4320" w:hanging="360"/>
      </w:pPr>
    </w:lvl>
    <w:lvl w:ilvl="5" w:tplc="0426001B">
      <w:start w:val="1"/>
      <w:numFmt w:val="lowerRoman"/>
      <w:lvlText w:val="%6."/>
      <w:lvlJc w:val="right"/>
      <w:pPr>
        <w:ind w:left="5040" w:hanging="180"/>
      </w:pPr>
    </w:lvl>
    <w:lvl w:ilvl="6" w:tplc="0426000F">
      <w:start w:val="1"/>
      <w:numFmt w:val="decimal"/>
      <w:lvlText w:val="%7."/>
      <w:lvlJc w:val="left"/>
      <w:pPr>
        <w:ind w:left="5760" w:hanging="360"/>
      </w:pPr>
    </w:lvl>
    <w:lvl w:ilvl="7" w:tplc="04260019">
      <w:start w:val="1"/>
      <w:numFmt w:val="lowerLetter"/>
      <w:lvlText w:val="%8."/>
      <w:lvlJc w:val="left"/>
      <w:pPr>
        <w:ind w:left="6480" w:hanging="360"/>
      </w:pPr>
    </w:lvl>
    <w:lvl w:ilvl="8" w:tplc="0426001B">
      <w:start w:val="1"/>
      <w:numFmt w:val="lowerRoman"/>
      <w:lvlText w:val="%9."/>
      <w:lvlJc w:val="right"/>
      <w:pPr>
        <w:ind w:left="7200" w:hanging="180"/>
      </w:pPr>
    </w:lvl>
  </w:abstractNum>
  <w:abstractNum w:abstractNumId="19" w15:restartNumberingAfterBreak="0">
    <w:nsid w:val="58D82A6B"/>
    <w:multiLevelType w:val="hybridMultilevel"/>
    <w:tmpl w:val="EF9A9984"/>
    <w:lvl w:ilvl="0" w:tplc="13224608">
      <w:start w:val="1"/>
      <w:numFmt w:val="decimal"/>
      <w:lvlText w:val="%1)"/>
      <w:lvlJc w:val="left"/>
      <w:pPr>
        <w:ind w:left="1080" w:hanging="360"/>
      </w:pPr>
      <w:rPr>
        <w:rFonts w:ascii="Tahoma" w:hAnsi="Tahoma" w:cs="Tahoma" w:hint="default"/>
        <w:color w:val="2A2A2A"/>
        <w:sz w:val="17"/>
        <w:szCs w:val="17"/>
      </w:rPr>
    </w:lvl>
    <w:lvl w:ilvl="1" w:tplc="04260019">
      <w:start w:val="1"/>
      <w:numFmt w:val="lowerLetter"/>
      <w:lvlText w:val="%2."/>
      <w:lvlJc w:val="left"/>
      <w:pPr>
        <w:ind w:left="1800" w:hanging="360"/>
      </w:pPr>
    </w:lvl>
    <w:lvl w:ilvl="2" w:tplc="0426001B">
      <w:start w:val="1"/>
      <w:numFmt w:val="lowerRoman"/>
      <w:lvlText w:val="%3."/>
      <w:lvlJc w:val="right"/>
      <w:pPr>
        <w:ind w:left="2520" w:hanging="180"/>
      </w:pPr>
    </w:lvl>
    <w:lvl w:ilvl="3" w:tplc="0426000F">
      <w:start w:val="1"/>
      <w:numFmt w:val="decimal"/>
      <w:lvlText w:val="%4."/>
      <w:lvlJc w:val="left"/>
      <w:pPr>
        <w:ind w:left="3240" w:hanging="360"/>
      </w:pPr>
    </w:lvl>
    <w:lvl w:ilvl="4" w:tplc="04260019">
      <w:start w:val="1"/>
      <w:numFmt w:val="lowerLetter"/>
      <w:lvlText w:val="%5."/>
      <w:lvlJc w:val="left"/>
      <w:pPr>
        <w:ind w:left="3960" w:hanging="360"/>
      </w:pPr>
    </w:lvl>
    <w:lvl w:ilvl="5" w:tplc="0426001B">
      <w:start w:val="1"/>
      <w:numFmt w:val="lowerRoman"/>
      <w:lvlText w:val="%6."/>
      <w:lvlJc w:val="right"/>
      <w:pPr>
        <w:ind w:left="4680" w:hanging="180"/>
      </w:pPr>
    </w:lvl>
    <w:lvl w:ilvl="6" w:tplc="0426000F">
      <w:start w:val="1"/>
      <w:numFmt w:val="decimal"/>
      <w:lvlText w:val="%7."/>
      <w:lvlJc w:val="left"/>
      <w:pPr>
        <w:ind w:left="5400" w:hanging="360"/>
      </w:pPr>
    </w:lvl>
    <w:lvl w:ilvl="7" w:tplc="04260019">
      <w:start w:val="1"/>
      <w:numFmt w:val="lowerLetter"/>
      <w:lvlText w:val="%8."/>
      <w:lvlJc w:val="left"/>
      <w:pPr>
        <w:ind w:left="6120" w:hanging="360"/>
      </w:pPr>
    </w:lvl>
    <w:lvl w:ilvl="8" w:tplc="0426001B">
      <w:start w:val="1"/>
      <w:numFmt w:val="lowerRoman"/>
      <w:lvlText w:val="%9."/>
      <w:lvlJc w:val="right"/>
      <w:pPr>
        <w:ind w:left="6840" w:hanging="180"/>
      </w:pPr>
    </w:lvl>
  </w:abstractNum>
  <w:abstractNum w:abstractNumId="20" w15:restartNumberingAfterBreak="0">
    <w:nsid w:val="5A412D3C"/>
    <w:multiLevelType w:val="hybridMultilevel"/>
    <w:tmpl w:val="16A2AF02"/>
    <w:lvl w:ilvl="0" w:tplc="04260011">
      <w:start w:val="1"/>
      <w:numFmt w:val="decimal"/>
      <w:lvlText w:val="%1)"/>
      <w:lvlJc w:val="left"/>
      <w:pPr>
        <w:ind w:left="1440" w:hanging="360"/>
      </w:pPr>
    </w:lvl>
    <w:lvl w:ilvl="1" w:tplc="04260019">
      <w:start w:val="1"/>
      <w:numFmt w:val="lowerLetter"/>
      <w:lvlText w:val="%2."/>
      <w:lvlJc w:val="left"/>
      <w:pPr>
        <w:ind w:left="2160" w:hanging="360"/>
      </w:pPr>
    </w:lvl>
    <w:lvl w:ilvl="2" w:tplc="0426001B">
      <w:start w:val="1"/>
      <w:numFmt w:val="lowerRoman"/>
      <w:lvlText w:val="%3."/>
      <w:lvlJc w:val="right"/>
      <w:pPr>
        <w:ind w:left="2880" w:hanging="180"/>
      </w:pPr>
    </w:lvl>
    <w:lvl w:ilvl="3" w:tplc="0426000F">
      <w:start w:val="1"/>
      <w:numFmt w:val="decimal"/>
      <w:lvlText w:val="%4."/>
      <w:lvlJc w:val="left"/>
      <w:pPr>
        <w:ind w:left="3600" w:hanging="360"/>
      </w:pPr>
    </w:lvl>
    <w:lvl w:ilvl="4" w:tplc="04260019">
      <w:start w:val="1"/>
      <w:numFmt w:val="lowerLetter"/>
      <w:lvlText w:val="%5."/>
      <w:lvlJc w:val="left"/>
      <w:pPr>
        <w:ind w:left="4320" w:hanging="360"/>
      </w:pPr>
    </w:lvl>
    <w:lvl w:ilvl="5" w:tplc="0426001B">
      <w:start w:val="1"/>
      <w:numFmt w:val="lowerRoman"/>
      <w:lvlText w:val="%6."/>
      <w:lvlJc w:val="right"/>
      <w:pPr>
        <w:ind w:left="5040" w:hanging="180"/>
      </w:pPr>
    </w:lvl>
    <w:lvl w:ilvl="6" w:tplc="0426000F">
      <w:start w:val="1"/>
      <w:numFmt w:val="decimal"/>
      <w:lvlText w:val="%7."/>
      <w:lvlJc w:val="left"/>
      <w:pPr>
        <w:ind w:left="5760" w:hanging="360"/>
      </w:pPr>
    </w:lvl>
    <w:lvl w:ilvl="7" w:tplc="04260019">
      <w:start w:val="1"/>
      <w:numFmt w:val="lowerLetter"/>
      <w:lvlText w:val="%8."/>
      <w:lvlJc w:val="left"/>
      <w:pPr>
        <w:ind w:left="6480" w:hanging="360"/>
      </w:pPr>
    </w:lvl>
    <w:lvl w:ilvl="8" w:tplc="0426001B">
      <w:start w:val="1"/>
      <w:numFmt w:val="lowerRoman"/>
      <w:lvlText w:val="%9."/>
      <w:lvlJc w:val="right"/>
      <w:pPr>
        <w:ind w:left="7200" w:hanging="180"/>
      </w:pPr>
    </w:lvl>
  </w:abstractNum>
  <w:abstractNum w:abstractNumId="21" w15:restartNumberingAfterBreak="0">
    <w:nsid w:val="5D5729E9"/>
    <w:multiLevelType w:val="hybridMultilevel"/>
    <w:tmpl w:val="1360A59E"/>
    <w:lvl w:ilvl="0" w:tplc="2872F096">
      <w:start w:val="1"/>
      <w:numFmt w:val="decimal"/>
      <w:lvlText w:val="%1."/>
      <w:lvlJc w:val="left"/>
      <w:pPr>
        <w:tabs>
          <w:tab w:val="num" w:pos="720"/>
        </w:tabs>
        <w:ind w:left="720" w:hanging="360"/>
      </w:pPr>
    </w:lvl>
    <w:lvl w:ilvl="1" w:tplc="4192143E">
      <w:start w:val="1"/>
      <w:numFmt w:val="decimal"/>
      <w:lvlText w:val="%2."/>
      <w:lvlJc w:val="left"/>
      <w:pPr>
        <w:tabs>
          <w:tab w:val="num" w:pos="1440"/>
        </w:tabs>
        <w:ind w:left="1440" w:hanging="360"/>
      </w:pPr>
    </w:lvl>
    <w:lvl w:ilvl="2" w:tplc="EE84D044">
      <w:start w:val="1"/>
      <w:numFmt w:val="decimal"/>
      <w:lvlText w:val="%3."/>
      <w:lvlJc w:val="left"/>
      <w:pPr>
        <w:tabs>
          <w:tab w:val="num" w:pos="2160"/>
        </w:tabs>
        <w:ind w:left="2160" w:hanging="360"/>
      </w:pPr>
    </w:lvl>
    <w:lvl w:ilvl="3" w:tplc="6068FD90">
      <w:start w:val="1"/>
      <w:numFmt w:val="decimal"/>
      <w:lvlText w:val="%4."/>
      <w:lvlJc w:val="left"/>
      <w:pPr>
        <w:tabs>
          <w:tab w:val="num" w:pos="2880"/>
        </w:tabs>
        <w:ind w:left="2880" w:hanging="360"/>
      </w:pPr>
    </w:lvl>
    <w:lvl w:ilvl="4" w:tplc="3968DC5E">
      <w:start w:val="1"/>
      <w:numFmt w:val="decimal"/>
      <w:lvlText w:val="%5."/>
      <w:lvlJc w:val="left"/>
      <w:pPr>
        <w:tabs>
          <w:tab w:val="num" w:pos="3600"/>
        </w:tabs>
        <w:ind w:left="3600" w:hanging="360"/>
      </w:pPr>
    </w:lvl>
    <w:lvl w:ilvl="5" w:tplc="85B0311E">
      <w:start w:val="1"/>
      <w:numFmt w:val="decimal"/>
      <w:lvlText w:val="%6."/>
      <w:lvlJc w:val="left"/>
      <w:pPr>
        <w:tabs>
          <w:tab w:val="num" w:pos="4320"/>
        </w:tabs>
        <w:ind w:left="4320" w:hanging="360"/>
      </w:pPr>
    </w:lvl>
    <w:lvl w:ilvl="6" w:tplc="CF347FD2">
      <w:start w:val="1"/>
      <w:numFmt w:val="decimal"/>
      <w:lvlText w:val="%7."/>
      <w:lvlJc w:val="left"/>
      <w:pPr>
        <w:tabs>
          <w:tab w:val="num" w:pos="5040"/>
        </w:tabs>
        <w:ind w:left="5040" w:hanging="360"/>
      </w:pPr>
    </w:lvl>
    <w:lvl w:ilvl="7" w:tplc="310038EA">
      <w:start w:val="1"/>
      <w:numFmt w:val="decimal"/>
      <w:lvlText w:val="%8."/>
      <w:lvlJc w:val="left"/>
      <w:pPr>
        <w:tabs>
          <w:tab w:val="num" w:pos="5760"/>
        </w:tabs>
        <w:ind w:left="5760" w:hanging="360"/>
      </w:pPr>
    </w:lvl>
    <w:lvl w:ilvl="8" w:tplc="EF648418">
      <w:start w:val="1"/>
      <w:numFmt w:val="decimal"/>
      <w:lvlText w:val="%9."/>
      <w:lvlJc w:val="left"/>
      <w:pPr>
        <w:tabs>
          <w:tab w:val="num" w:pos="6480"/>
        </w:tabs>
        <w:ind w:left="6480" w:hanging="360"/>
      </w:pPr>
    </w:lvl>
  </w:abstractNum>
  <w:abstractNum w:abstractNumId="22" w15:restartNumberingAfterBreak="0">
    <w:nsid w:val="6E102D29"/>
    <w:multiLevelType w:val="hybridMultilevel"/>
    <w:tmpl w:val="61FC77F8"/>
    <w:lvl w:ilvl="0" w:tplc="E8C6756E">
      <w:start w:val="1"/>
      <w:numFmt w:val="decimal"/>
      <w:lvlText w:val="%1."/>
      <w:lvlJc w:val="left"/>
      <w:pPr>
        <w:ind w:left="1069" w:hanging="360"/>
      </w:pPr>
      <w:rPr>
        <w:rFonts w:hint="default"/>
      </w:rPr>
    </w:lvl>
    <w:lvl w:ilvl="1" w:tplc="04260019">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23" w15:restartNumberingAfterBreak="0">
    <w:nsid w:val="7C86655B"/>
    <w:multiLevelType w:val="hybridMultilevel"/>
    <w:tmpl w:val="4F16946C"/>
    <w:lvl w:ilvl="0" w:tplc="04260011">
      <w:start w:val="1"/>
      <w:numFmt w:val="decimal"/>
      <w:lvlText w:val="%1)"/>
      <w:lvlJc w:val="left"/>
      <w:pPr>
        <w:ind w:left="360" w:hanging="360"/>
      </w:pPr>
    </w:lvl>
    <w:lvl w:ilvl="1" w:tplc="04260019">
      <w:start w:val="1"/>
      <w:numFmt w:val="lowerLetter"/>
      <w:lvlText w:val="%2."/>
      <w:lvlJc w:val="left"/>
      <w:pPr>
        <w:ind w:left="1080" w:hanging="360"/>
      </w:pPr>
    </w:lvl>
    <w:lvl w:ilvl="2" w:tplc="0426001B">
      <w:start w:val="1"/>
      <w:numFmt w:val="lowerRoman"/>
      <w:lvlText w:val="%3."/>
      <w:lvlJc w:val="right"/>
      <w:pPr>
        <w:ind w:left="1800" w:hanging="180"/>
      </w:pPr>
    </w:lvl>
    <w:lvl w:ilvl="3" w:tplc="0426000F">
      <w:start w:val="1"/>
      <w:numFmt w:val="decimal"/>
      <w:lvlText w:val="%4."/>
      <w:lvlJc w:val="left"/>
      <w:pPr>
        <w:ind w:left="2520" w:hanging="360"/>
      </w:pPr>
    </w:lvl>
    <w:lvl w:ilvl="4" w:tplc="04260019">
      <w:start w:val="1"/>
      <w:numFmt w:val="lowerLetter"/>
      <w:lvlText w:val="%5."/>
      <w:lvlJc w:val="left"/>
      <w:pPr>
        <w:ind w:left="3240" w:hanging="360"/>
      </w:pPr>
    </w:lvl>
    <w:lvl w:ilvl="5" w:tplc="0426001B">
      <w:start w:val="1"/>
      <w:numFmt w:val="lowerRoman"/>
      <w:lvlText w:val="%6."/>
      <w:lvlJc w:val="right"/>
      <w:pPr>
        <w:ind w:left="3960" w:hanging="180"/>
      </w:pPr>
    </w:lvl>
    <w:lvl w:ilvl="6" w:tplc="0426000F">
      <w:start w:val="1"/>
      <w:numFmt w:val="decimal"/>
      <w:lvlText w:val="%7."/>
      <w:lvlJc w:val="left"/>
      <w:pPr>
        <w:ind w:left="4680" w:hanging="360"/>
      </w:pPr>
    </w:lvl>
    <w:lvl w:ilvl="7" w:tplc="04260019">
      <w:start w:val="1"/>
      <w:numFmt w:val="lowerLetter"/>
      <w:lvlText w:val="%8."/>
      <w:lvlJc w:val="left"/>
      <w:pPr>
        <w:ind w:left="5400" w:hanging="360"/>
      </w:pPr>
    </w:lvl>
    <w:lvl w:ilvl="8" w:tplc="0426001B">
      <w:start w:val="1"/>
      <w:numFmt w:val="lowerRoman"/>
      <w:lvlText w:val="%9."/>
      <w:lvlJc w:val="right"/>
      <w:pPr>
        <w:ind w:left="6120" w:hanging="180"/>
      </w:pPr>
    </w:lvl>
  </w:abstractNum>
  <w:num w:numId="1">
    <w:abstractNumId w:val="9"/>
  </w:num>
  <w:num w:numId="2">
    <w:abstractNumId w:val="8"/>
  </w:num>
  <w:num w:numId="3">
    <w:abstractNumId w:val="11"/>
  </w:num>
  <w:num w:numId="4">
    <w:abstractNumId w:val="16"/>
  </w:num>
  <w:num w:numId="5">
    <w:abstractNumId w:val="11"/>
  </w:num>
  <w:num w:numId="6">
    <w:abstractNumId w:val="11"/>
  </w:num>
  <w:num w:numId="7">
    <w:abstractNumId w:val="11"/>
  </w:num>
  <w:num w:numId="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1"/>
  </w:num>
  <w:num w:numId="1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9"/>
  </w:num>
  <w:num w:numId="12">
    <w:abstractNumId w:val="3"/>
  </w:num>
  <w:num w:numId="13">
    <w:abstractNumId w:val="5"/>
  </w:num>
  <w:num w:numId="14">
    <w:abstractNumId w:val="6"/>
  </w:num>
  <w:num w:numId="15">
    <w:abstractNumId w:val="23"/>
  </w:num>
  <w:num w:numId="16">
    <w:abstractNumId w:val="7"/>
  </w:num>
  <w:num w:numId="17">
    <w:abstractNumId w:val="0"/>
  </w:num>
  <w:num w:numId="18">
    <w:abstractNumId w:val="15"/>
  </w:num>
  <w:num w:numId="1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4"/>
  </w:num>
  <w:num w:numId="21">
    <w:abstractNumId w:val="12"/>
  </w:num>
  <w:num w:numId="22">
    <w:abstractNumId w:val="13"/>
  </w:num>
  <w:num w:numId="23">
    <w:abstractNumId w:val="10"/>
  </w:num>
  <w:num w:numId="24">
    <w:abstractNumId w:val="1"/>
  </w:num>
  <w:num w:numId="25">
    <w:abstractNumId w:val="4"/>
  </w:num>
  <w:num w:numId="26">
    <w:abstractNumId w:val="17"/>
  </w:num>
  <w:num w:numId="27">
    <w:abstractNumId w:val="21"/>
  </w:num>
  <w:num w:numId="28">
    <w:abstractNumId w:val="20"/>
  </w:num>
  <w:num w:numId="29">
    <w:abstractNumId w:val="18"/>
  </w:num>
  <w:num w:numId="30">
    <w:abstractNumId w:val="2"/>
  </w:num>
  <w:num w:numId="31">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doNotTrackMoves/>
  <w:defaultTabStop w:val="720"/>
  <w:doNotHyphenateCaps/>
  <w:drawingGridHorizontalSpacing w:val="120"/>
  <w:displayHorizontalDrawingGridEvery w:val="2"/>
  <w:characterSpacingControl w:val="doNotCompress"/>
  <w:doNotValidateAgainstSchema/>
  <w:doNotDemarcateInvalidXml/>
  <w:hdrShapeDefaults>
    <o:shapedefaults v:ext="edit" spidmax="21505"/>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396506"/>
    <w:rsid w:val="00000455"/>
    <w:rsid w:val="00000AF1"/>
    <w:rsid w:val="00004548"/>
    <w:rsid w:val="00004E44"/>
    <w:rsid w:val="00014600"/>
    <w:rsid w:val="000154C5"/>
    <w:rsid w:val="00017378"/>
    <w:rsid w:val="00020A2A"/>
    <w:rsid w:val="00020B64"/>
    <w:rsid w:val="00021988"/>
    <w:rsid w:val="00021F3E"/>
    <w:rsid w:val="00023677"/>
    <w:rsid w:val="000260F4"/>
    <w:rsid w:val="000267B0"/>
    <w:rsid w:val="00031AE9"/>
    <w:rsid w:val="00033BD6"/>
    <w:rsid w:val="00034525"/>
    <w:rsid w:val="00034591"/>
    <w:rsid w:val="00034FCF"/>
    <w:rsid w:val="000368AE"/>
    <w:rsid w:val="00044169"/>
    <w:rsid w:val="00045895"/>
    <w:rsid w:val="000458F2"/>
    <w:rsid w:val="000509A4"/>
    <w:rsid w:val="00050E22"/>
    <w:rsid w:val="00051BB1"/>
    <w:rsid w:val="00051F06"/>
    <w:rsid w:val="00057291"/>
    <w:rsid w:val="000600DC"/>
    <w:rsid w:val="00060CD9"/>
    <w:rsid w:val="000615FA"/>
    <w:rsid w:val="00063653"/>
    <w:rsid w:val="00063F69"/>
    <w:rsid w:val="00064F10"/>
    <w:rsid w:val="00065FDF"/>
    <w:rsid w:val="00066BDC"/>
    <w:rsid w:val="00067296"/>
    <w:rsid w:val="000703C1"/>
    <w:rsid w:val="0007085F"/>
    <w:rsid w:val="000715BB"/>
    <w:rsid w:val="00072BD1"/>
    <w:rsid w:val="00073BC6"/>
    <w:rsid w:val="00077243"/>
    <w:rsid w:val="00077892"/>
    <w:rsid w:val="00080B0F"/>
    <w:rsid w:val="00081162"/>
    <w:rsid w:val="000815C4"/>
    <w:rsid w:val="000859B4"/>
    <w:rsid w:val="00085EDA"/>
    <w:rsid w:val="00090E1B"/>
    <w:rsid w:val="0009608C"/>
    <w:rsid w:val="000A02CE"/>
    <w:rsid w:val="000A158D"/>
    <w:rsid w:val="000A260F"/>
    <w:rsid w:val="000A2F88"/>
    <w:rsid w:val="000A3AC6"/>
    <w:rsid w:val="000A3EB8"/>
    <w:rsid w:val="000A6395"/>
    <w:rsid w:val="000A68A3"/>
    <w:rsid w:val="000B0EB3"/>
    <w:rsid w:val="000B179B"/>
    <w:rsid w:val="000B3E00"/>
    <w:rsid w:val="000B4A3A"/>
    <w:rsid w:val="000B580C"/>
    <w:rsid w:val="000B6BA4"/>
    <w:rsid w:val="000C30DF"/>
    <w:rsid w:val="000C544D"/>
    <w:rsid w:val="000C627F"/>
    <w:rsid w:val="000C768E"/>
    <w:rsid w:val="000C7988"/>
    <w:rsid w:val="000C7C5B"/>
    <w:rsid w:val="000D1A7A"/>
    <w:rsid w:val="000D21A0"/>
    <w:rsid w:val="000D5ED5"/>
    <w:rsid w:val="000D7046"/>
    <w:rsid w:val="000D7777"/>
    <w:rsid w:val="000E04F9"/>
    <w:rsid w:val="000E3149"/>
    <w:rsid w:val="000E4E58"/>
    <w:rsid w:val="000E53D3"/>
    <w:rsid w:val="000E570B"/>
    <w:rsid w:val="000E5ABC"/>
    <w:rsid w:val="000E5FCA"/>
    <w:rsid w:val="000E745C"/>
    <w:rsid w:val="000E7743"/>
    <w:rsid w:val="000E787D"/>
    <w:rsid w:val="000F03D6"/>
    <w:rsid w:val="000F0401"/>
    <w:rsid w:val="000F16CA"/>
    <w:rsid w:val="000F1BC2"/>
    <w:rsid w:val="000F1BED"/>
    <w:rsid w:val="000F1F50"/>
    <w:rsid w:val="000F444C"/>
    <w:rsid w:val="0010143A"/>
    <w:rsid w:val="0010172B"/>
    <w:rsid w:val="0010180D"/>
    <w:rsid w:val="00101EE2"/>
    <w:rsid w:val="00103F6D"/>
    <w:rsid w:val="00104D3E"/>
    <w:rsid w:val="00107602"/>
    <w:rsid w:val="00110F97"/>
    <w:rsid w:val="00113397"/>
    <w:rsid w:val="001155FA"/>
    <w:rsid w:val="00115FE2"/>
    <w:rsid w:val="0011726E"/>
    <w:rsid w:val="001200A8"/>
    <w:rsid w:val="00121BB8"/>
    <w:rsid w:val="00126054"/>
    <w:rsid w:val="00126140"/>
    <w:rsid w:val="00126D11"/>
    <w:rsid w:val="001312FC"/>
    <w:rsid w:val="00133D5F"/>
    <w:rsid w:val="00135D96"/>
    <w:rsid w:val="00141963"/>
    <w:rsid w:val="00145E0B"/>
    <w:rsid w:val="001464CA"/>
    <w:rsid w:val="00147E75"/>
    <w:rsid w:val="0015687B"/>
    <w:rsid w:val="00163C8B"/>
    <w:rsid w:val="00164BD9"/>
    <w:rsid w:val="00165396"/>
    <w:rsid w:val="00171B69"/>
    <w:rsid w:val="00171C6A"/>
    <w:rsid w:val="00173B7A"/>
    <w:rsid w:val="001749D8"/>
    <w:rsid w:val="001756CE"/>
    <w:rsid w:val="00177C6C"/>
    <w:rsid w:val="001812CC"/>
    <w:rsid w:val="001812EC"/>
    <w:rsid w:val="001831F7"/>
    <w:rsid w:val="001839FC"/>
    <w:rsid w:val="00184B37"/>
    <w:rsid w:val="00184DC7"/>
    <w:rsid w:val="00185831"/>
    <w:rsid w:val="00191195"/>
    <w:rsid w:val="001922A9"/>
    <w:rsid w:val="00192686"/>
    <w:rsid w:val="0019399C"/>
    <w:rsid w:val="00193A46"/>
    <w:rsid w:val="001946FF"/>
    <w:rsid w:val="001963CA"/>
    <w:rsid w:val="001967B5"/>
    <w:rsid w:val="00196ACD"/>
    <w:rsid w:val="001A04ED"/>
    <w:rsid w:val="001A0E94"/>
    <w:rsid w:val="001A19DF"/>
    <w:rsid w:val="001A24BE"/>
    <w:rsid w:val="001A2D4E"/>
    <w:rsid w:val="001A37DD"/>
    <w:rsid w:val="001A3DD9"/>
    <w:rsid w:val="001A4A5E"/>
    <w:rsid w:val="001A7CD6"/>
    <w:rsid w:val="001B14D9"/>
    <w:rsid w:val="001B28BC"/>
    <w:rsid w:val="001B2C2C"/>
    <w:rsid w:val="001B321D"/>
    <w:rsid w:val="001B44AD"/>
    <w:rsid w:val="001B4C67"/>
    <w:rsid w:val="001B6214"/>
    <w:rsid w:val="001C3121"/>
    <w:rsid w:val="001C4539"/>
    <w:rsid w:val="001C4FD8"/>
    <w:rsid w:val="001C57FA"/>
    <w:rsid w:val="001D0C17"/>
    <w:rsid w:val="001D2070"/>
    <w:rsid w:val="001D427C"/>
    <w:rsid w:val="001D66F1"/>
    <w:rsid w:val="001D77ED"/>
    <w:rsid w:val="001E0413"/>
    <w:rsid w:val="001E0982"/>
    <w:rsid w:val="001E137F"/>
    <w:rsid w:val="001E1921"/>
    <w:rsid w:val="001E1AFC"/>
    <w:rsid w:val="001F0569"/>
    <w:rsid w:val="001F185E"/>
    <w:rsid w:val="001F4AB6"/>
    <w:rsid w:val="001F4EDA"/>
    <w:rsid w:val="001F5AFE"/>
    <w:rsid w:val="001F72B0"/>
    <w:rsid w:val="001F745F"/>
    <w:rsid w:val="00200D86"/>
    <w:rsid w:val="0020162E"/>
    <w:rsid w:val="0020206E"/>
    <w:rsid w:val="002047FC"/>
    <w:rsid w:val="00206411"/>
    <w:rsid w:val="00207E9C"/>
    <w:rsid w:val="002115F0"/>
    <w:rsid w:val="00212E79"/>
    <w:rsid w:val="00213EC1"/>
    <w:rsid w:val="00213FD0"/>
    <w:rsid w:val="002152F7"/>
    <w:rsid w:val="00221596"/>
    <w:rsid w:val="00222612"/>
    <w:rsid w:val="00225337"/>
    <w:rsid w:val="002264D8"/>
    <w:rsid w:val="002275EC"/>
    <w:rsid w:val="00227C40"/>
    <w:rsid w:val="00232B60"/>
    <w:rsid w:val="0023374B"/>
    <w:rsid w:val="002343AD"/>
    <w:rsid w:val="002357F5"/>
    <w:rsid w:val="00235F75"/>
    <w:rsid w:val="00237C5A"/>
    <w:rsid w:val="00242E0E"/>
    <w:rsid w:val="002434F0"/>
    <w:rsid w:val="00244B3E"/>
    <w:rsid w:val="00246D4D"/>
    <w:rsid w:val="00247557"/>
    <w:rsid w:val="00247B75"/>
    <w:rsid w:val="00250131"/>
    <w:rsid w:val="00254512"/>
    <w:rsid w:val="0026000A"/>
    <w:rsid w:val="00260DC9"/>
    <w:rsid w:val="00262F35"/>
    <w:rsid w:val="002649B6"/>
    <w:rsid w:val="00265925"/>
    <w:rsid w:val="00265D63"/>
    <w:rsid w:val="00266C3A"/>
    <w:rsid w:val="00266DD6"/>
    <w:rsid w:val="002676B2"/>
    <w:rsid w:val="00267732"/>
    <w:rsid w:val="002710BB"/>
    <w:rsid w:val="00271A68"/>
    <w:rsid w:val="00272382"/>
    <w:rsid w:val="00273278"/>
    <w:rsid w:val="002740D2"/>
    <w:rsid w:val="002750B9"/>
    <w:rsid w:val="00276E63"/>
    <w:rsid w:val="00283DAA"/>
    <w:rsid w:val="00286970"/>
    <w:rsid w:val="00290526"/>
    <w:rsid w:val="00292C04"/>
    <w:rsid w:val="00294F9E"/>
    <w:rsid w:val="00295A03"/>
    <w:rsid w:val="00297446"/>
    <w:rsid w:val="002A0C29"/>
    <w:rsid w:val="002A1C00"/>
    <w:rsid w:val="002A3E80"/>
    <w:rsid w:val="002A41BC"/>
    <w:rsid w:val="002A4738"/>
    <w:rsid w:val="002A4DE4"/>
    <w:rsid w:val="002A5A7C"/>
    <w:rsid w:val="002A5AEC"/>
    <w:rsid w:val="002A5CB8"/>
    <w:rsid w:val="002A6446"/>
    <w:rsid w:val="002A6491"/>
    <w:rsid w:val="002A6DDA"/>
    <w:rsid w:val="002A7139"/>
    <w:rsid w:val="002A73F5"/>
    <w:rsid w:val="002B0FD2"/>
    <w:rsid w:val="002B1913"/>
    <w:rsid w:val="002B3CDA"/>
    <w:rsid w:val="002B4720"/>
    <w:rsid w:val="002B55B1"/>
    <w:rsid w:val="002B6320"/>
    <w:rsid w:val="002B6543"/>
    <w:rsid w:val="002B75B3"/>
    <w:rsid w:val="002C1C0B"/>
    <w:rsid w:val="002C2A72"/>
    <w:rsid w:val="002C2CB7"/>
    <w:rsid w:val="002C2D1A"/>
    <w:rsid w:val="002C4514"/>
    <w:rsid w:val="002C4905"/>
    <w:rsid w:val="002C5924"/>
    <w:rsid w:val="002C6175"/>
    <w:rsid w:val="002D056E"/>
    <w:rsid w:val="002D2100"/>
    <w:rsid w:val="002D2A0C"/>
    <w:rsid w:val="002D2E47"/>
    <w:rsid w:val="002D7EB0"/>
    <w:rsid w:val="002E02E8"/>
    <w:rsid w:val="002E2104"/>
    <w:rsid w:val="002E32C2"/>
    <w:rsid w:val="002E385B"/>
    <w:rsid w:val="002E5998"/>
    <w:rsid w:val="002E7108"/>
    <w:rsid w:val="002F014A"/>
    <w:rsid w:val="002F04FB"/>
    <w:rsid w:val="002F2E4C"/>
    <w:rsid w:val="002F2FB3"/>
    <w:rsid w:val="002F6E8F"/>
    <w:rsid w:val="00300845"/>
    <w:rsid w:val="00300AE8"/>
    <w:rsid w:val="00301819"/>
    <w:rsid w:val="00301CB0"/>
    <w:rsid w:val="00303A0B"/>
    <w:rsid w:val="0030657A"/>
    <w:rsid w:val="003067C6"/>
    <w:rsid w:val="0031083A"/>
    <w:rsid w:val="00311D71"/>
    <w:rsid w:val="00312DDF"/>
    <w:rsid w:val="00313042"/>
    <w:rsid w:val="00313E6A"/>
    <w:rsid w:val="00315000"/>
    <w:rsid w:val="003154DF"/>
    <w:rsid w:val="0032175E"/>
    <w:rsid w:val="003238F0"/>
    <w:rsid w:val="00325411"/>
    <w:rsid w:val="00330C27"/>
    <w:rsid w:val="0033254D"/>
    <w:rsid w:val="003335DC"/>
    <w:rsid w:val="00336AD6"/>
    <w:rsid w:val="00340126"/>
    <w:rsid w:val="003407AC"/>
    <w:rsid w:val="0034112E"/>
    <w:rsid w:val="00344281"/>
    <w:rsid w:val="00344586"/>
    <w:rsid w:val="0034607F"/>
    <w:rsid w:val="00351CAE"/>
    <w:rsid w:val="00352329"/>
    <w:rsid w:val="00352A05"/>
    <w:rsid w:val="00356171"/>
    <w:rsid w:val="00360D2E"/>
    <w:rsid w:val="003678E8"/>
    <w:rsid w:val="0037088E"/>
    <w:rsid w:val="00370EBC"/>
    <w:rsid w:val="003711C6"/>
    <w:rsid w:val="00373859"/>
    <w:rsid w:val="00373B51"/>
    <w:rsid w:val="00373EA7"/>
    <w:rsid w:val="0037424C"/>
    <w:rsid w:val="00375F12"/>
    <w:rsid w:val="00377DC0"/>
    <w:rsid w:val="00377DCA"/>
    <w:rsid w:val="00380B63"/>
    <w:rsid w:val="0038166E"/>
    <w:rsid w:val="00382151"/>
    <w:rsid w:val="003823C8"/>
    <w:rsid w:val="003823F4"/>
    <w:rsid w:val="00383454"/>
    <w:rsid w:val="003851D6"/>
    <w:rsid w:val="003852B4"/>
    <w:rsid w:val="00385F7C"/>
    <w:rsid w:val="00391331"/>
    <w:rsid w:val="00393264"/>
    <w:rsid w:val="00394B98"/>
    <w:rsid w:val="00395034"/>
    <w:rsid w:val="00395EAC"/>
    <w:rsid w:val="00395FE3"/>
    <w:rsid w:val="00396506"/>
    <w:rsid w:val="003966D2"/>
    <w:rsid w:val="00396A2E"/>
    <w:rsid w:val="003A0D65"/>
    <w:rsid w:val="003A19A1"/>
    <w:rsid w:val="003A346F"/>
    <w:rsid w:val="003A467B"/>
    <w:rsid w:val="003A4879"/>
    <w:rsid w:val="003A5214"/>
    <w:rsid w:val="003A5CC4"/>
    <w:rsid w:val="003B19A5"/>
    <w:rsid w:val="003B28C9"/>
    <w:rsid w:val="003B2A4F"/>
    <w:rsid w:val="003C1A8C"/>
    <w:rsid w:val="003C2025"/>
    <w:rsid w:val="003C2848"/>
    <w:rsid w:val="003C561F"/>
    <w:rsid w:val="003C61BA"/>
    <w:rsid w:val="003C69AF"/>
    <w:rsid w:val="003C71DB"/>
    <w:rsid w:val="003C7D5C"/>
    <w:rsid w:val="003D158E"/>
    <w:rsid w:val="003D1A1D"/>
    <w:rsid w:val="003D258C"/>
    <w:rsid w:val="003D3411"/>
    <w:rsid w:val="003D4F49"/>
    <w:rsid w:val="003D6396"/>
    <w:rsid w:val="003D6750"/>
    <w:rsid w:val="003D7722"/>
    <w:rsid w:val="003E0D89"/>
    <w:rsid w:val="003E1918"/>
    <w:rsid w:val="003E1CD2"/>
    <w:rsid w:val="003E2304"/>
    <w:rsid w:val="003E36BC"/>
    <w:rsid w:val="003E3882"/>
    <w:rsid w:val="003E4BEE"/>
    <w:rsid w:val="003E5AC4"/>
    <w:rsid w:val="003E654E"/>
    <w:rsid w:val="003E695A"/>
    <w:rsid w:val="003E7C69"/>
    <w:rsid w:val="003F05F1"/>
    <w:rsid w:val="003F20B1"/>
    <w:rsid w:val="003F3229"/>
    <w:rsid w:val="003F3C9E"/>
    <w:rsid w:val="003F4982"/>
    <w:rsid w:val="003F4A60"/>
    <w:rsid w:val="003F78BF"/>
    <w:rsid w:val="004011D4"/>
    <w:rsid w:val="00402414"/>
    <w:rsid w:val="00402890"/>
    <w:rsid w:val="004034CB"/>
    <w:rsid w:val="0040425F"/>
    <w:rsid w:val="004047FF"/>
    <w:rsid w:val="00404F33"/>
    <w:rsid w:val="00406606"/>
    <w:rsid w:val="0040779B"/>
    <w:rsid w:val="00407C5A"/>
    <w:rsid w:val="004101E3"/>
    <w:rsid w:val="004116A7"/>
    <w:rsid w:val="004117AD"/>
    <w:rsid w:val="00411D1B"/>
    <w:rsid w:val="00417755"/>
    <w:rsid w:val="00417DD9"/>
    <w:rsid w:val="00420FB0"/>
    <w:rsid w:val="00423635"/>
    <w:rsid w:val="004236C6"/>
    <w:rsid w:val="0042399F"/>
    <w:rsid w:val="00424659"/>
    <w:rsid w:val="00424739"/>
    <w:rsid w:val="00427AB4"/>
    <w:rsid w:val="004301E0"/>
    <w:rsid w:val="00430A3F"/>
    <w:rsid w:val="00430DC2"/>
    <w:rsid w:val="00431B6B"/>
    <w:rsid w:val="004329BE"/>
    <w:rsid w:val="00433580"/>
    <w:rsid w:val="0043484F"/>
    <w:rsid w:val="00434E0E"/>
    <w:rsid w:val="00435DC7"/>
    <w:rsid w:val="00436F89"/>
    <w:rsid w:val="004373FB"/>
    <w:rsid w:val="00440D75"/>
    <w:rsid w:val="00442096"/>
    <w:rsid w:val="004421A5"/>
    <w:rsid w:val="00443551"/>
    <w:rsid w:val="00445CD6"/>
    <w:rsid w:val="004530A2"/>
    <w:rsid w:val="004539F7"/>
    <w:rsid w:val="00454432"/>
    <w:rsid w:val="004572DA"/>
    <w:rsid w:val="00460B17"/>
    <w:rsid w:val="00462372"/>
    <w:rsid w:val="00462D76"/>
    <w:rsid w:val="0046305D"/>
    <w:rsid w:val="0046474A"/>
    <w:rsid w:val="00464F4B"/>
    <w:rsid w:val="0047045E"/>
    <w:rsid w:val="00471EC8"/>
    <w:rsid w:val="004723BD"/>
    <w:rsid w:val="00472BA5"/>
    <w:rsid w:val="00473842"/>
    <w:rsid w:val="004752A1"/>
    <w:rsid w:val="0047717F"/>
    <w:rsid w:val="00477509"/>
    <w:rsid w:val="004775B1"/>
    <w:rsid w:val="00477821"/>
    <w:rsid w:val="004808C2"/>
    <w:rsid w:val="00483DF6"/>
    <w:rsid w:val="00484643"/>
    <w:rsid w:val="00484688"/>
    <w:rsid w:val="00484EB6"/>
    <w:rsid w:val="004864A1"/>
    <w:rsid w:val="004922AA"/>
    <w:rsid w:val="004956F2"/>
    <w:rsid w:val="00496A88"/>
    <w:rsid w:val="00496EC2"/>
    <w:rsid w:val="0049776D"/>
    <w:rsid w:val="004A1D5B"/>
    <w:rsid w:val="004A1D9F"/>
    <w:rsid w:val="004A2658"/>
    <w:rsid w:val="004A3E2C"/>
    <w:rsid w:val="004A4094"/>
    <w:rsid w:val="004A4BC7"/>
    <w:rsid w:val="004A63C7"/>
    <w:rsid w:val="004A699D"/>
    <w:rsid w:val="004B1FF4"/>
    <w:rsid w:val="004B5085"/>
    <w:rsid w:val="004B52C1"/>
    <w:rsid w:val="004B69BD"/>
    <w:rsid w:val="004B73BE"/>
    <w:rsid w:val="004C2FCF"/>
    <w:rsid w:val="004C3264"/>
    <w:rsid w:val="004C5644"/>
    <w:rsid w:val="004C680C"/>
    <w:rsid w:val="004C728F"/>
    <w:rsid w:val="004D1953"/>
    <w:rsid w:val="004D3BCC"/>
    <w:rsid w:val="004D432E"/>
    <w:rsid w:val="004D62D0"/>
    <w:rsid w:val="004D7A28"/>
    <w:rsid w:val="004E082E"/>
    <w:rsid w:val="004E6724"/>
    <w:rsid w:val="004E7EA4"/>
    <w:rsid w:val="004E7ECF"/>
    <w:rsid w:val="004F0A0B"/>
    <w:rsid w:val="004F160E"/>
    <w:rsid w:val="004F38A9"/>
    <w:rsid w:val="004F5C64"/>
    <w:rsid w:val="004F671E"/>
    <w:rsid w:val="004F6AEB"/>
    <w:rsid w:val="004F6C73"/>
    <w:rsid w:val="00500A0A"/>
    <w:rsid w:val="00502C6D"/>
    <w:rsid w:val="00507589"/>
    <w:rsid w:val="0051044C"/>
    <w:rsid w:val="00511799"/>
    <w:rsid w:val="005117F5"/>
    <w:rsid w:val="00511910"/>
    <w:rsid w:val="00511FE7"/>
    <w:rsid w:val="005155E0"/>
    <w:rsid w:val="00517E25"/>
    <w:rsid w:val="0052014E"/>
    <w:rsid w:val="00520D37"/>
    <w:rsid w:val="00520F0E"/>
    <w:rsid w:val="0052439C"/>
    <w:rsid w:val="00525429"/>
    <w:rsid w:val="005278A5"/>
    <w:rsid w:val="005278B0"/>
    <w:rsid w:val="00531A6E"/>
    <w:rsid w:val="00532E53"/>
    <w:rsid w:val="0053367E"/>
    <w:rsid w:val="00533DA8"/>
    <w:rsid w:val="00536C4B"/>
    <w:rsid w:val="00537031"/>
    <w:rsid w:val="00537222"/>
    <w:rsid w:val="005373F1"/>
    <w:rsid w:val="00541E16"/>
    <w:rsid w:val="00542A67"/>
    <w:rsid w:val="00543079"/>
    <w:rsid w:val="0054482D"/>
    <w:rsid w:val="00544FA5"/>
    <w:rsid w:val="00551D22"/>
    <w:rsid w:val="0055468E"/>
    <w:rsid w:val="00555462"/>
    <w:rsid w:val="005566B9"/>
    <w:rsid w:val="00560419"/>
    <w:rsid w:val="005604FA"/>
    <w:rsid w:val="005652A0"/>
    <w:rsid w:val="005664B9"/>
    <w:rsid w:val="00566777"/>
    <w:rsid w:val="005670F3"/>
    <w:rsid w:val="00572233"/>
    <w:rsid w:val="00572D40"/>
    <w:rsid w:val="0057517F"/>
    <w:rsid w:val="00575536"/>
    <w:rsid w:val="0057583D"/>
    <w:rsid w:val="00576841"/>
    <w:rsid w:val="00576D4B"/>
    <w:rsid w:val="0058189F"/>
    <w:rsid w:val="005825E4"/>
    <w:rsid w:val="005851D0"/>
    <w:rsid w:val="00586080"/>
    <w:rsid w:val="00586F9B"/>
    <w:rsid w:val="005914D3"/>
    <w:rsid w:val="00592920"/>
    <w:rsid w:val="005935C5"/>
    <w:rsid w:val="00594F63"/>
    <w:rsid w:val="00597E41"/>
    <w:rsid w:val="005A0D64"/>
    <w:rsid w:val="005A2FD5"/>
    <w:rsid w:val="005A414F"/>
    <w:rsid w:val="005A4230"/>
    <w:rsid w:val="005A5276"/>
    <w:rsid w:val="005A5323"/>
    <w:rsid w:val="005A6672"/>
    <w:rsid w:val="005B0CBB"/>
    <w:rsid w:val="005B0CDB"/>
    <w:rsid w:val="005B352E"/>
    <w:rsid w:val="005B3DAB"/>
    <w:rsid w:val="005B4195"/>
    <w:rsid w:val="005B4FF0"/>
    <w:rsid w:val="005B6558"/>
    <w:rsid w:val="005B6B15"/>
    <w:rsid w:val="005C20D0"/>
    <w:rsid w:val="005C5D3E"/>
    <w:rsid w:val="005C6BAC"/>
    <w:rsid w:val="005C7128"/>
    <w:rsid w:val="005C71E1"/>
    <w:rsid w:val="005D1602"/>
    <w:rsid w:val="005D35CF"/>
    <w:rsid w:val="005D425E"/>
    <w:rsid w:val="005D5C26"/>
    <w:rsid w:val="005D5EEE"/>
    <w:rsid w:val="005D64CA"/>
    <w:rsid w:val="005E0C21"/>
    <w:rsid w:val="005E0E43"/>
    <w:rsid w:val="005E2BB2"/>
    <w:rsid w:val="005E3EF9"/>
    <w:rsid w:val="005E5006"/>
    <w:rsid w:val="005E52E0"/>
    <w:rsid w:val="005E66D6"/>
    <w:rsid w:val="005F3362"/>
    <w:rsid w:val="005F3383"/>
    <w:rsid w:val="005F42C6"/>
    <w:rsid w:val="005F7414"/>
    <w:rsid w:val="00612625"/>
    <w:rsid w:val="00612846"/>
    <w:rsid w:val="006146AB"/>
    <w:rsid w:val="00614AB5"/>
    <w:rsid w:val="00614DF2"/>
    <w:rsid w:val="006160B5"/>
    <w:rsid w:val="00617461"/>
    <w:rsid w:val="00621159"/>
    <w:rsid w:val="00621491"/>
    <w:rsid w:val="006216DB"/>
    <w:rsid w:val="006223F3"/>
    <w:rsid w:val="00623F32"/>
    <w:rsid w:val="0062442B"/>
    <w:rsid w:val="00625526"/>
    <w:rsid w:val="00626924"/>
    <w:rsid w:val="00637A7D"/>
    <w:rsid w:val="00641362"/>
    <w:rsid w:val="006425BB"/>
    <w:rsid w:val="0064370D"/>
    <w:rsid w:val="006449F6"/>
    <w:rsid w:val="00645056"/>
    <w:rsid w:val="00647541"/>
    <w:rsid w:val="00655D9B"/>
    <w:rsid w:val="00661058"/>
    <w:rsid w:val="0066156F"/>
    <w:rsid w:val="006620F8"/>
    <w:rsid w:val="00662700"/>
    <w:rsid w:val="006637AC"/>
    <w:rsid w:val="00664412"/>
    <w:rsid w:val="00665C75"/>
    <w:rsid w:val="00671158"/>
    <w:rsid w:val="0067230F"/>
    <w:rsid w:val="00676B1D"/>
    <w:rsid w:val="006775FD"/>
    <w:rsid w:val="00677CBC"/>
    <w:rsid w:val="00680603"/>
    <w:rsid w:val="00683654"/>
    <w:rsid w:val="0068797C"/>
    <w:rsid w:val="00690AC4"/>
    <w:rsid w:val="00691685"/>
    <w:rsid w:val="006919A8"/>
    <w:rsid w:val="006958A6"/>
    <w:rsid w:val="00695998"/>
    <w:rsid w:val="00696F9F"/>
    <w:rsid w:val="006A0E72"/>
    <w:rsid w:val="006A117B"/>
    <w:rsid w:val="006A776A"/>
    <w:rsid w:val="006B1F53"/>
    <w:rsid w:val="006B6AC7"/>
    <w:rsid w:val="006B6C23"/>
    <w:rsid w:val="006C1624"/>
    <w:rsid w:val="006C2E3C"/>
    <w:rsid w:val="006C43FA"/>
    <w:rsid w:val="006D05F0"/>
    <w:rsid w:val="006D68B6"/>
    <w:rsid w:val="006E0E8A"/>
    <w:rsid w:val="006E2891"/>
    <w:rsid w:val="006E2DA6"/>
    <w:rsid w:val="006E2F0F"/>
    <w:rsid w:val="006E32ED"/>
    <w:rsid w:val="006E69AA"/>
    <w:rsid w:val="006E6A0A"/>
    <w:rsid w:val="006E762E"/>
    <w:rsid w:val="006E775B"/>
    <w:rsid w:val="006E7F79"/>
    <w:rsid w:val="006F0294"/>
    <w:rsid w:val="006F0C48"/>
    <w:rsid w:val="006F5A7D"/>
    <w:rsid w:val="006F5E39"/>
    <w:rsid w:val="006F5EA6"/>
    <w:rsid w:val="006F6FFE"/>
    <w:rsid w:val="006F797D"/>
    <w:rsid w:val="00700EE4"/>
    <w:rsid w:val="007013C1"/>
    <w:rsid w:val="00701923"/>
    <w:rsid w:val="00702912"/>
    <w:rsid w:val="0070370C"/>
    <w:rsid w:val="00704C5A"/>
    <w:rsid w:val="00704F1C"/>
    <w:rsid w:val="00710B6A"/>
    <w:rsid w:val="007112FE"/>
    <w:rsid w:val="007116F2"/>
    <w:rsid w:val="007124F8"/>
    <w:rsid w:val="00712851"/>
    <w:rsid w:val="00712ECB"/>
    <w:rsid w:val="00714976"/>
    <w:rsid w:val="00715596"/>
    <w:rsid w:val="0071573D"/>
    <w:rsid w:val="00716FC5"/>
    <w:rsid w:val="007309CB"/>
    <w:rsid w:val="00730CED"/>
    <w:rsid w:val="00730E56"/>
    <w:rsid w:val="007316FA"/>
    <w:rsid w:val="00733496"/>
    <w:rsid w:val="00733F26"/>
    <w:rsid w:val="007344A0"/>
    <w:rsid w:val="007349DA"/>
    <w:rsid w:val="0073663C"/>
    <w:rsid w:val="007407BA"/>
    <w:rsid w:val="007407DF"/>
    <w:rsid w:val="0074276B"/>
    <w:rsid w:val="007440D7"/>
    <w:rsid w:val="007440F5"/>
    <w:rsid w:val="00746142"/>
    <w:rsid w:val="0074619F"/>
    <w:rsid w:val="0074766B"/>
    <w:rsid w:val="0075068F"/>
    <w:rsid w:val="00751204"/>
    <w:rsid w:val="00752759"/>
    <w:rsid w:val="00752BA0"/>
    <w:rsid w:val="00752DCF"/>
    <w:rsid w:val="0075355D"/>
    <w:rsid w:val="00755C6A"/>
    <w:rsid w:val="007567B2"/>
    <w:rsid w:val="00757191"/>
    <w:rsid w:val="00761477"/>
    <w:rsid w:val="00761563"/>
    <w:rsid w:val="00761805"/>
    <w:rsid w:val="00761970"/>
    <w:rsid w:val="00762468"/>
    <w:rsid w:val="00762B35"/>
    <w:rsid w:val="00762F5C"/>
    <w:rsid w:val="0076314C"/>
    <w:rsid w:val="00764692"/>
    <w:rsid w:val="00765E06"/>
    <w:rsid w:val="00766F51"/>
    <w:rsid w:val="007675CD"/>
    <w:rsid w:val="00767F7C"/>
    <w:rsid w:val="00770CBC"/>
    <w:rsid w:val="0077474D"/>
    <w:rsid w:val="00775B91"/>
    <w:rsid w:val="00776ADF"/>
    <w:rsid w:val="00777CEA"/>
    <w:rsid w:val="00777F43"/>
    <w:rsid w:val="007806E1"/>
    <w:rsid w:val="00780CB7"/>
    <w:rsid w:val="007841BC"/>
    <w:rsid w:val="00784B9C"/>
    <w:rsid w:val="00787697"/>
    <w:rsid w:val="00787C3D"/>
    <w:rsid w:val="00787D07"/>
    <w:rsid w:val="0079263A"/>
    <w:rsid w:val="00792A9B"/>
    <w:rsid w:val="00792F8B"/>
    <w:rsid w:val="0079497B"/>
    <w:rsid w:val="00794B5B"/>
    <w:rsid w:val="00795B17"/>
    <w:rsid w:val="00796F34"/>
    <w:rsid w:val="00797379"/>
    <w:rsid w:val="007A17DC"/>
    <w:rsid w:val="007A31E4"/>
    <w:rsid w:val="007A3C04"/>
    <w:rsid w:val="007A49E8"/>
    <w:rsid w:val="007A5423"/>
    <w:rsid w:val="007A648E"/>
    <w:rsid w:val="007A7477"/>
    <w:rsid w:val="007B1BB6"/>
    <w:rsid w:val="007B1CAB"/>
    <w:rsid w:val="007B26F8"/>
    <w:rsid w:val="007B3E31"/>
    <w:rsid w:val="007B52A1"/>
    <w:rsid w:val="007B5BB6"/>
    <w:rsid w:val="007B6663"/>
    <w:rsid w:val="007C225A"/>
    <w:rsid w:val="007C2479"/>
    <w:rsid w:val="007C2721"/>
    <w:rsid w:val="007C6417"/>
    <w:rsid w:val="007D03EE"/>
    <w:rsid w:val="007D239C"/>
    <w:rsid w:val="007D709B"/>
    <w:rsid w:val="007E1F95"/>
    <w:rsid w:val="007E6ADF"/>
    <w:rsid w:val="007E704D"/>
    <w:rsid w:val="007F170E"/>
    <w:rsid w:val="007F1CDE"/>
    <w:rsid w:val="007F36A5"/>
    <w:rsid w:val="007F7E50"/>
    <w:rsid w:val="00801B16"/>
    <w:rsid w:val="008033A9"/>
    <w:rsid w:val="00803A2D"/>
    <w:rsid w:val="00803C36"/>
    <w:rsid w:val="0080495D"/>
    <w:rsid w:val="008063C0"/>
    <w:rsid w:val="00815DB0"/>
    <w:rsid w:val="00815FF2"/>
    <w:rsid w:val="00816296"/>
    <w:rsid w:val="00816640"/>
    <w:rsid w:val="00817527"/>
    <w:rsid w:val="008175F4"/>
    <w:rsid w:val="008206C0"/>
    <w:rsid w:val="008321BF"/>
    <w:rsid w:val="008323B6"/>
    <w:rsid w:val="00832830"/>
    <w:rsid w:val="00832D4F"/>
    <w:rsid w:val="00834813"/>
    <w:rsid w:val="0083600D"/>
    <w:rsid w:val="00837A8E"/>
    <w:rsid w:val="00840442"/>
    <w:rsid w:val="008416D7"/>
    <w:rsid w:val="00850427"/>
    <w:rsid w:val="0085052D"/>
    <w:rsid w:val="00851207"/>
    <w:rsid w:val="00852473"/>
    <w:rsid w:val="0085277C"/>
    <w:rsid w:val="00852D6F"/>
    <w:rsid w:val="008553E2"/>
    <w:rsid w:val="00855432"/>
    <w:rsid w:val="0086095E"/>
    <w:rsid w:val="008614EE"/>
    <w:rsid w:val="008666E2"/>
    <w:rsid w:val="00866AA8"/>
    <w:rsid w:val="0087057C"/>
    <w:rsid w:val="00870E3C"/>
    <w:rsid w:val="00870FE7"/>
    <w:rsid w:val="008714B3"/>
    <w:rsid w:val="00873C08"/>
    <w:rsid w:val="008757C8"/>
    <w:rsid w:val="008802DD"/>
    <w:rsid w:val="00881878"/>
    <w:rsid w:val="00882814"/>
    <w:rsid w:val="00882AE6"/>
    <w:rsid w:val="00883B4F"/>
    <w:rsid w:val="00884826"/>
    <w:rsid w:val="00884D19"/>
    <w:rsid w:val="00885C4C"/>
    <w:rsid w:val="00886000"/>
    <w:rsid w:val="00887C23"/>
    <w:rsid w:val="00893B48"/>
    <w:rsid w:val="00894868"/>
    <w:rsid w:val="00895919"/>
    <w:rsid w:val="008961D9"/>
    <w:rsid w:val="008A0196"/>
    <w:rsid w:val="008A03E4"/>
    <w:rsid w:val="008A2FEE"/>
    <w:rsid w:val="008A4508"/>
    <w:rsid w:val="008A67DA"/>
    <w:rsid w:val="008A759F"/>
    <w:rsid w:val="008B09C6"/>
    <w:rsid w:val="008B1DDD"/>
    <w:rsid w:val="008B2183"/>
    <w:rsid w:val="008B3CD2"/>
    <w:rsid w:val="008B3FD1"/>
    <w:rsid w:val="008B4A26"/>
    <w:rsid w:val="008B5E49"/>
    <w:rsid w:val="008B6AA3"/>
    <w:rsid w:val="008C1005"/>
    <w:rsid w:val="008C11A7"/>
    <w:rsid w:val="008C23C4"/>
    <w:rsid w:val="008C2D7D"/>
    <w:rsid w:val="008D13DA"/>
    <w:rsid w:val="008D2F7F"/>
    <w:rsid w:val="008D4130"/>
    <w:rsid w:val="008D44E0"/>
    <w:rsid w:val="008D6A0C"/>
    <w:rsid w:val="008E004A"/>
    <w:rsid w:val="008E0A58"/>
    <w:rsid w:val="008E16D9"/>
    <w:rsid w:val="008E3225"/>
    <w:rsid w:val="008E3AAC"/>
    <w:rsid w:val="008E4E27"/>
    <w:rsid w:val="008E6019"/>
    <w:rsid w:val="008E7CE8"/>
    <w:rsid w:val="008F0117"/>
    <w:rsid w:val="008F0A3C"/>
    <w:rsid w:val="008F1181"/>
    <w:rsid w:val="008F1CD9"/>
    <w:rsid w:val="008F41E6"/>
    <w:rsid w:val="008F5757"/>
    <w:rsid w:val="008F57BE"/>
    <w:rsid w:val="008F5C37"/>
    <w:rsid w:val="008F7A5E"/>
    <w:rsid w:val="009002F7"/>
    <w:rsid w:val="00900D10"/>
    <w:rsid w:val="009013CB"/>
    <w:rsid w:val="0090704D"/>
    <w:rsid w:val="0090727C"/>
    <w:rsid w:val="00907327"/>
    <w:rsid w:val="0090779D"/>
    <w:rsid w:val="00910292"/>
    <w:rsid w:val="00910C67"/>
    <w:rsid w:val="009129A9"/>
    <w:rsid w:val="009139DB"/>
    <w:rsid w:val="00913EAF"/>
    <w:rsid w:val="00916DEA"/>
    <w:rsid w:val="00917021"/>
    <w:rsid w:val="00920560"/>
    <w:rsid w:val="009214A7"/>
    <w:rsid w:val="00922960"/>
    <w:rsid w:val="0092328D"/>
    <w:rsid w:val="00924333"/>
    <w:rsid w:val="00924519"/>
    <w:rsid w:val="00926488"/>
    <w:rsid w:val="00927261"/>
    <w:rsid w:val="009277BD"/>
    <w:rsid w:val="00930375"/>
    <w:rsid w:val="00931695"/>
    <w:rsid w:val="009353F2"/>
    <w:rsid w:val="00936267"/>
    <w:rsid w:val="00937990"/>
    <w:rsid w:val="00943ABF"/>
    <w:rsid w:val="0094485F"/>
    <w:rsid w:val="0094683A"/>
    <w:rsid w:val="00947285"/>
    <w:rsid w:val="00951E24"/>
    <w:rsid w:val="00955452"/>
    <w:rsid w:val="00956957"/>
    <w:rsid w:val="00960BA1"/>
    <w:rsid w:val="0096277A"/>
    <w:rsid w:val="00962E40"/>
    <w:rsid w:val="009638F3"/>
    <w:rsid w:val="00963ACE"/>
    <w:rsid w:val="009642A0"/>
    <w:rsid w:val="009660A5"/>
    <w:rsid w:val="0096659A"/>
    <w:rsid w:val="009716E7"/>
    <w:rsid w:val="00972E0C"/>
    <w:rsid w:val="009757DA"/>
    <w:rsid w:val="009776C3"/>
    <w:rsid w:val="0098126F"/>
    <w:rsid w:val="00983A60"/>
    <w:rsid w:val="00985739"/>
    <w:rsid w:val="00986369"/>
    <w:rsid w:val="00986EB6"/>
    <w:rsid w:val="009910EE"/>
    <w:rsid w:val="00991FF4"/>
    <w:rsid w:val="00993788"/>
    <w:rsid w:val="00995C06"/>
    <w:rsid w:val="00996482"/>
    <w:rsid w:val="00996DAD"/>
    <w:rsid w:val="00997FA9"/>
    <w:rsid w:val="009A1F30"/>
    <w:rsid w:val="009A23CD"/>
    <w:rsid w:val="009A5C2E"/>
    <w:rsid w:val="009A6B4C"/>
    <w:rsid w:val="009A7016"/>
    <w:rsid w:val="009B1404"/>
    <w:rsid w:val="009B2B79"/>
    <w:rsid w:val="009B3B43"/>
    <w:rsid w:val="009B69F1"/>
    <w:rsid w:val="009C0667"/>
    <w:rsid w:val="009C171C"/>
    <w:rsid w:val="009C6A50"/>
    <w:rsid w:val="009D10AE"/>
    <w:rsid w:val="009D3C51"/>
    <w:rsid w:val="009D3D41"/>
    <w:rsid w:val="009D5552"/>
    <w:rsid w:val="009D7B4A"/>
    <w:rsid w:val="009E033B"/>
    <w:rsid w:val="009E0E4D"/>
    <w:rsid w:val="009E136F"/>
    <w:rsid w:val="009E3240"/>
    <w:rsid w:val="009E37C1"/>
    <w:rsid w:val="009E6FEF"/>
    <w:rsid w:val="009E77CB"/>
    <w:rsid w:val="009F3957"/>
    <w:rsid w:val="009F3E9D"/>
    <w:rsid w:val="009F5FF9"/>
    <w:rsid w:val="009F6452"/>
    <w:rsid w:val="00A008F4"/>
    <w:rsid w:val="00A00A08"/>
    <w:rsid w:val="00A02A58"/>
    <w:rsid w:val="00A037A6"/>
    <w:rsid w:val="00A04117"/>
    <w:rsid w:val="00A049CE"/>
    <w:rsid w:val="00A059A1"/>
    <w:rsid w:val="00A10B4C"/>
    <w:rsid w:val="00A1110B"/>
    <w:rsid w:val="00A13C23"/>
    <w:rsid w:val="00A15561"/>
    <w:rsid w:val="00A15571"/>
    <w:rsid w:val="00A1672C"/>
    <w:rsid w:val="00A16C34"/>
    <w:rsid w:val="00A16D15"/>
    <w:rsid w:val="00A17706"/>
    <w:rsid w:val="00A212D2"/>
    <w:rsid w:val="00A21D9B"/>
    <w:rsid w:val="00A2655B"/>
    <w:rsid w:val="00A2683B"/>
    <w:rsid w:val="00A27670"/>
    <w:rsid w:val="00A30FF1"/>
    <w:rsid w:val="00A31D92"/>
    <w:rsid w:val="00A35822"/>
    <w:rsid w:val="00A36311"/>
    <w:rsid w:val="00A367C4"/>
    <w:rsid w:val="00A43706"/>
    <w:rsid w:val="00A43A1F"/>
    <w:rsid w:val="00A43ED6"/>
    <w:rsid w:val="00A46C64"/>
    <w:rsid w:val="00A508AB"/>
    <w:rsid w:val="00A54F77"/>
    <w:rsid w:val="00A5769F"/>
    <w:rsid w:val="00A60E9E"/>
    <w:rsid w:val="00A63376"/>
    <w:rsid w:val="00A636AB"/>
    <w:rsid w:val="00A63FE4"/>
    <w:rsid w:val="00A64418"/>
    <w:rsid w:val="00A645D9"/>
    <w:rsid w:val="00A6524C"/>
    <w:rsid w:val="00A66E60"/>
    <w:rsid w:val="00A71405"/>
    <w:rsid w:val="00A7180C"/>
    <w:rsid w:val="00A72ED5"/>
    <w:rsid w:val="00A730A2"/>
    <w:rsid w:val="00A74316"/>
    <w:rsid w:val="00A74620"/>
    <w:rsid w:val="00A74CCB"/>
    <w:rsid w:val="00A769B1"/>
    <w:rsid w:val="00A76BC1"/>
    <w:rsid w:val="00A80E1A"/>
    <w:rsid w:val="00A83C94"/>
    <w:rsid w:val="00A8579C"/>
    <w:rsid w:val="00A9037E"/>
    <w:rsid w:val="00A91202"/>
    <w:rsid w:val="00A9339A"/>
    <w:rsid w:val="00AA03A7"/>
    <w:rsid w:val="00AA4A29"/>
    <w:rsid w:val="00AA5CC3"/>
    <w:rsid w:val="00AA6E26"/>
    <w:rsid w:val="00AA7D7D"/>
    <w:rsid w:val="00AB11D7"/>
    <w:rsid w:val="00AB12FD"/>
    <w:rsid w:val="00AB1C4A"/>
    <w:rsid w:val="00AB240A"/>
    <w:rsid w:val="00AB3349"/>
    <w:rsid w:val="00AB3DB9"/>
    <w:rsid w:val="00AB4344"/>
    <w:rsid w:val="00AB525C"/>
    <w:rsid w:val="00AB55EB"/>
    <w:rsid w:val="00AB55F5"/>
    <w:rsid w:val="00AC0AAD"/>
    <w:rsid w:val="00AC0CC1"/>
    <w:rsid w:val="00AC2355"/>
    <w:rsid w:val="00AC487A"/>
    <w:rsid w:val="00AC6513"/>
    <w:rsid w:val="00AC7B63"/>
    <w:rsid w:val="00AD2DBA"/>
    <w:rsid w:val="00AD2DFD"/>
    <w:rsid w:val="00AD350D"/>
    <w:rsid w:val="00AD3A2D"/>
    <w:rsid w:val="00AD63B4"/>
    <w:rsid w:val="00AD6615"/>
    <w:rsid w:val="00AD72AC"/>
    <w:rsid w:val="00AE0625"/>
    <w:rsid w:val="00AE0898"/>
    <w:rsid w:val="00AE4846"/>
    <w:rsid w:val="00AE6876"/>
    <w:rsid w:val="00AE6FF9"/>
    <w:rsid w:val="00AF22A9"/>
    <w:rsid w:val="00AF24AD"/>
    <w:rsid w:val="00AF380D"/>
    <w:rsid w:val="00AF3C32"/>
    <w:rsid w:val="00AF4336"/>
    <w:rsid w:val="00B02A40"/>
    <w:rsid w:val="00B04FF3"/>
    <w:rsid w:val="00B05EB1"/>
    <w:rsid w:val="00B0665B"/>
    <w:rsid w:val="00B0687F"/>
    <w:rsid w:val="00B07B3E"/>
    <w:rsid w:val="00B12510"/>
    <w:rsid w:val="00B13D5E"/>
    <w:rsid w:val="00B16CA5"/>
    <w:rsid w:val="00B16D06"/>
    <w:rsid w:val="00B17B5F"/>
    <w:rsid w:val="00B200AF"/>
    <w:rsid w:val="00B2055F"/>
    <w:rsid w:val="00B2120E"/>
    <w:rsid w:val="00B21553"/>
    <w:rsid w:val="00B219B8"/>
    <w:rsid w:val="00B220DF"/>
    <w:rsid w:val="00B2473A"/>
    <w:rsid w:val="00B24940"/>
    <w:rsid w:val="00B250A5"/>
    <w:rsid w:val="00B25CAC"/>
    <w:rsid w:val="00B26B2F"/>
    <w:rsid w:val="00B30B62"/>
    <w:rsid w:val="00B3215A"/>
    <w:rsid w:val="00B332F7"/>
    <w:rsid w:val="00B33B4F"/>
    <w:rsid w:val="00B353BC"/>
    <w:rsid w:val="00B36E82"/>
    <w:rsid w:val="00B422BC"/>
    <w:rsid w:val="00B42CB8"/>
    <w:rsid w:val="00B43ED0"/>
    <w:rsid w:val="00B45390"/>
    <w:rsid w:val="00B47467"/>
    <w:rsid w:val="00B509C6"/>
    <w:rsid w:val="00B51E71"/>
    <w:rsid w:val="00B525B8"/>
    <w:rsid w:val="00B52A29"/>
    <w:rsid w:val="00B52EA8"/>
    <w:rsid w:val="00B5315D"/>
    <w:rsid w:val="00B56D67"/>
    <w:rsid w:val="00B57392"/>
    <w:rsid w:val="00B63021"/>
    <w:rsid w:val="00B63C71"/>
    <w:rsid w:val="00B7038B"/>
    <w:rsid w:val="00B70890"/>
    <w:rsid w:val="00B709A1"/>
    <w:rsid w:val="00B709E9"/>
    <w:rsid w:val="00B71607"/>
    <w:rsid w:val="00B71BBB"/>
    <w:rsid w:val="00B725A3"/>
    <w:rsid w:val="00B72690"/>
    <w:rsid w:val="00B73C92"/>
    <w:rsid w:val="00B73CAE"/>
    <w:rsid w:val="00B74D46"/>
    <w:rsid w:val="00B74DE3"/>
    <w:rsid w:val="00B75F19"/>
    <w:rsid w:val="00B76234"/>
    <w:rsid w:val="00B843C7"/>
    <w:rsid w:val="00B869CE"/>
    <w:rsid w:val="00B901CE"/>
    <w:rsid w:val="00B9261E"/>
    <w:rsid w:val="00B92ECA"/>
    <w:rsid w:val="00B9730E"/>
    <w:rsid w:val="00BA107D"/>
    <w:rsid w:val="00BA1450"/>
    <w:rsid w:val="00BA2E37"/>
    <w:rsid w:val="00BA4E0D"/>
    <w:rsid w:val="00BA594A"/>
    <w:rsid w:val="00BA6F96"/>
    <w:rsid w:val="00BB340A"/>
    <w:rsid w:val="00BB5641"/>
    <w:rsid w:val="00BB62AD"/>
    <w:rsid w:val="00BB75A5"/>
    <w:rsid w:val="00BB7D26"/>
    <w:rsid w:val="00BC065E"/>
    <w:rsid w:val="00BC18B8"/>
    <w:rsid w:val="00BC2A65"/>
    <w:rsid w:val="00BC4018"/>
    <w:rsid w:val="00BC7BB9"/>
    <w:rsid w:val="00BC7CAD"/>
    <w:rsid w:val="00BC7D41"/>
    <w:rsid w:val="00BD07CC"/>
    <w:rsid w:val="00BD343A"/>
    <w:rsid w:val="00BD4A11"/>
    <w:rsid w:val="00BD68A3"/>
    <w:rsid w:val="00BD767A"/>
    <w:rsid w:val="00BE10D2"/>
    <w:rsid w:val="00BE15BA"/>
    <w:rsid w:val="00BE1788"/>
    <w:rsid w:val="00BE2856"/>
    <w:rsid w:val="00BE2FFA"/>
    <w:rsid w:val="00BE4904"/>
    <w:rsid w:val="00BE5EE2"/>
    <w:rsid w:val="00BF044F"/>
    <w:rsid w:val="00BF46A6"/>
    <w:rsid w:val="00BF506A"/>
    <w:rsid w:val="00BF6C8D"/>
    <w:rsid w:val="00BF7021"/>
    <w:rsid w:val="00BF72DB"/>
    <w:rsid w:val="00C0305C"/>
    <w:rsid w:val="00C04847"/>
    <w:rsid w:val="00C04FE2"/>
    <w:rsid w:val="00C053E2"/>
    <w:rsid w:val="00C1179A"/>
    <w:rsid w:val="00C1691B"/>
    <w:rsid w:val="00C1749B"/>
    <w:rsid w:val="00C219F9"/>
    <w:rsid w:val="00C21C6D"/>
    <w:rsid w:val="00C22B4F"/>
    <w:rsid w:val="00C2616D"/>
    <w:rsid w:val="00C26D1D"/>
    <w:rsid w:val="00C2797D"/>
    <w:rsid w:val="00C36089"/>
    <w:rsid w:val="00C37A66"/>
    <w:rsid w:val="00C40CF2"/>
    <w:rsid w:val="00C4204F"/>
    <w:rsid w:val="00C4380E"/>
    <w:rsid w:val="00C439BD"/>
    <w:rsid w:val="00C44696"/>
    <w:rsid w:val="00C45ECD"/>
    <w:rsid w:val="00C4656D"/>
    <w:rsid w:val="00C46ECB"/>
    <w:rsid w:val="00C470C3"/>
    <w:rsid w:val="00C473DC"/>
    <w:rsid w:val="00C47DF2"/>
    <w:rsid w:val="00C509B8"/>
    <w:rsid w:val="00C50F8C"/>
    <w:rsid w:val="00C51483"/>
    <w:rsid w:val="00C534CA"/>
    <w:rsid w:val="00C5681A"/>
    <w:rsid w:val="00C5774C"/>
    <w:rsid w:val="00C5794B"/>
    <w:rsid w:val="00C60832"/>
    <w:rsid w:val="00C614DE"/>
    <w:rsid w:val="00C62634"/>
    <w:rsid w:val="00C6278D"/>
    <w:rsid w:val="00C637D2"/>
    <w:rsid w:val="00C6440B"/>
    <w:rsid w:val="00C64E4C"/>
    <w:rsid w:val="00C64EFE"/>
    <w:rsid w:val="00C652F9"/>
    <w:rsid w:val="00C660EF"/>
    <w:rsid w:val="00C6710C"/>
    <w:rsid w:val="00C67AC4"/>
    <w:rsid w:val="00C70DAA"/>
    <w:rsid w:val="00C7492B"/>
    <w:rsid w:val="00C82738"/>
    <w:rsid w:val="00C82E19"/>
    <w:rsid w:val="00C83DA4"/>
    <w:rsid w:val="00C844AA"/>
    <w:rsid w:val="00C8466E"/>
    <w:rsid w:val="00C8467C"/>
    <w:rsid w:val="00C853DF"/>
    <w:rsid w:val="00C86707"/>
    <w:rsid w:val="00C90C07"/>
    <w:rsid w:val="00C97081"/>
    <w:rsid w:val="00CA0A15"/>
    <w:rsid w:val="00CA20A5"/>
    <w:rsid w:val="00CA2596"/>
    <w:rsid w:val="00CA5C21"/>
    <w:rsid w:val="00CB162B"/>
    <w:rsid w:val="00CB209C"/>
    <w:rsid w:val="00CB20AA"/>
    <w:rsid w:val="00CB20EB"/>
    <w:rsid w:val="00CB4B95"/>
    <w:rsid w:val="00CB6D53"/>
    <w:rsid w:val="00CC1F69"/>
    <w:rsid w:val="00CC2861"/>
    <w:rsid w:val="00CC2BA3"/>
    <w:rsid w:val="00CC7105"/>
    <w:rsid w:val="00CC7DDC"/>
    <w:rsid w:val="00CD06DE"/>
    <w:rsid w:val="00CD22C5"/>
    <w:rsid w:val="00CD2E82"/>
    <w:rsid w:val="00CD44D0"/>
    <w:rsid w:val="00CD45FD"/>
    <w:rsid w:val="00CD5154"/>
    <w:rsid w:val="00CD538A"/>
    <w:rsid w:val="00CD5F56"/>
    <w:rsid w:val="00CE0EAD"/>
    <w:rsid w:val="00CE1E28"/>
    <w:rsid w:val="00CE2714"/>
    <w:rsid w:val="00CE44A9"/>
    <w:rsid w:val="00CE4DA4"/>
    <w:rsid w:val="00CE7A4E"/>
    <w:rsid w:val="00CF0BCC"/>
    <w:rsid w:val="00CF126F"/>
    <w:rsid w:val="00CF14D1"/>
    <w:rsid w:val="00CF2A35"/>
    <w:rsid w:val="00CF2CF8"/>
    <w:rsid w:val="00CF3F73"/>
    <w:rsid w:val="00CF66E8"/>
    <w:rsid w:val="00D00B46"/>
    <w:rsid w:val="00D02EBE"/>
    <w:rsid w:val="00D04CBF"/>
    <w:rsid w:val="00D04DD5"/>
    <w:rsid w:val="00D06182"/>
    <w:rsid w:val="00D11CC8"/>
    <w:rsid w:val="00D12B2C"/>
    <w:rsid w:val="00D13DE1"/>
    <w:rsid w:val="00D15BF5"/>
    <w:rsid w:val="00D202E4"/>
    <w:rsid w:val="00D226A7"/>
    <w:rsid w:val="00D23953"/>
    <w:rsid w:val="00D2473F"/>
    <w:rsid w:val="00D24E31"/>
    <w:rsid w:val="00D32D81"/>
    <w:rsid w:val="00D34C03"/>
    <w:rsid w:val="00D4342D"/>
    <w:rsid w:val="00D43B34"/>
    <w:rsid w:val="00D45D0E"/>
    <w:rsid w:val="00D45DA6"/>
    <w:rsid w:val="00D45E74"/>
    <w:rsid w:val="00D47214"/>
    <w:rsid w:val="00D513F3"/>
    <w:rsid w:val="00D53439"/>
    <w:rsid w:val="00D541F5"/>
    <w:rsid w:val="00D57607"/>
    <w:rsid w:val="00D57FC6"/>
    <w:rsid w:val="00D645AF"/>
    <w:rsid w:val="00D646FA"/>
    <w:rsid w:val="00D6549A"/>
    <w:rsid w:val="00D65DE5"/>
    <w:rsid w:val="00D65F51"/>
    <w:rsid w:val="00D67894"/>
    <w:rsid w:val="00D678B6"/>
    <w:rsid w:val="00D71C8E"/>
    <w:rsid w:val="00D72FFE"/>
    <w:rsid w:val="00D739F8"/>
    <w:rsid w:val="00D748C6"/>
    <w:rsid w:val="00D758AB"/>
    <w:rsid w:val="00D805E2"/>
    <w:rsid w:val="00D81422"/>
    <w:rsid w:val="00D815B4"/>
    <w:rsid w:val="00D81C2F"/>
    <w:rsid w:val="00D82108"/>
    <w:rsid w:val="00D828D5"/>
    <w:rsid w:val="00D83461"/>
    <w:rsid w:val="00D90381"/>
    <w:rsid w:val="00D90B5C"/>
    <w:rsid w:val="00D92004"/>
    <w:rsid w:val="00D94D88"/>
    <w:rsid w:val="00D959C8"/>
    <w:rsid w:val="00D97257"/>
    <w:rsid w:val="00D979AD"/>
    <w:rsid w:val="00D97D0F"/>
    <w:rsid w:val="00DA38A1"/>
    <w:rsid w:val="00DA42B1"/>
    <w:rsid w:val="00DA5C58"/>
    <w:rsid w:val="00DB0D69"/>
    <w:rsid w:val="00DB12D5"/>
    <w:rsid w:val="00DB1308"/>
    <w:rsid w:val="00DB139A"/>
    <w:rsid w:val="00DB5DDD"/>
    <w:rsid w:val="00DC2418"/>
    <w:rsid w:val="00DC2497"/>
    <w:rsid w:val="00DC6C18"/>
    <w:rsid w:val="00DC7213"/>
    <w:rsid w:val="00DD1EBE"/>
    <w:rsid w:val="00DD4EC7"/>
    <w:rsid w:val="00DD7779"/>
    <w:rsid w:val="00DE1F02"/>
    <w:rsid w:val="00DE2376"/>
    <w:rsid w:val="00DE2E6E"/>
    <w:rsid w:val="00DE372D"/>
    <w:rsid w:val="00DE4484"/>
    <w:rsid w:val="00DE54CF"/>
    <w:rsid w:val="00DE566D"/>
    <w:rsid w:val="00DE65E4"/>
    <w:rsid w:val="00DE7132"/>
    <w:rsid w:val="00DF0D98"/>
    <w:rsid w:val="00DF4E55"/>
    <w:rsid w:val="00DF5FAA"/>
    <w:rsid w:val="00DF6BF1"/>
    <w:rsid w:val="00E0085B"/>
    <w:rsid w:val="00E01212"/>
    <w:rsid w:val="00E03797"/>
    <w:rsid w:val="00E06E58"/>
    <w:rsid w:val="00E0762F"/>
    <w:rsid w:val="00E077CF"/>
    <w:rsid w:val="00E1114E"/>
    <w:rsid w:val="00E120A6"/>
    <w:rsid w:val="00E1223E"/>
    <w:rsid w:val="00E13D01"/>
    <w:rsid w:val="00E14AF5"/>
    <w:rsid w:val="00E15B74"/>
    <w:rsid w:val="00E172B1"/>
    <w:rsid w:val="00E20770"/>
    <w:rsid w:val="00E2129D"/>
    <w:rsid w:val="00E220BA"/>
    <w:rsid w:val="00E2241B"/>
    <w:rsid w:val="00E22A41"/>
    <w:rsid w:val="00E245C3"/>
    <w:rsid w:val="00E24989"/>
    <w:rsid w:val="00E25409"/>
    <w:rsid w:val="00E27F75"/>
    <w:rsid w:val="00E300E7"/>
    <w:rsid w:val="00E31BAC"/>
    <w:rsid w:val="00E31F37"/>
    <w:rsid w:val="00E33536"/>
    <w:rsid w:val="00E344DF"/>
    <w:rsid w:val="00E35990"/>
    <w:rsid w:val="00E35CF2"/>
    <w:rsid w:val="00E36E09"/>
    <w:rsid w:val="00E436F6"/>
    <w:rsid w:val="00E4382A"/>
    <w:rsid w:val="00E453C9"/>
    <w:rsid w:val="00E47793"/>
    <w:rsid w:val="00E511A7"/>
    <w:rsid w:val="00E53485"/>
    <w:rsid w:val="00E54661"/>
    <w:rsid w:val="00E55CB4"/>
    <w:rsid w:val="00E574E9"/>
    <w:rsid w:val="00E61DD2"/>
    <w:rsid w:val="00E62A5E"/>
    <w:rsid w:val="00E62AA2"/>
    <w:rsid w:val="00E66964"/>
    <w:rsid w:val="00E66C36"/>
    <w:rsid w:val="00E70225"/>
    <w:rsid w:val="00E70BF3"/>
    <w:rsid w:val="00E736D9"/>
    <w:rsid w:val="00E74F77"/>
    <w:rsid w:val="00E7524F"/>
    <w:rsid w:val="00E75B0E"/>
    <w:rsid w:val="00E76673"/>
    <w:rsid w:val="00E81ECA"/>
    <w:rsid w:val="00E84D4E"/>
    <w:rsid w:val="00E8528E"/>
    <w:rsid w:val="00E90C62"/>
    <w:rsid w:val="00E91EB8"/>
    <w:rsid w:val="00E93541"/>
    <w:rsid w:val="00E93920"/>
    <w:rsid w:val="00E93BDE"/>
    <w:rsid w:val="00E95685"/>
    <w:rsid w:val="00E958DA"/>
    <w:rsid w:val="00E95A90"/>
    <w:rsid w:val="00E96EA0"/>
    <w:rsid w:val="00E97193"/>
    <w:rsid w:val="00E973A1"/>
    <w:rsid w:val="00EA2BFF"/>
    <w:rsid w:val="00EA40ED"/>
    <w:rsid w:val="00EB2C84"/>
    <w:rsid w:val="00EB5432"/>
    <w:rsid w:val="00EB6615"/>
    <w:rsid w:val="00EC0493"/>
    <w:rsid w:val="00EC44EF"/>
    <w:rsid w:val="00EC61AF"/>
    <w:rsid w:val="00EC6D33"/>
    <w:rsid w:val="00EC7F3E"/>
    <w:rsid w:val="00ED20F7"/>
    <w:rsid w:val="00ED2CFC"/>
    <w:rsid w:val="00ED36F6"/>
    <w:rsid w:val="00ED5BCC"/>
    <w:rsid w:val="00ED6019"/>
    <w:rsid w:val="00ED6105"/>
    <w:rsid w:val="00ED7C04"/>
    <w:rsid w:val="00EE0224"/>
    <w:rsid w:val="00EE3150"/>
    <w:rsid w:val="00EE7221"/>
    <w:rsid w:val="00EE7EA2"/>
    <w:rsid w:val="00EF0C7C"/>
    <w:rsid w:val="00EF1873"/>
    <w:rsid w:val="00EF5589"/>
    <w:rsid w:val="00F0025D"/>
    <w:rsid w:val="00F01A5A"/>
    <w:rsid w:val="00F02C4E"/>
    <w:rsid w:val="00F045EE"/>
    <w:rsid w:val="00F04FFB"/>
    <w:rsid w:val="00F134F5"/>
    <w:rsid w:val="00F138BC"/>
    <w:rsid w:val="00F13A81"/>
    <w:rsid w:val="00F14768"/>
    <w:rsid w:val="00F14B43"/>
    <w:rsid w:val="00F155B2"/>
    <w:rsid w:val="00F174F9"/>
    <w:rsid w:val="00F176AC"/>
    <w:rsid w:val="00F1775D"/>
    <w:rsid w:val="00F22660"/>
    <w:rsid w:val="00F234EC"/>
    <w:rsid w:val="00F23CA0"/>
    <w:rsid w:val="00F25AEA"/>
    <w:rsid w:val="00F25B7F"/>
    <w:rsid w:val="00F25BBE"/>
    <w:rsid w:val="00F262A7"/>
    <w:rsid w:val="00F26494"/>
    <w:rsid w:val="00F2714F"/>
    <w:rsid w:val="00F27C51"/>
    <w:rsid w:val="00F27FE0"/>
    <w:rsid w:val="00F31C96"/>
    <w:rsid w:val="00F33D02"/>
    <w:rsid w:val="00F34678"/>
    <w:rsid w:val="00F34938"/>
    <w:rsid w:val="00F3506C"/>
    <w:rsid w:val="00F356AE"/>
    <w:rsid w:val="00F35A6C"/>
    <w:rsid w:val="00F370B5"/>
    <w:rsid w:val="00F4282B"/>
    <w:rsid w:val="00F431F3"/>
    <w:rsid w:val="00F445F7"/>
    <w:rsid w:val="00F4501B"/>
    <w:rsid w:val="00F45ABD"/>
    <w:rsid w:val="00F46E8C"/>
    <w:rsid w:val="00F47728"/>
    <w:rsid w:val="00F52F0D"/>
    <w:rsid w:val="00F53245"/>
    <w:rsid w:val="00F576AE"/>
    <w:rsid w:val="00F6234E"/>
    <w:rsid w:val="00F627AF"/>
    <w:rsid w:val="00F665F5"/>
    <w:rsid w:val="00F705B7"/>
    <w:rsid w:val="00F71DAF"/>
    <w:rsid w:val="00F74D94"/>
    <w:rsid w:val="00F75ECB"/>
    <w:rsid w:val="00F81332"/>
    <w:rsid w:val="00F83789"/>
    <w:rsid w:val="00F84A2F"/>
    <w:rsid w:val="00F852CA"/>
    <w:rsid w:val="00F85862"/>
    <w:rsid w:val="00F8663D"/>
    <w:rsid w:val="00F87195"/>
    <w:rsid w:val="00F909E4"/>
    <w:rsid w:val="00F919D5"/>
    <w:rsid w:val="00F927DF"/>
    <w:rsid w:val="00F928F5"/>
    <w:rsid w:val="00F92C5F"/>
    <w:rsid w:val="00F97CAF"/>
    <w:rsid w:val="00F97E0C"/>
    <w:rsid w:val="00FA08DC"/>
    <w:rsid w:val="00FA0F56"/>
    <w:rsid w:val="00FA1868"/>
    <w:rsid w:val="00FA6CB5"/>
    <w:rsid w:val="00FB0804"/>
    <w:rsid w:val="00FB1B97"/>
    <w:rsid w:val="00FB2C44"/>
    <w:rsid w:val="00FB67A5"/>
    <w:rsid w:val="00FB694D"/>
    <w:rsid w:val="00FB7CA7"/>
    <w:rsid w:val="00FB7EFE"/>
    <w:rsid w:val="00FC6D9B"/>
    <w:rsid w:val="00FC70EE"/>
    <w:rsid w:val="00FD30E2"/>
    <w:rsid w:val="00FD36D7"/>
    <w:rsid w:val="00FD4046"/>
    <w:rsid w:val="00FD529C"/>
    <w:rsid w:val="00FD724E"/>
    <w:rsid w:val="00FD7987"/>
    <w:rsid w:val="00FE040A"/>
    <w:rsid w:val="00FE53D9"/>
    <w:rsid w:val="00FE54AC"/>
    <w:rsid w:val="00FE561F"/>
    <w:rsid w:val="00FE5921"/>
    <w:rsid w:val="00FE76A1"/>
    <w:rsid w:val="00FF049C"/>
    <w:rsid w:val="00FF0A32"/>
    <w:rsid w:val="00FF2947"/>
    <w:rsid w:val="00FF29A2"/>
    <w:rsid w:val="00FF6A8B"/>
    <w:rsid w:val="00FF74BA"/>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martTagType w:namespaceuri="schemas-tilde-lv/tildestengine" w:name="veidnes"/>
  <w:shapeDefaults>
    <o:shapedefaults v:ext="edit" spidmax="21505"/>
    <o:shapelayout v:ext="edit">
      <o:idmap v:ext="edit" data="1"/>
    </o:shapelayout>
  </w:shapeDefaults>
  <w:decimalSymbol w:val="."/>
  <w:listSeparator w:val=";"/>
  <w14:docId w14:val="438F2472"/>
  <w15:chartTrackingRefBased/>
  <w15:docId w15:val="{995AF501-1ABC-4811-9E18-EB8CDAEBCB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39"/>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locked="1" w:uiPriority="0"/>
    <w:lsdException w:name="annotation text" w:locked="1" w:uiPriority="0"/>
    <w:lsdException w:name="header" w:semiHidden="1" w:unhideWhenUsed="1"/>
    <w:lsdException w:name="footer" w:semiHidden="1" w:uiPriority="0"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locked="1" w:uiPriority="0"/>
    <w:lsdException w:name="annotation reference" w:locked="1" w:uiPriority="0"/>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96506"/>
    <w:rPr>
      <w:rFonts w:ascii="Times New Roman" w:hAnsi="Times New Roman"/>
      <w:sz w:val="24"/>
      <w:szCs w:val="24"/>
    </w:rPr>
  </w:style>
  <w:style w:type="paragraph" w:styleId="Heading1">
    <w:name w:val="heading 1"/>
    <w:basedOn w:val="Normal"/>
    <w:next w:val="Normal"/>
    <w:link w:val="Heading1Char"/>
    <w:uiPriority w:val="99"/>
    <w:qFormat/>
    <w:locked/>
    <w:rsid w:val="00290526"/>
    <w:pPr>
      <w:keepNext/>
      <w:keepLines/>
      <w:spacing w:before="480"/>
      <w:outlineLvl w:val="0"/>
    </w:pPr>
    <w:rPr>
      <w:rFonts w:ascii="Cambria" w:eastAsia="Times New Roman" w:hAnsi="Cambria" w:cs="Cambria"/>
      <w:b/>
      <w:bCs/>
      <w:color w:val="365F91"/>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290526"/>
    <w:rPr>
      <w:rFonts w:ascii="Cambria" w:hAnsi="Cambria" w:cs="Cambria"/>
      <w:b/>
      <w:bCs/>
      <w:color w:val="365F91"/>
      <w:sz w:val="28"/>
      <w:szCs w:val="28"/>
    </w:rPr>
  </w:style>
  <w:style w:type="paragraph" w:styleId="BalloonText">
    <w:name w:val="Balloon Text"/>
    <w:basedOn w:val="Normal"/>
    <w:link w:val="BalloonTextChar"/>
    <w:uiPriority w:val="99"/>
    <w:semiHidden/>
    <w:rsid w:val="00F3506C"/>
    <w:rPr>
      <w:rFonts w:ascii="Tahoma" w:hAnsi="Tahoma" w:cs="Tahoma"/>
      <w:sz w:val="16"/>
      <w:szCs w:val="16"/>
    </w:rPr>
  </w:style>
  <w:style w:type="character" w:customStyle="1" w:styleId="BalloonTextChar">
    <w:name w:val="Balloon Text Char"/>
    <w:link w:val="BalloonText"/>
    <w:uiPriority w:val="99"/>
    <w:semiHidden/>
    <w:locked/>
    <w:rsid w:val="00E1223E"/>
    <w:rPr>
      <w:rFonts w:ascii="Times New Roman" w:hAnsi="Times New Roman" w:cs="Times New Roman"/>
      <w:sz w:val="2"/>
      <w:szCs w:val="2"/>
    </w:rPr>
  </w:style>
  <w:style w:type="paragraph" w:styleId="PlainText">
    <w:name w:val="Plain Text"/>
    <w:basedOn w:val="Normal"/>
    <w:link w:val="PlainTextChar"/>
    <w:uiPriority w:val="99"/>
    <w:semiHidden/>
    <w:rsid w:val="00396506"/>
    <w:rPr>
      <w:rFonts w:ascii="Calibri" w:hAnsi="Calibri" w:cs="Calibri"/>
      <w:sz w:val="22"/>
      <w:szCs w:val="22"/>
    </w:rPr>
  </w:style>
  <w:style w:type="character" w:customStyle="1" w:styleId="PlainTextChar">
    <w:name w:val="Plain Text Char"/>
    <w:link w:val="PlainText"/>
    <w:uiPriority w:val="99"/>
    <w:semiHidden/>
    <w:locked/>
    <w:rsid w:val="00396506"/>
    <w:rPr>
      <w:rFonts w:ascii="Calibri" w:hAnsi="Calibri" w:cs="Calibri"/>
      <w:lang w:eastAsia="lv-LV"/>
    </w:rPr>
  </w:style>
  <w:style w:type="character" w:styleId="CommentReference">
    <w:name w:val="annotation reference"/>
    <w:uiPriority w:val="99"/>
    <w:semiHidden/>
    <w:rsid w:val="00623F32"/>
    <w:rPr>
      <w:sz w:val="16"/>
      <w:szCs w:val="16"/>
    </w:rPr>
  </w:style>
  <w:style w:type="paragraph" w:styleId="CommentText">
    <w:name w:val="annotation text"/>
    <w:basedOn w:val="Normal"/>
    <w:link w:val="CommentTextChar"/>
    <w:uiPriority w:val="99"/>
    <w:semiHidden/>
    <w:rsid w:val="00623F32"/>
    <w:rPr>
      <w:sz w:val="20"/>
      <w:szCs w:val="20"/>
    </w:rPr>
  </w:style>
  <w:style w:type="character" w:customStyle="1" w:styleId="CommentTextChar">
    <w:name w:val="Comment Text Char"/>
    <w:link w:val="CommentText"/>
    <w:uiPriority w:val="99"/>
    <w:locked/>
    <w:rsid w:val="00E1223E"/>
    <w:rPr>
      <w:rFonts w:ascii="Times New Roman" w:hAnsi="Times New Roman" w:cs="Times New Roman"/>
      <w:sz w:val="20"/>
      <w:szCs w:val="20"/>
    </w:rPr>
  </w:style>
  <w:style w:type="paragraph" w:styleId="CommentSubject">
    <w:name w:val="annotation subject"/>
    <w:basedOn w:val="CommentText"/>
    <w:next w:val="CommentText"/>
    <w:link w:val="CommentSubjectChar"/>
    <w:uiPriority w:val="99"/>
    <w:semiHidden/>
    <w:rsid w:val="00623F32"/>
    <w:rPr>
      <w:b/>
      <w:bCs/>
    </w:rPr>
  </w:style>
  <w:style w:type="character" w:customStyle="1" w:styleId="CommentSubjectChar">
    <w:name w:val="Comment Subject Char"/>
    <w:link w:val="CommentSubject"/>
    <w:uiPriority w:val="99"/>
    <w:semiHidden/>
    <w:locked/>
    <w:rsid w:val="00E1223E"/>
    <w:rPr>
      <w:rFonts w:ascii="Times New Roman" w:hAnsi="Times New Roman" w:cs="Times New Roman"/>
      <w:b/>
      <w:bCs/>
      <w:sz w:val="20"/>
      <w:szCs w:val="20"/>
    </w:rPr>
  </w:style>
  <w:style w:type="paragraph" w:styleId="FootnoteText">
    <w:name w:val="footnote text"/>
    <w:basedOn w:val="Normal"/>
    <w:link w:val="FootnoteTextChar"/>
    <w:uiPriority w:val="99"/>
    <w:semiHidden/>
    <w:rsid w:val="00623F32"/>
    <w:rPr>
      <w:sz w:val="20"/>
      <w:szCs w:val="20"/>
    </w:rPr>
  </w:style>
  <w:style w:type="character" w:customStyle="1" w:styleId="FootnoteTextChar">
    <w:name w:val="Footnote Text Char"/>
    <w:link w:val="FootnoteText"/>
    <w:uiPriority w:val="99"/>
    <w:semiHidden/>
    <w:locked/>
    <w:rsid w:val="00E1223E"/>
    <w:rPr>
      <w:rFonts w:ascii="Times New Roman" w:hAnsi="Times New Roman" w:cs="Times New Roman"/>
      <w:sz w:val="20"/>
      <w:szCs w:val="20"/>
    </w:rPr>
  </w:style>
  <w:style w:type="character" w:styleId="FootnoteReference">
    <w:name w:val="footnote reference"/>
    <w:uiPriority w:val="99"/>
    <w:semiHidden/>
    <w:rsid w:val="00623F32"/>
    <w:rPr>
      <w:vertAlign w:val="superscript"/>
    </w:rPr>
  </w:style>
  <w:style w:type="paragraph" w:customStyle="1" w:styleId="retrait1cm">
    <w:name w:val="retrait1cm"/>
    <w:basedOn w:val="Normal"/>
    <w:uiPriority w:val="99"/>
    <w:rsid w:val="00776ADF"/>
    <w:pPr>
      <w:widowControl w:val="0"/>
      <w:spacing w:line="360" w:lineRule="atLeast"/>
      <w:ind w:left="567"/>
      <w:jc w:val="both"/>
    </w:pPr>
    <w:rPr>
      <w:rFonts w:eastAsia="Times New Roman"/>
      <w:sz w:val="26"/>
      <w:szCs w:val="26"/>
      <w:lang w:val="en-US" w:eastAsia="fr-FR"/>
    </w:rPr>
  </w:style>
  <w:style w:type="paragraph" w:customStyle="1" w:styleId="SLONormal">
    <w:name w:val="SLO Normal"/>
    <w:link w:val="SLONormalChar"/>
    <w:uiPriority w:val="99"/>
    <w:rsid w:val="00586F9B"/>
    <w:pPr>
      <w:spacing w:before="120" w:after="120"/>
      <w:jc w:val="both"/>
    </w:pPr>
    <w:rPr>
      <w:rFonts w:ascii="Times New Roman" w:hAnsi="Times New Roman"/>
      <w:kern w:val="24"/>
      <w:sz w:val="22"/>
      <w:szCs w:val="22"/>
      <w:lang w:val="en-GB" w:eastAsia="en-US"/>
    </w:rPr>
  </w:style>
  <w:style w:type="paragraph" w:customStyle="1" w:styleId="1stlevelheading">
    <w:name w:val="1st level (heading)"/>
    <w:next w:val="SLONormal"/>
    <w:link w:val="1stlevelheadingChar"/>
    <w:uiPriority w:val="99"/>
    <w:rsid w:val="00776ADF"/>
    <w:pPr>
      <w:keepNext/>
      <w:numPr>
        <w:numId w:val="3"/>
      </w:numPr>
      <w:spacing w:before="360" w:after="240"/>
      <w:jc w:val="both"/>
      <w:outlineLvl w:val="0"/>
    </w:pPr>
    <w:rPr>
      <w:rFonts w:ascii="Times New Roman" w:eastAsia="Times New Roman" w:hAnsi="Times New Roman"/>
      <w:b/>
      <w:bCs/>
      <w:caps/>
      <w:spacing w:val="25"/>
      <w:kern w:val="24"/>
      <w:sz w:val="22"/>
      <w:szCs w:val="22"/>
      <w:lang w:val="en-GB" w:eastAsia="en-US"/>
    </w:rPr>
  </w:style>
  <w:style w:type="paragraph" w:customStyle="1" w:styleId="2ndlevelheading">
    <w:name w:val="2nd level (heading)"/>
    <w:basedOn w:val="1stlevelheading"/>
    <w:next w:val="SLONormal"/>
    <w:link w:val="2ndlevelheadingChar"/>
    <w:uiPriority w:val="99"/>
    <w:rsid w:val="00586F9B"/>
    <w:pPr>
      <w:numPr>
        <w:ilvl w:val="1"/>
      </w:numPr>
      <w:spacing w:before="240"/>
      <w:outlineLvl w:val="1"/>
    </w:pPr>
    <w:rPr>
      <w:rFonts w:ascii="Calibri" w:eastAsia="Calibri" w:hAnsi="Calibri"/>
      <w:caps w:val="0"/>
      <w:spacing w:val="0"/>
      <w:sz w:val="24"/>
      <w:szCs w:val="24"/>
    </w:rPr>
  </w:style>
  <w:style w:type="paragraph" w:customStyle="1" w:styleId="3rdlevelheading">
    <w:name w:val="3rd level (heading)"/>
    <w:basedOn w:val="2ndlevelheading"/>
    <w:next w:val="SLONormal"/>
    <w:uiPriority w:val="99"/>
    <w:rsid w:val="00586F9B"/>
    <w:pPr>
      <w:numPr>
        <w:ilvl w:val="2"/>
      </w:numPr>
      <w:outlineLvl w:val="2"/>
    </w:pPr>
    <w:rPr>
      <w:i/>
      <w:iCs/>
    </w:rPr>
  </w:style>
  <w:style w:type="paragraph" w:customStyle="1" w:styleId="4thlevelheading">
    <w:name w:val="4th level (heading)"/>
    <w:basedOn w:val="3rdlevelheading"/>
    <w:next w:val="SLONormal"/>
    <w:uiPriority w:val="99"/>
    <w:rsid w:val="00586F9B"/>
    <w:pPr>
      <w:numPr>
        <w:ilvl w:val="3"/>
      </w:numPr>
      <w:spacing w:after="120"/>
      <w:outlineLvl w:val="3"/>
    </w:pPr>
    <w:rPr>
      <w:b w:val="0"/>
      <w:bCs w:val="0"/>
    </w:rPr>
  </w:style>
  <w:style w:type="paragraph" w:customStyle="1" w:styleId="5thlevelheading">
    <w:name w:val="5th level (heading)"/>
    <w:basedOn w:val="4thlevelheading"/>
    <w:next w:val="SLONormal"/>
    <w:uiPriority w:val="99"/>
    <w:rsid w:val="00586F9B"/>
    <w:pPr>
      <w:numPr>
        <w:ilvl w:val="4"/>
      </w:numPr>
      <w:outlineLvl w:val="4"/>
    </w:pPr>
    <w:rPr>
      <w:i w:val="0"/>
      <w:iCs w:val="0"/>
      <w:u w:val="single"/>
    </w:rPr>
  </w:style>
  <w:style w:type="paragraph" w:customStyle="1" w:styleId="4thlevellist">
    <w:name w:val="4th level (list)"/>
    <w:basedOn w:val="4thlevelheading"/>
    <w:uiPriority w:val="99"/>
    <w:rsid w:val="00586F9B"/>
    <w:pPr>
      <w:keepNext w:val="0"/>
      <w:spacing w:before="120"/>
    </w:pPr>
    <w:rPr>
      <w:i w:val="0"/>
      <w:iCs w:val="0"/>
    </w:rPr>
  </w:style>
  <w:style w:type="table" w:styleId="TableGrid">
    <w:name w:val="Table Grid"/>
    <w:basedOn w:val="TableNormal"/>
    <w:uiPriority w:val="99"/>
    <w:locked/>
    <w:rsid w:val="00776ADF"/>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stlevelheadingChar">
    <w:name w:val="1st level (heading) Char"/>
    <w:link w:val="1stlevelheading"/>
    <w:uiPriority w:val="99"/>
    <w:locked/>
    <w:rsid w:val="00776ADF"/>
    <w:rPr>
      <w:rFonts w:ascii="Times New Roman" w:eastAsia="Times New Roman" w:hAnsi="Times New Roman"/>
      <w:b/>
      <w:bCs/>
      <w:caps/>
      <w:spacing w:val="25"/>
      <w:kern w:val="24"/>
      <w:sz w:val="22"/>
      <w:szCs w:val="22"/>
      <w:lang w:val="en-GB" w:eastAsia="en-US" w:bidi="ar-SA"/>
    </w:rPr>
  </w:style>
  <w:style w:type="paragraph" w:customStyle="1" w:styleId="5thlevel">
    <w:name w:val="5th level"/>
    <w:basedOn w:val="5thlevelheading"/>
    <w:uiPriority w:val="99"/>
    <w:rsid w:val="001200A8"/>
    <w:pPr>
      <w:keepNext w:val="0"/>
      <w:spacing w:before="120"/>
    </w:pPr>
    <w:rPr>
      <w:u w:val="none"/>
    </w:rPr>
  </w:style>
  <w:style w:type="character" w:customStyle="1" w:styleId="SLONormalChar">
    <w:name w:val="SLO Normal Char"/>
    <w:link w:val="SLONormal"/>
    <w:uiPriority w:val="99"/>
    <w:locked/>
    <w:rsid w:val="001200A8"/>
    <w:rPr>
      <w:rFonts w:ascii="Times New Roman" w:hAnsi="Times New Roman"/>
      <w:kern w:val="24"/>
      <w:sz w:val="22"/>
      <w:szCs w:val="22"/>
      <w:lang w:val="en-GB" w:eastAsia="en-US" w:bidi="ar-SA"/>
    </w:rPr>
  </w:style>
  <w:style w:type="character" w:customStyle="1" w:styleId="2ndlevelheadingChar">
    <w:name w:val="2nd level (heading) Char"/>
    <w:link w:val="2ndlevelheading"/>
    <w:uiPriority w:val="99"/>
    <w:locked/>
    <w:rsid w:val="001200A8"/>
    <w:rPr>
      <w:rFonts w:ascii="Calibri" w:hAnsi="Calibri" w:cs="Calibri"/>
      <w:b/>
      <w:bCs/>
      <w:kern w:val="24"/>
      <w:sz w:val="24"/>
      <w:szCs w:val="24"/>
      <w:lang w:val="en-GB" w:eastAsia="en-US"/>
    </w:rPr>
  </w:style>
  <w:style w:type="paragraph" w:styleId="Header">
    <w:name w:val="header"/>
    <w:basedOn w:val="Normal"/>
    <w:link w:val="HeaderChar"/>
    <w:uiPriority w:val="99"/>
    <w:rsid w:val="00586F9B"/>
    <w:pPr>
      <w:tabs>
        <w:tab w:val="center" w:pos="4153"/>
        <w:tab w:val="right" w:pos="8306"/>
      </w:tabs>
    </w:pPr>
  </w:style>
  <w:style w:type="character" w:customStyle="1" w:styleId="HeaderChar">
    <w:name w:val="Header Char"/>
    <w:link w:val="Header"/>
    <w:uiPriority w:val="99"/>
    <w:locked/>
    <w:rsid w:val="00586F9B"/>
    <w:rPr>
      <w:rFonts w:ascii="Times New Roman" w:hAnsi="Times New Roman" w:cs="Times New Roman"/>
      <w:sz w:val="24"/>
      <w:szCs w:val="24"/>
    </w:rPr>
  </w:style>
  <w:style w:type="paragraph" w:styleId="Footer">
    <w:name w:val="footer"/>
    <w:basedOn w:val="Normal"/>
    <w:link w:val="FooterChar"/>
    <w:rsid w:val="00586F9B"/>
    <w:pPr>
      <w:tabs>
        <w:tab w:val="center" w:pos="4153"/>
        <w:tab w:val="right" w:pos="8306"/>
      </w:tabs>
    </w:pPr>
  </w:style>
  <w:style w:type="character" w:customStyle="1" w:styleId="FooterChar">
    <w:name w:val="Footer Char"/>
    <w:link w:val="Footer"/>
    <w:locked/>
    <w:rsid w:val="00586F9B"/>
    <w:rPr>
      <w:rFonts w:ascii="Times New Roman" w:hAnsi="Times New Roman" w:cs="Times New Roman"/>
      <w:sz w:val="24"/>
      <w:szCs w:val="24"/>
    </w:rPr>
  </w:style>
  <w:style w:type="paragraph" w:styleId="Revision">
    <w:name w:val="Revision"/>
    <w:hidden/>
    <w:uiPriority w:val="99"/>
    <w:semiHidden/>
    <w:rsid w:val="00586F9B"/>
    <w:rPr>
      <w:rFonts w:ascii="Times New Roman" w:hAnsi="Times New Roman"/>
      <w:sz w:val="24"/>
      <w:szCs w:val="24"/>
    </w:rPr>
  </w:style>
  <w:style w:type="character" w:customStyle="1" w:styleId="st1">
    <w:name w:val="st1"/>
    <w:basedOn w:val="DefaultParagraphFont"/>
    <w:uiPriority w:val="99"/>
    <w:rsid w:val="00B219B8"/>
  </w:style>
  <w:style w:type="character" w:styleId="Hyperlink">
    <w:name w:val="Hyperlink"/>
    <w:rsid w:val="006A117B"/>
    <w:rPr>
      <w:color w:val="0000FF"/>
      <w:u w:val="single"/>
    </w:rPr>
  </w:style>
  <w:style w:type="character" w:styleId="PageNumber">
    <w:name w:val="page number"/>
    <w:basedOn w:val="DefaultParagraphFont"/>
    <w:uiPriority w:val="99"/>
    <w:rsid w:val="00FB7CA7"/>
  </w:style>
  <w:style w:type="paragraph" w:styleId="ListParagraph">
    <w:name w:val="List Paragraph"/>
    <w:basedOn w:val="Normal"/>
    <w:uiPriority w:val="34"/>
    <w:qFormat/>
    <w:rsid w:val="007C225A"/>
    <w:pPr>
      <w:ind w:left="720"/>
    </w:pPr>
  </w:style>
  <w:style w:type="paragraph" w:styleId="EndnoteText">
    <w:name w:val="endnote text"/>
    <w:basedOn w:val="Normal"/>
    <w:link w:val="EndnoteTextChar"/>
    <w:uiPriority w:val="99"/>
    <w:semiHidden/>
    <w:rsid w:val="00B74D46"/>
    <w:rPr>
      <w:sz w:val="20"/>
      <w:szCs w:val="20"/>
    </w:rPr>
  </w:style>
  <w:style w:type="character" w:customStyle="1" w:styleId="EndnoteTextChar">
    <w:name w:val="Endnote Text Char"/>
    <w:link w:val="EndnoteText"/>
    <w:uiPriority w:val="99"/>
    <w:semiHidden/>
    <w:locked/>
    <w:rsid w:val="00B74D46"/>
    <w:rPr>
      <w:rFonts w:ascii="Times New Roman" w:hAnsi="Times New Roman" w:cs="Times New Roman"/>
      <w:sz w:val="20"/>
      <w:szCs w:val="20"/>
    </w:rPr>
  </w:style>
  <w:style w:type="character" w:styleId="EndnoteReference">
    <w:name w:val="endnote reference"/>
    <w:uiPriority w:val="99"/>
    <w:semiHidden/>
    <w:rsid w:val="00B74D46"/>
    <w:rPr>
      <w:vertAlign w:val="superscript"/>
    </w:rPr>
  </w:style>
  <w:style w:type="paragraph" w:customStyle="1" w:styleId="atiret201p12">
    <w:name w:val="a_tiret_20_1_p12"/>
    <w:basedOn w:val="Normal"/>
    <w:uiPriority w:val="99"/>
    <w:rsid w:val="004D432E"/>
    <w:pPr>
      <w:spacing w:after="40"/>
    </w:pPr>
    <w:rPr>
      <w:rFonts w:eastAsia="Times New Roman"/>
    </w:rPr>
  </w:style>
  <w:style w:type="character" w:customStyle="1" w:styleId="at11">
    <w:name w:val="a__t11"/>
    <w:uiPriority w:val="99"/>
    <w:rsid w:val="004D432E"/>
    <w:rPr>
      <w:b/>
      <w:bCs/>
    </w:rPr>
  </w:style>
  <w:style w:type="paragraph" w:customStyle="1" w:styleId="atiret201p11">
    <w:name w:val="a_tiret_20_1_p11"/>
    <w:basedOn w:val="Normal"/>
    <w:uiPriority w:val="99"/>
    <w:rsid w:val="004D432E"/>
    <w:pPr>
      <w:spacing w:after="40"/>
    </w:pPr>
    <w:rPr>
      <w:rFonts w:eastAsia="Times New Roman"/>
    </w:rPr>
  </w:style>
  <w:style w:type="character" w:customStyle="1" w:styleId="at6">
    <w:name w:val="a__t6"/>
    <w:basedOn w:val="DefaultParagraphFont"/>
    <w:uiPriority w:val="99"/>
    <w:rsid w:val="004D432E"/>
  </w:style>
  <w:style w:type="character" w:customStyle="1" w:styleId="at51">
    <w:name w:val="a__t51"/>
    <w:uiPriority w:val="99"/>
    <w:rsid w:val="004D432E"/>
    <w:rPr>
      <w:b/>
      <w:bCs/>
    </w:rPr>
  </w:style>
  <w:style w:type="character" w:customStyle="1" w:styleId="at2">
    <w:name w:val="a__t2"/>
    <w:basedOn w:val="DefaultParagraphFont"/>
    <w:uiPriority w:val="99"/>
    <w:rsid w:val="004D432E"/>
  </w:style>
  <w:style w:type="paragraph" w:styleId="TOCHeading">
    <w:name w:val="TOC Heading"/>
    <w:basedOn w:val="Heading1"/>
    <w:next w:val="Normal"/>
    <w:uiPriority w:val="99"/>
    <w:qFormat/>
    <w:rsid w:val="00290526"/>
    <w:pPr>
      <w:spacing w:line="276" w:lineRule="auto"/>
      <w:outlineLvl w:val="9"/>
    </w:pPr>
    <w:rPr>
      <w:lang w:val="en-US" w:eastAsia="en-US"/>
    </w:rPr>
  </w:style>
  <w:style w:type="paragraph" w:styleId="TOC2">
    <w:name w:val="toc 2"/>
    <w:basedOn w:val="Normal"/>
    <w:next w:val="Normal"/>
    <w:autoRedefine/>
    <w:uiPriority w:val="99"/>
    <w:semiHidden/>
    <w:locked/>
    <w:rsid w:val="00290526"/>
    <w:pPr>
      <w:spacing w:after="100"/>
      <w:ind w:left="240"/>
    </w:pPr>
  </w:style>
  <w:style w:type="paragraph" w:styleId="TOC1">
    <w:name w:val="toc 1"/>
    <w:basedOn w:val="Normal"/>
    <w:next w:val="Normal"/>
    <w:autoRedefine/>
    <w:uiPriority w:val="39"/>
    <w:locked/>
    <w:rsid w:val="00290526"/>
    <w:pPr>
      <w:spacing w:after="100"/>
    </w:pPr>
  </w:style>
  <w:style w:type="character" w:styleId="Strong">
    <w:name w:val="Strong"/>
    <w:uiPriority w:val="22"/>
    <w:qFormat/>
    <w:locked/>
    <w:rsid w:val="00290526"/>
    <w:rPr>
      <w:b/>
      <w:bCs/>
    </w:rPr>
  </w:style>
  <w:style w:type="numbering" w:customStyle="1" w:styleId="SLONumberings">
    <w:name w:val="SLO_Numberings"/>
    <w:rsid w:val="00136756"/>
    <w:pPr>
      <w:numPr>
        <w:numId w:val="4"/>
      </w:numPr>
    </w:pPr>
  </w:style>
  <w:style w:type="paragraph" w:customStyle="1" w:styleId="naisc">
    <w:name w:val="naisc"/>
    <w:basedOn w:val="Normal"/>
    <w:rsid w:val="009B2B79"/>
    <w:pPr>
      <w:spacing w:before="75" w:after="75"/>
      <w:jc w:val="center"/>
    </w:pPr>
    <w:rPr>
      <w:rFonts w:eastAsia="Times New Roman"/>
    </w:rPr>
  </w:style>
  <w:style w:type="paragraph" w:styleId="BodyTextIndent">
    <w:name w:val="Body Text Indent"/>
    <w:basedOn w:val="Normal"/>
    <w:link w:val="BodyTextIndentChar"/>
    <w:uiPriority w:val="99"/>
    <w:rsid w:val="00E7524F"/>
    <w:pPr>
      <w:ind w:left="5760"/>
    </w:pPr>
    <w:rPr>
      <w:rFonts w:eastAsia="Times New Roman"/>
      <w:szCs w:val="20"/>
      <w:lang w:val="x-none"/>
    </w:rPr>
  </w:style>
  <w:style w:type="character" w:customStyle="1" w:styleId="BodyTextIndentChar">
    <w:name w:val="Body Text Indent Char"/>
    <w:link w:val="BodyTextIndent"/>
    <w:uiPriority w:val="99"/>
    <w:rsid w:val="00E7524F"/>
    <w:rPr>
      <w:rFonts w:ascii="Times New Roman" w:eastAsia="Times New Roman" w:hAnsi="Times New Roman"/>
      <w:sz w:val="24"/>
      <w:lang w:val="x-none"/>
    </w:rPr>
  </w:style>
  <w:style w:type="character" w:customStyle="1" w:styleId="st">
    <w:name w:val="st"/>
    <w:rsid w:val="00E1114E"/>
  </w:style>
  <w:style w:type="character" w:styleId="UnresolvedMention">
    <w:name w:val="Unresolved Mention"/>
    <w:uiPriority w:val="99"/>
    <w:semiHidden/>
    <w:unhideWhenUsed/>
    <w:rsid w:val="00C82E1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3498259">
      <w:bodyDiv w:val="1"/>
      <w:marLeft w:val="0"/>
      <w:marRight w:val="0"/>
      <w:marTop w:val="0"/>
      <w:marBottom w:val="0"/>
      <w:divBdr>
        <w:top w:val="none" w:sz="0" w:space="0" w:color="auto"/>
        <w:left w:val="none" w:sz="0" w:space="0" w:color="auto"/>
        <w:bottom w:val="none" w:sz="0" w:space="0" w:color="auto"/>
        <w:right w:val="none" w:sz="0" w:space="0" w:color="auto"/>
      </w:divBdr>
    </w:div>
    <w:div w:id="163514938">
      <w:bodyDiv w:val="1"/>
      <w:marLeft w:val="0"/>
      <w:marRight w:val="0"/>
      <w:marTop w:val="0"/>
      <w:marBottom w:val="0"/>
      <w:divBdr>
        <w:top w:val="none" w:sz="0" w:space="0" w:color="auto"/>
        <w:left w:val="none" w:sz="0" w:space="0" w:color="auto"/>
        <w:bottom w:val="none" w:sz="0" w:space="0" w:color="auto"/>
        <w:right w:val="none" w:sz="0" w:space="0" w:color="auto"/>
      </w:divBdr>
    </w:div>
    <w:div w:id="172309381">
      <w:marLeft w:val="0"/>
      <w:marRight w:val="0"/>
      <w:marTop w:val="0"/>
      <w:marBottom w:val="0"/>
      <w:divBdr>
        <w:top w:val="none" w:sz="0" w:space="0" w:color="auto"/>
        <w:left w:val="none" w:sz="0" w:space="0" w:color="auto"/>
        <w:bottom w:val="none" w:sz="0" w:space="0" w:color="auto"/>
        <w:right w:val="none" w:sz="0" w:space="0" w:color="auto"/>
      </w:divBdr>
      <w:divsChild>
        <w:div w:id="172309394">
          <w:marLeft w:val="0"/>
          <w:marRight w:val="0"/>
          <w:marTop w:val="0"/>
          <w:marBottom w:val="0"/>
          <w:divBdr>
            <w:top w:val="none" w:sz="0" w:space="0" w:color="auto"/>
            <w:left w:val="single" w:sz="12" w:space="0" w:color="003399"/>
            <w:bottom w:val="none" w:sz="0" w:space="0" w:color="auto"/>
            <w:right w:val="single" w:sz="12" w:space="0" w:color="003399"/>
          </w:divBdr>
          <w:divsChild>
            <w:div w:id="172309380">
              <w:marLeft w:val="0"/>
              <w:marRight w:val="0"/>
              <w:marTop w:val="45"/>
              <w:marBottom w:val="0"/>
              <w:divBdr>
                <w:top w:val="none" w:sz="0" w:space="0" w:color="auto"/>
                <w:left w:val="none" w:sz="0" w:space="0" w:color="auto"/>
                <w:bottom w:val="none" w:sz="0" w:space="0" w:color="auto"/>
                <w:right w:val="none" w:sz="0" w:space="0" w:color="auto"/>
              </w:divBdr>
              <w:divsChild>
                <w:div w:id="172309399">
                  <w:marLeft w:val="0"/>
                  <w:marRight w:val="0"/>
                  <w:marTop w:val="0"/>
                  <w:marBottom w:val="0"/>
                  <w:divBdr>
                    <w:top w:val="none" w:sz="0" w:space="0" w:color="auto"/>
                    <w:left w:val="none" w:sz="0" w:space="0" w:color="auto"/>
                    <w:bottom w:val="none" w:sz="0" w:space="0" w:color="auto"/>
                    <w:right w:val="none" w:sz="0" w:space="0" w:color="auto"/>
                  </w:divBdr>
                  <w:divsChild>
                    <w:div w:id="172309398">
                      <w:marLeft w:val="0"/>
                      <w:marRight w:val="0"/>
                      <w:marTop w:val="0"/>
                      <w:marBottom w:val="0"/>
                      <w:divBdr>
                        <w:top w:val="none" w:sz="0" w:space="0" w:color="auto"/>
                        <w:left w:val="none" w:sz="0" w:space="0" w:color="auto"/>
                        <w:bottom w:val="none" w:sz="0" w:space="0" w:color="auto"/>
                        <w:right w:val="none" w:sz="0" w:space="0" w:color="auto"/>
                      </w:divBdr>
                      <w:divsChild>
                        <w:div w:id="172309390">
                          <w:marLeft w:val="120"/>
                          <w:marRight w:val="120"/>
                          <w:marTop w:val="0"/>
                          <w:marBottom w:val="120"/>
                          <w:divBdr>
                            <w:top w:val="none" w:sz="0" w:space="0" w:color="auto"/>
                            <w:left w:val="none" w:sz="0" w:space="0" w:color="auto"/>
                            <w:bottom w:val="none" w:sz="0" w:space="0" w:color="auto"/>
                            <w:right w:val="none" w:sz="0" w:space="0" w:color="auto"/>
                          </w:divBdr>
                          <w:divsChild>
                            <w:div w:id="172309403">
                              <w:marLeft w:val="300"/>
                              <w:marRight w:val="300"/>
                              <w:marTop w:val="0"/>
                              <w:marBottom w:val="0"/>
                              <w:divBdr>
                                <w:top w:val="none" w:sz="0" w:space="0" w:color="auto"/>
                                <w:left w:val="none" w:sz="0" w:space="0" w:color="auto"/>
                                <w:bottom w:val="none" w:sz="0" w:space="0" w:color="auto"/>
                                <w:right w:val="none" w:sz="0" w:space="0" w:color="auto"/>
                              </w:divBdr>
                              <w:divsChild>
                                <w:div w:id="172309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2309382">
      <w:marLeft w:val="0"/>
      <w:marRight w:val="0"/>
      <w:marTop w:val="0"/>
      <w:marBottom w:val="0"/>
      <w:divBdr>
        <w:top w:val="none" w:sz="0" w:space="0" w:color="auto"/>
        <w:left w:val="none" w:sz="0" w:space="0" w:color="auto"/>
        <w:bottom w:val="none" w:sz="0" w:space="0" w:color="auto"/>
        <w:right w:val="none" w:sz="0" w:space="0" w:color="auto"/>
      </w:divBdr>
    </w:div>
    <w:div w:id="172309383">
      <w:marLeft w:val="0"/>
      <w:marRight w:val="0"/>
      <w:marTop w:val="0"/>
      <w:marBottom w:val="0"/>
      <w:divBdr>
        <w:top w:val="none" w:sz="0" w:space="0" w:color="auto"/>
        <w:left w:val="none" w:sz="0" w:space="0" w:color="auto"/>
        <w:bottom w:val="none" w:sz="0" w:space="0" w:color="auto"/>
        <w:right w:val="none" w:sz="0" w:space="0" w:color="auto"/>
      </w:divBdr>
    </w:div>
    <w:div w:id="172309384">
      <w:marLeft w:val="0"/>
      <w:marRight w:val="0"/>
      <w:marTop w:val="0"/>
      <w:marBottom w:val="0"/>
      <w:divBdr>
        <w:top w:val="none" w:sz="0" w:space="0" w:color="auto"/>
        <w:left w:val="none" w:sz="0" w:space="0" w:color="auto"/>
        <w:bottom w:val="none" w:sz="0" w:space="0" w:color="auto"/>
        <w:right w:val="none" w:sz="0" w:space="0" w:color="auto"/>
      </w:divBdr>
    </w:div>
    <w:div w:id="172309387">
      <w:marLeft w:val="0"/>
      <w:marRight w:val="0"/>
      <w:marTop w:val="0"/>
      <w:marBottom w:val="0"/>
      <w:divBdr>
        <w:top w:val="none" w:sz="0" w:space="0" w:color="auto"/>
        <w:left w:val="none" w:sz="0" w:space="0" w:color="auto"/>
        <w:bottom w:val="none" w:sz="0" w:space="0" w:color="auto"/>
        <w:right w:val="none" w:sz="0" w:space="0" w:color="auto"/>
      </w:divBdr>
    </w:div>
    <w:div w:id="172309391">
      <w:marLeft w:val="0"/>
      <w:marRight w:val="0"/>
      <w:marTop w:val="0"/>
      <w:marBottom w:val="0"/>
      <w:divBdr>
        <w:top w:val="none" w:sz="0" w:space="0" w:color="auto"/>
        <w:left w:val="none" w:sz="0" w:space="0" w:color="auto"/>
        <w:bottom w:val="none" w:sz="0" w:space="0" w:color="auto"/>
        <w:right w:val="none" w:sz="0" w:space="0" w:color="auto"/>
      </w:divBdr>
      <w:divsChild>
        <w:div w:id="172309395">
          <w:marLeft w:val="0"/>
          <w:marRight w:val="0"/>
          <w:marTop w:val="0"/>
          <w:marBottom w:val="0"/>
          <w:divBdr>
            <w:top w:val="none" w:sz="0" w:space="0" w:color="auto"/>
            <w:left w:val="single" w:sz="12" w:space="0" w:color="003399"/>
            <w:bottom w:val="none" w:sz="0" w:space="0" w:color="auto"/>
            <w:right w:val="single" w:sz="12" w:space="0" w:color="003399"/>
          </w:divBdr>
          <w:divsChild>
            <w:div w:id="172309400">
              <w:marLeft w:val="0"/>
              <w:marRight w:val="0"/>
              <w:marTop w:val="45"/>
              <w:marBottom w:val="0"/>
              <w:divBdr>
                <w:top w:val="none" w:sz="0" w:space="0" w:color="auto"/>
                <w:left w:val="none" w:sz="0" w:space="0" w:color="auto"/>
                <w:bottom w:val="none" w:sz="0" w:space="0" w:color="auto"/>
                <w:right w:val="none" w:sz="0" w:space="0" w:color="auto"/>
              </w:divBdr>
              <w:divsChild>
                <w:div w:id="172309396">
                  <w:marLeft w:val="0"/>
                  <w:marRight w:val="0"/>
                  <w:marTop w:val="0"/>
                  <w:marBottom w:val="0"/>
                  <w:divBdr>
                    <w:top w:val="none" w:sz="0" w:space="0" w:color="auto"/>
                    <w:left w:val="none" w:sz="0" w:space="0" w:color="auto"/>
                    <w:bottom w:val="none" w:sz="0" w:space="0" w:color="auto"/>
                    <w:right w:val="none" w:sz="0" w:space="0" w:color="auto"/>
                  </w:divBdr>
                  <w:divsChild>
                    <w:div w:id="172309405">
                      <w:marLeft w:val="0"/>
                      <w:marRight w:val="0"/>
                      <w:marTop w:val="0"/>
                      <w:marBottom w:val="0"/>
                      <w:divBdr>
                        <w:top w:val="none" w:sz="0" w:space="0" w:color="auto"/>
                        <w:left w:val="none" w:sz="0" w:space="0" w:color="auto"/>
                        <w:bottom w:val="none" w:sz="0" w:space="0" w:color="auto"/>
                        <w:right w:val="none" w:sz="0" w:space="0" w:color="auto"/>
                      </w:divBdr>
                      <w:divsChild>
                        <w:div w:id="172309409">
                          <w:marLeft w:val="120"/>
                          <w:marRight w:val="120"/>
                          <w:marTop w:val="0"/>
                          <w:marBottom w:val="120"/>
                          <w:divBdr>
                            <w:top w:val="none" w:sz="0" w:space="0" w:color="auto"/>
                            <w:left w:val="none" w:sz="0" w:space="0" w:color="auto"/>
                            <w:bottom w:val="none" w:sz="0" w:space="0" w:color="auto"/>
                            <w:right w:val="none" w:sz="0" w:space="0" w:color="auto"/>
                          </w:divBdr>
                          <w:divsChild>
                            <w:div w:id="172309408">
                              <w:marLeft w:val="300"/>
                              <w:marRight w:val="300"/>
                              <w:marTop w:val="0"/>
                              <w:marBottom w:val="0"/>
                              <w:divBdr>
                                <w:top w:val="none" w:sz="0" w:space="0" w:color="auto"/>
                                <w:left w:val="none" w:sz="0" w:space="0" w:color="auto"/>
                                <w:bottom w:val="none" w:sz="0" w:space="0" w:color="auto"/>
                                <w:right w:val="none" w:sz="0" w:space="0" w:color="auto"/>
                              </w:divBdr>
                              <w:divsChild>
                                <w:div w:id="172309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2309402">
      <w:marLeft w:val="0"/>
      <w:marRight w:val="0"/>
      <w:marTop w:val="0"/>
      <w:marBottom w:val="0"/>
      <w:divBdr>
        <w:top w:val="none" w:sz="0" w:space="0" w:color="auto"/>
        <w:left w:val="none" w:sz="0" w:space="0" w:color="auto"/>
        <w:bottom w:val="none" w:sz="0" w:space="0" w:color="auto"/>
        <w:right w:val="none" w:sz="0" w:space="0" w:color="auto"/>
      </w:divBdr>
      <w:divsChild>
        <w:div w:id="172309386">
          <w:marLeft w:val="0"/>
          <w:marRight w:val="0"/>
          <w:marTop w:val="0"/>
          <w:marBottom w:val="0"/>
          <w:divBdr>
            <w:top w:val="none" w:sz="0" w:space="0" w:color="auto"/>
            <w:left w:val="single" w:sz="12" w:space="0" w:color="003399"/>
            <w:bottom w:val="none" w:sz="0" w:space="0" w:color="auto"/>
            <w:right w:val="single" w:sz="12" w:space="0" w:color="003399"/>
          </w:divBdr>
          <w:divsChild>
            <w:div w:id="172309385">
              <w:marLeft w:val="0"/>
              <w:marRight w:val="0"/>
              <w:marTop w:val="45"/>
              <w:marBottom w:val="0"/>
              <w:divBdr>
                <w:top w:val="none" w:sz="0" w:space="0" w:color="auto"/>
                <w:left w:val="none" w:sz="0" w:space="0" w:color="auto"/>
                <w:bottom w:val="none" w:sz="0" w:space="0" w:color="auto"/>
                <w:right w:val="none" w:sz="0" w:space="0" w:color="auto"/>
              </w:divBdr>
              <w:divsChild>
                <w:div w:id="172309401">
                  <w:marLeft w:val="0"/>
                  <w:marRight w:val="0"/>
                  <w:marTop w:val="0"/>
                  <w:marBottom w:val="0"/>
                  <w:divBdr>
                    <w:top w:val="none" w:sz="0" w:space="0" w:color="auto"/>
                    <w:left w:val="none" w:sz="0" w:space="0" w:color="auto"/>
                    <w:bottom w:val="none" w:sz="0" w:space="0" w:color="auto"/>
                    <w:right w:val="none" w:sz="0" w:space="0" w:color="auto"/>
                  </w:divBdr>
                  <w:divsChild>
                    <w:div w:id="172309389">
                      <w:marLeft w:val="0"/>
                      <w:marRight w:val="0"/>
                      <w:marTop w:val="0"/>
                      <w:marBottom w:val="0"/>
                      <w:divBdr>
                        <w:top w:val="none" w:sz="0" w:space="0" w:color="auto"/>
                        <w:left w:val="none" w:sz="0" w:space="0" w:color="auto"/>
                        <w:bottom w:val="none" w:sz="0" w:space="0" w:color="auto"/>
                        <w:right w:val="none" w:sz="0" w:space="0" w:color="auto"/>
                      </w:divBdr>
                      <w:divsChild>
                        <w:div w:id="172309397">
                          <w:marLeft w:val="120"/>
                          <w:marRight w:val="120"/>
                          <w:marTop w:val="0"/>
                          <w:marBottom w:val="120"/>
                          <w:divBdr>
                            <w:top w:val="none" w:sz="0" w:space="0" w:color="auto"/>
                            <w:left w:val="none" w:sz="0" w:space="0" w:color="auto"/>
                            <w:bottom w:val="none" w:sz="0" w:space="0" w:color="auto"/>
                            <w:right w:val="none" w:sz="0" w:space="0" w:color="auto"/>
                          </w:divBdr>
                          <w:divsChild>
                            <w:div w:id="172309392">
                              <w:marLeft w:val="300"/>
                              <w:marRight w:val="300"/>
                              <w:marTop w:val="0"/>
                              <w:marBottom w:val="0"/>
                              <w:divBdr>
                                <w:top w:val="none" w:sz="0" w:space="0" w:color="auto"/>
                                <w:left w:val="none" w:sz="0" w:space="0" w:color="auto"/>
                                <w:bottom w:val="none" w:sz="0" w:space="0" w:color="auto"/>
                                <w:right w:val="none" w:sz="0" w:space="0" w:color="auto"/>
                              </w:divBdr>
                              <w:divsChild>
                                <w:div w:id="172309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2309404">
      <w:marLeft w:val="0"/>
      <w:marRight w:val="0"/>
      <w:marTop w:val="0"/>
      <w:marBottom w:val="0"/>
      <w:divBdr>
        <w:top w:val="none" w:sz="0" w:space="0" w:color="auto"/>
        <w:left w:val="none" w:sz="0" w:space="0" w:color="auto"/>
        <w:bottom w:val="none" w:sz="0" w:space="0" w:color="auto"/>
        <w:right w:val="none" w:sz="0" w:space="0" w:color="auto"/>
      </w:divBdr>
      <w:divsChild>
        <w:div w:id="172309406">
          <w:marLeft w:val="547"/>
          <w:marRight w:val="0"/>
          <w:marTop w:val="0"/>
          <w:marBottom w:val="0"/>
          <w:divBdr>
            <w:top w:val="none" w:sz="0" w:space="0" w:color="auto"/>
            <w:left w:val="none" w:sz="0" w:space="0" w:color="auto"/>
            <w:bottom w:val="none" w:sz="0" w:space="0" w:color="auto"/>
            <w:right w:val="none" w:sz="0" w:space="0" w:color="auto"/>
          </w:divBdr>
        </w:div>
      </w:divsChild>
    </w:div>
    <w:div w:id="249436509">
      <w:bodyDiv w:val="1"/>
      <w:marLeft w:val="0"/>
      <w:marRight w:val="0"/>
      <w:marTop w:val="0"/>
      <w:marBottom w:val="0"/>
      <w:divBdr>
        <w:top w:val="none" w:sz="0" w:space="0" w:color="auto"/>
        <w:left w:val="none" w:sz="0" w:space="0" w:color="auto"/>
        <w:bottom w:val="none" w:sz="0" w:space="0" w:color="auto"/>
        <w:right w:val="none" w:sz="0" w:space="0" w:color="auto"/>
      </w:divBdr>
    </w:div>
    <w:div w:id="446504811">
      <w:bodyDiv w:val="1"/>
      <w:marLeft w:val="0"/>
      <w:marRight w:val="0"/>
      <w:marTop w:val="0"/>
      <w:marBottom w:val="0"/>
      <w:divBdr>
        <w:top w:val="none" w:sz="0" w:space="0" w:color="auto"/>
        <w:left w:val="none" w:sz="0" w:space="0" w:color="auto"/>
        <w:bottom w:val="none" w:sz="0" w:space="0" w:color="auto"/>
        <w:right w:val="none" w:sz="0" w:space="0" w:color="auto"/>
      </w:divBdr>
    </w:div>
    <w:div w:id="484661158">
      <w:bodyDiv w:val="1"/>
      <w:marLeft w:val="0"/>
      <w:marRight w:val="0"/>
      <w:marTop w:val="0"/>
      <w:marBottom w:val="0"/>
      <w:divBdr>
        <w:top w:val="none" w:sz="0" w:space="0" w:color="auto"/>
        <w:left w:val="none" w:sz="0" w:space="0" w:color="auto"/>
        <w:bottom w:val="none" w:sz="0" w:space="0" w:color="auto"/>
        <w:right w:val="none" w:sz="0" w:space="0" w:color="auto"/>
      </w:divBdr>
    </w:div>
    <w:div w:id="697701586">
      <w:bodyDiv w:val="1"/>
      <w:marLeft w:val="0"/>
      <w:marRight w:val="0"/>
      <w:marTop w:val="0"/>
      <w:marBottom w:val="0"/>
      <w:divBdr>
        <w:top w:val="none" w:sz="0" w:space="0" w:color="auto"/>
        <w:left w:val="none" w:sz="0" w:space="0" w:color="auto"/>
        <w:bottom w:val="none" w:sz="0" w:space="0" w:color="auto"/>
        <w:right w:val="none" w:sz="0" w:space="0" w:color="auto"/>
      </w:divBdr>
    </w:div>
    <w:div w:id="1644001491">
      <w:bodyDiv w:val="1"/>
      <w:marLeft w:val="0"/>
      <w:marRight w:val="0"/>
      <w:marTop w:val="0"/>
      <w:marBottom w:val="0"/>
      <w:divBdr>
        <w:top w:val="none" w:sz="0" w:space="0" w:color="auto"/>
        <w:left w:val="none" w:sz="0" w:space="0" w:color="auto"/>
        <w:bottom w:val="none" w:sz="0" w:space="0" w:color="auto"/>
        <w:right w:val="none" w:sz="0" w:space="0" w:color="auto"/>
      </w:divBdr>
    </w:div>
    <w:div w:id="1697197148">
      <w:bodyDiv w:val="1"/>
      <w:marLeft w:val="0"/>
      <w:marRight w:val="0"/>
      <w:marTop w:val="0"/>
      <w:marBottom w:val="0"/>
      <w:divBdr>
        <w:top w:val="none" w:sz="0" w:space="0" w:color="auto"/>
        <w:left w:val="none" w:sz="0" w:space="0" w:color="auto"/>
        <w:bottom w:val="none" w:sz="0" w:space="0" w:color="auto"/>
        <w:right w:val="none" w:sz="0" w:space="0" w:color="auto"/>
      </w:divBdr>
    </w:div>
    <w:div w:id="19128827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2d.lv/l.php?doc_id=156704"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Evita.Kudure-Sevcuka@em.gov.lv"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0595B42-5F49-4E2F-950C-E613CF0E23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256</TotalTime>
  <Pages>7</Pages>
  <Words>10898</Words>
  <Characters>6212</Characters>
  <Application>Microsoft Office Word</Application>
  <DocSecurity>0</DocSecurity>
  <Lines>51</Lines>
  <Paragraphs>34</Paragraphs>
  <ScaleCrop>false</ScaleCrop>
  <HeadingPairs>
    <vt:vector size="2" baseType="variant">
      <vt:variant>
        <vt:lpstr>Title</vt:lpstr>
      </vt:variant>
      <vt:variant>
        <vt:i4>1</vt:i4>
      </vt:variant>
    </vt:vector>
  </HeadingPairs>
  <TitlesOfParts>
    <vt:vector size="1" baseType="lpstr">
      <vt:lpstr>Par SIA „Lattelecom” 2015.gadā sniegtā universālā pakalpojuma saistību tīro izmaksu kompensāciju</vt:lpstr>
    </vt:vector>
  </TitlesOfParts>
  <Company/>
  <LinksUpToDate>false</LinksUpToDate>
  <CharactersWithSpaces>17076</CharactersWithSpaces>
  <SharedDoc>false</SharedDoc>
  <HLinks>
    <vt:vector size="12" baseType="variant">
      <vt:variant>
        <vt:i4>6422552</vt:i4>
      </vt:variant>
      <vt:variant>
        <vt:i4>3</vt:i4>
      </vt:variant>
      <vt:variant>
        <vt:i4>0</vt:i4>
      </vt:variant>
      <vt:variant>
        <vt:i4>5</vt:i4>
      </vt:variant>
      <vt:variant>
        <vt:lpwstr>mailto:Evita.Kudure-Sevcuka@em.gov.lv</vt:lpwstr>
      </vt:variant>
      <vt:variant>
        <vt:lpwstr/>
      </vt:variant>
      <vt:variant>
        <vt:i4>7995399</vt:i4>
      </vt:variant>
      <vt:variant>
        <vt:i4>0</vt:i4>
      </vt:variant>
      <vt:variant>
        <vt:i4>0</vt:i4>
      </vt:variant>
      <vt:variant>
        <vt:i4>5</vt:i4>
      </vt:variant>
      <vt:variant>
        <vt:lpwstr>http://www.l2d.lv/l.php?doc_id=156704</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 SIA „Lattelecom” 2015.gadā sniegtā universālā pakalpojuma saistību tīro izmaksu kompensāciju</dc:title>
  <dc:subject/>
  <dc:creator>Intars Eglitis</dc:creator>
  <cp:keywords>Informatīvais ziņojums</cp:keywords>
  <dc:description>Intars.Eglitis@em.gov.lv
67013236</dc:description>
  <cp:lastModifiedBy>Evita Kudure-Ševčuka</cp:lastModifiedBy>
  <cp:revision>67</cp:revision>
  <cp:lastPrinted>2012-02-24T17:11:00Z</cp:lastPrinted>
  <dcterms:created xsi:type="dcterms:W3CDTF">2021-11-02T09:20:00Z</dcterms:created>
  <dcterms:modified xsi:type="dcterms:W3CDTF">2022-03-01T15:00:00Z</dcterms:modified>
</cp:coreProperties>
</file>