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A0E" w:rsidRPr="00C947F1" w:rsidRDefault="00C947F1" w:rsidP="00C947F1">
      <w:pPr>
        <w:jc w:val="right"/>
        <w:rPr>
          <w:rFonts w:ascii="Times New Roman" w:hAnsi="Times New Roman" w:cs="Times New Roman"/>
          <w:sz w:val="24"/>
          <w:szCs w:val="24"/>
          <w:lang w:val="en-US"/>
        </w:rPr>
      </w:pPr>
      <w:r w:rsidRPr="00C947F1">
        <w:rPr>
          <w:rFonts w:ascii="Times New Roman" w:hAnsi="Times New Roman" w:cs="Times New Roman"/>
          <w:sz w:val="24"/>
          <w:szCs w:val="24"/>
          <w:lang w:val="en-US"/>
        </w:rPr>
        <w:t>2. </w:t>
      </w:r>
      <w:proofErr w:type="spellStart"/>
      <w:r w:rsidRPr="00C947F1">
        <w:rPr>
          <w:rFonts w:ascii="Times New Roman" w:hAnsi="Times New Roman" w:cs="Times New Roman"/>
          <w:sz w:val="24"/>
          <w:szCs w:val="24"/>
          <w:lang w:val="en-US"/>
        </w:rPr>
        <w:t>pielikums</w:t>
      </w:r>
      <w:proofErr w:type="spellEnd"/>
    </w:p>
    <w:p w:rsidR="00C947F1" w:rsidRPr="00C947F1" w:rsidRDefault="00C947F1" w:rsidP="00C947F1">
      <w:pPr>
        <w:jc w:val="center"/>
        <w:rPr>
          <w:rFonts w:ascii="Times New Roman" w:hAnsi="Times New Roman" w:cs="Times New Roman"/>
          <w:sz w:val="24"/>
          <w:szCs w:val="24"/>
        </w:rPr>
      </w:pPr>
      <w:r w:rsidRPr="00C947F1">
        <w:rPr>
          <w:rFonts w:ascii="Times New Roman" w:hAnsi="Times New Roman" w:cs="Times New Roman"/>
          <w:sz w:val="24"/>
          <w:szCs w:val="24"/>
        </w:rPr>
        <w:t>“</w:t>
      </w:r>
      <w:bookmarkStart w:id="0" w:name="_GoBack"/>
      <w:r w:rsidRPr="00C947F1">
        <w:rPr>
          <w:rFonts w:ascii="Times New Roman" w:hAnsi="Times New Roman" w:cs="Times New Roman"/>
          <w:sz w:val="24"/>
          <w:szCs w:val="24"/>
        </w:rPr>
        <w:t>Ārvalstu prakses piemēri invaliditātes novērtēšanas pieejā</w:t>
      </w:r>
      <w:bookmarkEnd w:id="0"/>
      <w:r w:rsidRPr="00C947F1">
        <w:rPr>
          <w:rFonts w:ascii="Times New Roman" w:hAnsi="Times New Roman" w:cs="Times New Roman"/>
          <w:sz w:val="24"/>
          <w:szCs w:val="24"/>
        </w:rPr>
        <w:t>”</w:t>
      </w:r>
    </w:p>
    <w:p w:rsidR="00C947F1" w:rsidRPr="00C947F1" w:rsidRDefault="00C947F1" w:rsidP="00C947F1">
      <w:pPr>
        <w:rPr>
          <w:rFonts w:ascii="Times New Roman" w:hAnsi="Times New Roman" w:cs="Times New Roman"/>
          <w:b/>
          <w:i/>
          <w:sz w:val="24"/>
          <w:szCs w:val="24"/>
          <w:shd w:val="clear" w:color="auto" w:fill="FFFFFF"/>
        </w:rPr>
      </w:pPr>
      <w:bookmarkStart w:id="1" w:name="_Toc207286728"/>
      <w:r w:rsidRPr="00C947F1">
        <w:rPr>
          <w:rFonts w:ascii="Times New Roman" w:hAnsi="Times New Roman" w:cs="Times New Roman"/>
          <w:b/>
          <w:i/>
          <w:sz w:val="24"/>
          <w:szCs w:val="24"/>
          <w:shd w:val="clear" w:color="auto" w:fill="FFFFFF"/>
        </w:rPr>
        <w:t>Invaliditātes novērtēšanas sistēma Lietuvā</w:t>
      </w:r>
      <w:bookmarkEnd w:id="1"/>
    </w:p>
    <w:p w:rsidR="00C947F1" w:rsidRPr="00C947F1" w:rsidRDefault="00C947F1" w:rsidP="00C947F1">
      <w:pPr>
        <w:spacing w:after="0" w:line="240" w:lineRule="auto"/>
        <w:ind w:right="424"/>
        <w:jc w:val="both"/>
        <w:rPr>
          <w:rFonts w:ascii="Times New Roman" w:hAnsi="Times New Roman" w:cs="Times New Roman"/>
          <w:sz w:val="24"/>
          <w:szCs w:val="24"/>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Ar Pasaules Bankas un Eiropas Komisijas Strukturālo reformu atbalsta ģenerāldirektorāta (REFORM ĢD) starpniecību Lietuvā 2020.-2022.gadā, līdzīgi kā Latvijā, noritēja visaptverošs invaliditātes novērtēšanas sistēmas </w:t>
      </w:r>
      <w:proofErr w:type="spellStart"/>
      <w:r w:rsidRPr="00C947F1">
        <w:rPr>
          <w:rFonts w:ascii="Times New Roman" w:hAnsi="Times New Roman" w:cs="Times New Roman"/>
          <w:sz w:val="24"/>
          <w:szCs w:val="24"/>
          <w:shd w:val="clear" w:color="auto" w:fill="FFFFFF"/>
        </w:rPr>
        <w:t>izvērtējums</w:t>
      </w:r>
      <w:proofErr w:type="spellEnd"/>
      <w:r w:rsidRPr="00C947F1">
        <w:rPr>
          <w:rFonts w:ascii="Times New Roman" w:hAnsi="Times New Roman" w:cs="Times New Roman"/>
          <w:sz w:val="24"/>
          <w:szCs w:val="24"/>
          <w:shd w:val="clear" w:color="auto" w:fill="FFFFFF"/>
        </w:rPr>
        <w:t xml:space="preserve"> un Pasaules Bankas eksperti publicēja ziņojumu un rekomendācijas</w:t>
      </w:r>
      <w:r w:rsidRPr="00C947F1">
        <w:rPr>
          <w:rStyle w:val="FootnoteReference"/>
          <w:rFonts w:ascii="Times New Roman" w:hAnsi="Times New Roman" w:cs="Times New Roman"/>
          <w:sz w:val="24"/>
          <w:szCs w:val="24"/>
          <w:shd w:val="clear" w:color="auto" w:fill="FFFFFF"/>
        </w:rPr>
        <w:footnoteReference w:id="1"/>
      </w:r>
      <w:r w:rsidRPr="00C947F1">
        <w:rPr>
          <w:rFonts w:ascii="Times New Roman" w:hAnsi="Times New Roman" w:cs="Times New Roman"/>
          <w:sz w:val="24"/>
          <w:szCs w:val="24"/>
          <w:shd w:val="clear" w:color="auto" w:fill="FFFFFF"/>
        </w:rPr>
        <w:t xml:space="preserve">.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Pasaules Bankas ieskatā Lietuvā ir labi izveidota invaliditātes novērtēšanas sistēma un sakārtota administratīvā struktūra. Invaliditātes un darbspēju novērtēšanas birojs DWCAO novērtē invaliditāti bērniem, kā arī darbspējas pieaugušajiem darbspējas vecumā, novērtē speciālās vajadzības (neatkarīgi no vecuma) un nosaka speciālo vajadzību līmeni vecāka gadagājuma cilvēkiem (t.i., pensijas vecuma personām). 2018. gadā DWCAO novērtēja aptuveni 88 000 visu vecumu cilvēku invaliditāti. Vairākums, aptuveni 51 000 jeb 58 % bija darbspēju novērtējumi darbspējīgā vecuma iedzīvotājiem. Novērtējums bērnu invaliditātei veidoja 7 % no kopējā skaita. Pārējie, apmēram trešdaļa, veidoja speciālo vajadzību līmeņa novērtējumu gados vecākiem cilvēkiem (virs 65 gadiem). Lielākajā daļā gadījumu invaliditāte personām vērtēta jau atkārtoti (virs 70 %).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Saskaņā ar Sociālās drošības un darba ministrijas administratīvajiem datiem 2018. gadā Lietuvā bija 230 609 personas ar invaliditāti - 8,2 procenti no visiem iedzīvotājiem. Pēdējās desmitgades laikā personu ar invaliditāti skaits Lietuvā ir samazinājies. Tiek uzskatīts, ka ietekmējušie faktori bijuši emigrācija, zema dzimstība, veselīgāks dzīvesveids un uzlaboti veselības pakalpojumi, kas veicinājuši šo tendenci. Tomēr tikai empīriska analīze varētu atklāt faktorus, kas ir šo tendenču pamatā. Vienlaikus Pasaules Banka secina, ka administratīvie dati ir nedaudz nepilnīgi un nav pilnībā atjaunināti. Un Lietuvai vajadzētu nodrošināt datu bāzes atjauninājumus un uzturēšanu.</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Pasaules Banka secina, ka invaliditātes novērtējums Lietuvā pamatā joprojām balstās uz medicīniskiem kritērijiem. Medicīniskie kritēriji atbilst tipiskam </w:t>
      </w:r>
      <w:proofErr w:type="spellStart"/>
      <w:r w:rsidRPr="00C947F1">
        <w:rPr>
          <w:rFonts w:ascii="Times New Roman" w:hAnsi="Times New Roman" w:cs="Times New Roman"/>
          <w:sz w:val="24"/>
          <w:szCs w:val="24"/>
          <w:shd w:val="clear" w:color="auto" w:fill="FFFFFF"/>
        </w:rPr>
        <w:t>Barema</w:t>
      </w:r>
      <w:proofErr w:type="spellEnd"/>
      <w:r w:rsidRPr="00C947F1">
        <w:rPr>
          <w:rFonts w:ascii="Times New Roman" w:hAnsi="Times New Roman" w:cs="Times New Roman"/>
          <w:sz w:val="24"/>
          <w:szCs w:val="24"/>
          <w:shd w:val="clear" w:color="auto" w:fill="FFFFFF"/>
        </w:rPr>
        <w:t xml:space="preserve"> režģim, kas ietver sarakstu ar slimības un ķermeņa traucējumiem, un traucējumi veido noteiktu procentuālo daļu no invaliditātes. Aktivitātes un līdzdalības kritēriji gan ir balstīti uz virkni jautājumu, kas saistīti ar grūtībām darboties vairākās jomās, tomēr Pasaules Bankas ieskatā, Lietuvā netiek pietiekami izmantotas PVO starptautiskās invaliditātes mērījumu skalas un Lietuvā nacionāli izveidotā pieeja funkcionēšanas novērtējuma rezultāta atspoguļošanai faktiski gandrīz neietekmē gala lēmumu par invaliditāti. Novērtējums joprojām pamatā balstās uz medicīniskiem kritērijiem. Tādēļ Pasaules Banka iesaka izmantot starptautiskas skalas, piemēram, WHODAS, kas ir standartizēts, plaši pārbaudīts, starptautiski apstiprināts un zinātniski stabils un uzticams instruments invaliditātes </w:t>
      </w:r>
      <w:r w:rsidRPr="00C947F1">
        <w:rPr>
          <w:rFonts w:ascii="Times New Roman" w:hAnsi="Times New Roman" w:cs="Times New Roman"/>
          <w:sz w:val="24"/>
          <w:szCs w:val="24"/>
          <w:shd w:val="clear" w:color="auto" w:fill="FFFFFF"/>
        </w:rPr>
        <w:lastRenderedPageBreak/>
        <w:t>novērtēšanai. Lietuvā 2024.gadā noritēja plaša invaliditātes sistēmas reforma, cenšoties iedzīvināt pētījumā dotās rekomendācijas.</w:t>
      </w:r>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rPr>
          <w:rFonts w:ascii="Times New Roman" w:hAnsi="Times New Roman" w:cs="Times New Roman"/>
          <w:b/>
          <w:i/>
          <w:sz w:val="24"/>
          <w:szCs w:val="24"/>
          <w:shd w:val="clear" w:color="auto" w:fill="FFFFFF"/>
        </w:rPr>
      </w:pPr>
      <w:bookmarkStart w:id="2" w:name="_Toc207286729"/>
      <w:r w:rsidRPr="00C947F1">
        <w:rPr>
          <w:rFonts w:ascii="Times New Roman" w:hAnsi="Times New Roman" w:cs="Times New Roman"/>
          <w:b/>
          <w:i/>
          <w:sz w:val="24"/>
          <w:szCs w:val="24"/>
          <w:shd w:val="clear" w:color="auto" w:fill="FFFFFF"/>
        </w:rPr>
        <w:t>Invaliditātes novērtēšanas sistēma Igaunijā</w:t>
      </w:r>
      <w:bookmarkEnd w:id="2"/>
      <w:r w:rsidRPr="00C947F1">
        <w:rPr>
          <w:rFonts w:ascii="Times New Roman" w:hAnsi="Times New Roman" w:cs="Times New Roman"/>
          <w:b/>
          <w:i/>
          <w:sz w:val="24"/>
          <w:szCs w:val="24"/>
          <w:shd w:val="clear" w:color="auto" w:fill="FFFFFF"/>
        </w:rPr>
        <w:t xml:space="preserve"> </w:t>
      </w:r>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Igaunijā invaliditāti nosaka Bezdarba apdrošināšanas fonds (</w:t>
      </w:r>
      <w:proofErr w:type="spellStart"/>
      <w:r w:rsidRPr="00C947F1">
        <w:rPr>
          <w:rFonts w:ascii="Times New Roman" w:hAnsi="Times New Roman" w:cs="Times New Roman"/>
          <w:i/>
          <w:sz w:val="24"/>
          <w:szCs w:val="24"/>
          <w:shd w:val="clear" w:color="auto" w:fill="FFFFFF"/>
        </w:rPr>
        <w:t>angl</w:t>
      </w:r>
      <w:proofErr w:type="spellEnd"/>
      <w:r w:rsidRPr="00C947F1">
        <w:rPr>
          <w:rFonts w:ascii="Times New Roman" w:hAnsi="Times New Roman" w:cs="Times New Roman"/>
          <w:i/>
          <w:sz w:val="24"/>
          <w:szCs w:val="24"/>
          <w:shd w:val="clear" w:color="auto" w:fill="FFFFFF"/>
        </w:rPr>
        <w:t xml:space="preserve">. </w:t>
      </w:r>
      <w:proofErr w:type="spellStart"/>
      <w:r w:rsidRPr="00C947F1">
        <w:rPr>
          <w:rFonts w:ascii="Times New Roman" w:hAnsi="Times New Roman" w:cs="Times New Roman"/>
          <w:i/>
          <w:sz w:val="24"/>
          <w:szCs w:val="24"/>
          <w:shd w:val="clear" w:color="auto" w:fill="FFFFFF"/>
        </w:rPr>
        <w:t>Unemployment</w:t>
      </w:r>
      <w:proofErr w:type="spellEnd"/>
      <w:r w:rsidRPr="00C947F1">
        <w:rPr>
          <w:rFonts w:ascii="Times New Roman" w:hAnsi="Times New Roman" w:cs="Times New Roman"/>
          <w:i/>
          <w:sz w:val="24"/>
          <w:szCs w:val="24"/>
          <w:shd w:val="clear" w:color="auto" w:fill="FFFFFF"/>
        </w:rPr>
        <w:t xml:space="preserve"> Insurance </w:t>
      </w:r>
      <w:proofErr w:type="spellStart"/>
      <w:r w:rsidRPr="00C947F1">
        <w:rPr>
          <w:rFonts w:ascii="Times New Roman" w:hAnsi="Times New Roman" w:cs="Times New Roman"/>
          <w:i/>
          <w:sz w:val="24"/>
          <w:szCs w:val="24"/>
          <w:shd w:val="clear" w:color="auto" w:fill="FFFFFF"/>
        </w:rPr>
        <w:t>Fund</w:t>
      </w:r>
      <w:proofErr w:type="spellEnd"/>
      <w:r w:rsidRPr="00C947F1">
        <w:rPr>
          <w:rFonts w:ascii="Times New Roman" w:hAnsi="Times New Roman" w:cs="Times New Roman"/>
          <w:i/>
          <w:sz w:val="24"/>
          <w:szCs w:val="24"/>
          <w:shd w:val="clear" w:color="auto" w:fill="FFFFFF"/>
        </w:rPr>
        <w:t xml:space="preserve">) </w:t>
      </w:r>
      <w:r w:rsidRPr="00C947F1">
        <w:rPr>
          <w:rFonts w:ascii="Times New Roman" w:hAnsi="Times New Roman" w:cs="Times New Roman"/>
          <w:sz w:val="24"/>
          <w:szCs w:val="24"/>
          <w:shd w:val="clear" w:color="auto" w:fill="FFFFFF"/>
        </w:rPr>
        <w:t xml:space="preserve">un Sociālās apdrošināšanas </w:t>
      </w:r>
      <w:r w:rsidRPr="00C947F1">
        <w:rPr>
          <w:rFonts w:ascii="Times New Roman" w:hAnsi="Times New Roman" w:cs="Times New Roman"/>
          <w:i/>
          <w:sz w:val="24"/>
          <w:szCs w:val="24"/>
          <w:shd w:val="clear" w:color="auto" w:fill="FFFFFF"/>
        </w:rPr>
        <w:t>pārvalde (</w:t>
      </w:r>
      <w:proofErr w:type="spellStart"/>
      <w:r w:rsidRPr="00C947F1">
        <w:rPr>
          <w:rFonts w:ascii="Times New Roman" w:hAnsi="Times New Roman" w:cs="Times New Roman"/>
          <w:i/>
          <w:sz w:val="24"/>
          <w:szCs w:val="24"/>
          <w:shd w:val="clear" w:color="auto" w:fill="FFFFFF"/>
        </w:rPr>
        <w:t>angl</w:t>
      </w:r>
      <w:proofErr w:type="spellEnd"/>
      <w:r w:rsidRPr="00C947F1">
        <w:rPr>
          <w:rFonts w:ascii="Times New Roman" w:hAnsi="Times New Roman" w:cs="Times New Roman"/>
          <w:i/>
          <w:sz w:val="24"/>
          <w:szCs w:val="24"/>
          <w:shd w:val="clear" w:color="auto" w:fill="FFFFFF"/>
        </w:rPr>
        <w:t xml:space="preserve">. </w:t>
      </w:r>
      <w:proofErr w:type="spellStart"/>
      <w:r w:rsidRPr="00C947F1">
        <w:rPr>
          <w:rFonts w:ascii="Times New Roman" w:hAnsi="Times New Roman" w:cs="Times New Roman"/>
          <w:i/>
          <w:sz w:val="24"/>
          <w:szCs w:val="24"/>
          <w:shd w:val="clear" w:color="auto" w:fill="FFFFFF"/>
        </w:rPr>
        <w:t>Social</w:t>
      </w:r>
      <w:proofErr w:type="spellEnd"/>
      <w:r w:rsidRPr="00C947F1">
        <w:rPr>
          <w:rFonts w:ascii="Times New Roman" w:hAnsi="Times New Roman" w:cs="Times New Roman"/>
          <w:i/>
          <w:sz w:val="24"/>
          <w:szCs w:val="24"/>
          <w:shd w:val="clear" w:color="auto" w:fill="FFFFFF"/>
        </w:rPr>
        <w:t xml:space="preserve"> Insurance </w:t>
      </w:r>
      <w:proofErr w:type="spellStart"/>
      <w:r w:rsidRPr="00C947F1">
        <w:rPr>
          <w:rFonts w:ascii="Times New Roman" w:hAnsi="Times New Roman" w:cs="Times New Roman"/>
          <w:i/>
          <w:sz w:val="24"/>
          <w:szCs w:val="24"/>
          <w:shd w:val="clear" w:color="auto" w:fill="FFFFFF"/>
        </w:rPr>
        <w:t>Board</w:t>
      </w:r>
      <w:proofErr w:type="spellEnd"/>
      <w:r w:rsidRPr="00C947F1">
        <w:rPr>
          <w:rFonts w:ascii="Times New Roman" w:hAnsi="Times New Roman" w:cs="Times New Roman"/>
          <w:i/>
          <w:sz w:val="24"/>
          <w:szCs w:val="24"/>
          <w:shd w:val="clear" w:color="auto" w:fill="FFFFFF"/>
        </w:rPr>
        <w:t>),</w:t>
      </w:r>
      <w:r w:rsidRPr="00C947F1">
        <w:rPr>
          <w:rFonts w:ascii="Times New Roman" w:hAnsi="Times New Roman" w:cs="Times New Roman"/>
          <w:sz w:val="24"/>
          <w:szCs w:val="24"/>
          <w:shd w:val="clear" w:color="auto" w:fill="FFFFFF"/>
        </w:rPr>
        <w:t xml:space="preserve"> atkarībā no tā, vai persona ir darbspējīgā vecumā vai nē</w:t>
      </w:r>
      <w:r w:rsidRPr="00C947F1">
        <w:rPr>
          <w:rStyle w:val="FootnoteReference"/>
          <w:rFonts w:ascii="Times New Roman" w:hAnsi="Times New Roman" w:cs="Times New Roman"/>
          <w:sz w:val="24"/>
          <w:szCs w:val="24"/>
          <w:shd w:val="clear" w:color="auto" w:fill="FFFFFF"/>
        </w:rPr>
        <w:footnoteReference w:id="2"/>
      </w:r>
      <w:r w:rsidRPr="00C947F1">
        <w:rPr>
          <w:rFonts w:ascii="Times New Roman" w:hAnsi="Times New Roman" w:cs="Times New Roman"/>
          <w:sz w:val="24"/>
          <w:szCs w:val="24"/>
          <w:shd w:val="clear" w:color="auto" w:fill="FFFFFF"/>
        </w:rPr>
        <w:t>.</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Personām darbspējīgā vecumā darbspējas novērtē Bezdarba apdrošināšanas fonds. Personām ar daļējām darbspējām vai bezdarba spējām maksā darbspējas pabalstu. Bērniem un vecuma pensionāriem invaliditāti un tās smaguma pakāpi nosaka Sociālās apdrošināšanas pārvalde. Personai ar invaliditāti izmaksā invaliditātes pabalstu.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Igaunijā 2016.gadā notika vērienīga invaliditātes sistēmas reforma un tradicionālā invaliditātes pensija tika aizstāta ar darbspēju pabalstu. Tika ieviests jauns universāls invaliditātes novērtējums, kas vērsts uz darbspēju novērtēšanu, nevis darba nespējas novērtēšanu. Tiesības uz darbspēju pabalstu tika saistītas ar aktivitātes prasībām – aktivitātei darba tirgū, izglītībā vai apmācībā vai darba meklējumos – un tika paplašināta pieeja darbības atbalsta pakalpojumiem. Igaunijas Bezdarba apdrošināšanas fonds sāka novērtēt darba spējas, sniegt atbalsta pakalpojumus un izmaksāt darbspējas pabalstus. Reformas rezultātā ir palielinājušās cilvēku ar samazinātām darbspējām spējas un uzlabojusies viņu ekonomiskā situācija.</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Darbspēju pabalsts ir universāls, vienotas likmes pabalsts, ko finansē no valsts budžeta. Sistēma attiecas uz visiem iedzīvotājiem vecumā no 16 gadiem līdz pensijas vecumam. Tomēr darbspēju pabalsts nav daļa no valsts pensiju sistēmas, bet gan atsevišķa sistēma. Reformas rezultātā pabalsts pakāpeniski aizstāj darba nespējas pensiju (invaliditātes pensiju). Nav īpašas sociālās palīdzības shēmas invaliditātes gadījumā.</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Darba spēju līmeni nosaka šādi:</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pilnas darba spējas;</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daļējas darbaspējas, ja strādāt daļēji traucē veselības stāvoklis;</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nav spēju, ja persona ir darbnespējīga.</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Darba spēju novērtēšanu veic Igaunijas Bezdarba apdrošināšanas fonds sadarbībā ar veselības aprūpes sniedzējiem un ārstiem ekspertiem. Novērtējumā tiek noteikts darba spēju līmenis cilvēkiem ar ilgstošiem veselības traucējumiem, aktivitātes ierobežojumiem un sniegtas rekomendācijas par darba apstākļiem, darba spējas atbalstu un palīglīdzekļu nepieciešamību. Darbspēju pabalstu piešķir no pieteikšanās dienas uz daļēju darbspēju vai bezdarba spēju konstatēšanas laiku (parasti līdz pieciem gadiem). Ja veselības stāvoklis izslēdz jebkādas darbspējas (nemainīgs vai progresējošs), pabalstu var piešķirt uz ilgāku laiku līdz pensijas vecumam. Nav priekšlaicīgas pensionēšanās iespēju samazinātu darbspēju gadījumā.</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rPr>
          <w:rFonts w:ascii="Times New Roman" w:hAnsi="Times New Roman" w:cs="Times New Roman"/>
          <w:b/>
          <w:i/>
          <w:sz w:val="24"/>
          <w:szCs w:val="24"/>
          <w:shd w:val="clear" w:color="auto" w:fill="FFFFFF"/>
        </w:rPr>
      </w:pPr>
      <w:bookmarkStart w:id="3" w:name="_Toc207286730"/>
      <w:r w:rsidRPr="00C947F1">
        <w:rPr>
          <w:rFonts w:ascii="Times New Roman" w:hAnsi="Times New Roman" w:cs="Times New Roman"/>
          <w:b/>
          <w:i/>
          <w:sz w:val="24"/>
          <w:szCs w:val="24"/>
          <w:shd w:val="clear" w:color="auto" w:fill="FFFFFF"/>
        </w:rPr>
        <w:t>Invaliditātes novērtēšanas sistēma Kiprā</w:t>
      </w:r>
      <w:bookmarkEnd w:id="3"/>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Kiprā invaliditātes novērtēšanas procesu pārrauga Sociālo jautājumu ministrija. Kiprā ir trīs reģionālās invaliditātes novērtēšanas iestādes. Tās veic </w:t>
      </w:r>
      <w:proofErr w:type="spellStart"/>
      <w:r w:rsidRPr="00C947F1">
        <w:rPr>
          <w:rFonts w:ascii="Times New Roman" w:hAnsi="Times New Roman" w:cs="Times New Roman"/>
          <w:sz w:val="24"/>
          <w:szCs w:val="24"/>
          <w:shd w:val="clear" w:color="auto" w:fill="FFFFFF"/>
        </w:rPr>
        <w:t>multidisciplināru</w:t>
      </w:r>
      <w:proofErr w:type="spellEnd"/>
      <w:r w:rsidRPr="00C947F1">
        <w:rPr>
          <w:rFonts w:ascii="Times New Roman" w:hAnsi="Times New Roman" w:cs="Times New Roman"/>
          <w:sz w:val="24"/>
          <w:szCs w:val="24"/>
          <w:shd w:val="clear" w:color="auto" w:fill="FFFFFF"/>
        </w:rPr>
        <w:t xml:space="preserve"> novērtējumu, ievāc arī personiskos un ģimenes datus. Juridisko lēmumu par invaliditātes lēmumu veido šādas komponentes - traucējumi (</w:t>
      </w:r>
      <w:proofErr w:type="spellStart"/>
      <w:r w:rsidRPr="00C947F1">
        <w:rPr>
          <w:rFonts w:ascii="Times New Roman" w:hAnsi="Times New Roman" w:cs="Times New Roman"/>
          <w:sz w:val="24"/>
          <w:szCs w:val="24"/>
          <w:shd w:val="clear" w:color="auto" w:fill="FFFFFF"/>
        </w:rPr>
        <w:t>angl</w:t>
      </w:r>
      <w:proofErr w:type="spellEnd"/>
      <w:r w:rsidRPr="00C947F1">
        <w:rPr>
          <w:rFonts w:ascii="Times New Roman" w:hAnsi="Times New Roman" w:cs="Times New Roman"/>
          <w:sz w:val="24"/>
          <w:szCs w:val="24"/>
          <w:shd w:val="clear" w:color="auto" w:fill="FFFFFF"/>
        </w:rPr>
        <w:t xml:space="preserve">. - </w:t>
      </w:r>
      <w:proofErr w:type="spellStart"/>
      <w:r w:rsidRPr="00C947F1">
        <w:rPr>
          <w:rFonts w:ascii="Times New Roman" w:hAnsi="Times New Roman" w:cs="Times New Roman"/>
          <w:i/>
          <w:sz w:val="24"/>
          <w:szCs w:val="24"/>
          <w:shd w:val="clear" w:color="auto" w:fill="FFFFFF"/>
        </w:rPr>
        <w:t>impairments</w:t>
      </w:r>
      <w:proofErr w:type="spellEnd"/>
      <w:r w:rsidRPr="00C947F1">
        <w:rPr>
          <w:rFonts w:ascii="Times New Roman" w:hAnsi="Times New Roman" w:cs="Times New Roman"/>
          <w:sz w:val="24"/>
          <w:szCs w:val="24"/>
          <w:shd w:val="clear" w:color="auto" w:fill="FFFFFF"/>
        </w:rPr>
        <w:t>) + aktivitātes ierobežojumi (</w:t>
      </w:r>
      <w:proofErr w:type="spellStart"/>
      <w:r w:rsidRPr="00C947F1">
        <w:rPr>
          <w:rFonts w:ascii="Times New Roman" w:hAnsi="Times New Roman" w:cs="Times New Roman"/>
          <w:sz w:val="24"/>
          <w:szCs w:val="24"/>
          <w:shd w:val="clear" w:color="auto" w:fill="FFFFFF"/>
        </w:rPr>
        <w:t>angl</w:t>
      </w:r>
      <w:proofErr w:type="spellEnd"/>
      <w:r w:rsidRPr="00C947F1">
        <w:rPr>
          <w:rFonts w:ascii="Times New Roman" w:hAnsi="Times New Roman" w:cs="Times New Roman"/>
          <w:sz w:val="24"/>
          <w:szCs w:val="24"/>
          <w:shd w:val="clear" w:color="auto" w:fill="FFFFFF"/>
        </w:rPr>
        <w:t xml:space="preserve">. - </w:t>
      </w:r>
      <w:proofErr w:type="spellStart"/>
      <w:r w:rsidRPr="00C947F1">
        <w:rPr>
          <w:rFonts w:ascii="Times New Roman" w:hAnsi="Times New Roman" w:cs="Times New Roman"/>
          <w:i/>
          <w:sz w:val="24"/>
          <w:szCs w:val="24"/>
          <w:shd w:val="clear" w:color="auto" w:fill="FFFFFF"/>
        </w:rPr>
        <w:t>activity</w:t>
      </w:r>
      <w:proofErr w:type="spellEnd"/>
      <w:r w:rsidRPr="00C947F1">
        <w:rPr>
          <w:rFonts w:ascii="Times New Roman" w:hAnsi="Times New Roman" w:cs="Times New Roman"/>
          <w:i/>
          <w:sz w:val="24"/>
          <w:szCs w:val="24"/>
          <w:shd w:val="clear" w:color="auto" w:fill="FFFFFF"/>
        </w:rPr>
        <w:t xml:space="preserve"> </w:t>
      </w:r>
      <w:proofErr w:type="spellStart"/>
      <w:r w:rsidRPr="00C947F1">
        <w:rPr>
          <w:rFonts w:ascii="Times New Roman" w:hAnsi="Times New Roman" w:cs="Times New Roman"/>
          <w:i/>
          <w:sz w:val="24"/>
          <w:szCs w:val="24"/>
          <w:shd w:val="clear" w:color="auto" w:fill="FFFFFF"/>
        </w:rPr>
        <w:t>limitations</w:t>
      </w:r>
      <w:proofErr w:type="spellEnd"/>
      <w:r w:rsidRPr="00C947F1">
        <w:rPr>
          <w:rFonts w:ascii="Times New Roman" w:hAnsi="Times New Roman" w:cs="Times New Roman"/>
          <w:sz w:val="24"/>
          <w:szCs w:val="24"/>
          <w:shd w:val="clear" w:color="auto" w:fill="FFFFFF"/>
        </w:rPr>
        <w:t>) + dalības ierobežojumi (</w:t>
      </w:r>
      <w:proofErr w:type="spellStart"/>
      <w:r w:rsidRPr="00C947F1">
        <w:rPr>
          <w:rFonts w:ascii="Times New Roman" w:hAnsi="Times New Roman" w:cs="Times New Roman"/>
          <w:sz w:val="24"/>
          <w:szCs w:val="24"/>
          <w:shd w:val="clear" w:color="auto" w:fill="FFFFFF"/>
        </w:rPr>
        <w:t>angl</w:t>
      </w:r>
      <w:proofErr w:type="spellEnd"/>
      <w:r w:rsidRPr="00C947F1">
        <w:rPr>
          <w:rFonts w:ascii="Times New Roman" w:hAnsi="Times New Roman" w:cs="Times New Roman"/>
          <w:sz w:val="24"/>
          <w:szCs w:val="24"/>
          <w:shd w:val="clear" w:color="auto" w:fill="FFFFFF"/>
        </w:rPr>
        <w:t>. -</w:t>
      </w:r>
      <w:proofErr w:type="spellStart"/>
      <w:r w:rsidRPr="00C947F1">
        <w:rPr>
          <w:rFonts w:ascii="Times New Roman" w:hAnsi="Times New Roman" w:cs="Times New Roman"/>
          <w:i/>
          <w:sz w:val="24"/>
          <w:szCs w:val="24"/>
          <w:shd w:val="clear" w:color="auto" w:fill="FFFFFF"/>
        </w:rPr>
        <w:t>particiption</w:t>
      </w:r>
      <w:proofErr w:type="spellEnd"/>
      <w:r w:rsidRPr="00C947F1">
        <w:rPr>
          <w:rFonts w:ascii="Times New Roman" w:hAnsi="Times New Roman" w:cs="Times New Roman"/>
          <w:i/>
          <w:sz w:val="24"/>
          <w:szCs w:val="24"/>
          <w:shd w:val="clear" w:color="auto" w:fill="FFFFFF"/>
        </w:rPr>
        <w:t xml:space="preserve"> </w:t>
      </w:r>
      <w:proofErr w:type="spellStart"/>
      <w:r w:rsidRPr="00C947F1">
        <w:rPr>
          <w:rFonts w:ascii="Times New Roman" w:hAnsi="Times New Roman" w:cs="Times New Roman"/>
          <w:i/>
          <w:sz w:val="24"/>
          <w:szCs w:val="24"/>
          <w:shd w:val="clear" w:color="auto" w:fill="FFFFFF"/>
        </w:rPr>
        <w:t>restictions</w:t>
      </w:r>
      <w:proofErr w:type="spellEnd"/>
      <w:r w:rsidRPr="00C947F1">
        <w:rPr>
          <w:rFonts w:ascii="Times New Roman" w:hAnsi="Times New Roman" w:cs="Times New Roman"/>
          <w:sz w:val="24"/>
          <w:szCs w:val="24"/>
          <w:shd w:val="clear" w:color="auto" w:fill="FFFFFF"/>
        </w:rPr>
        <w:t xml:space="preserve">). Reģionālā iestāde novērtē gan invaliditāti, gan izskata iesniegumus par visiem ikmēneša valsts pabalstiem, kā arī par tehniskajiem palīglīdzekļiem, mājokļa pielāgojumu, redzes un dzirdes traucējumu palīglīdzekļiem, </w:t>
      </w:r>
      <w:proofErr w:type="spellStart"/>
      <w:r w:rsidRPr="00C947F1">
        <w:rPr>
          <w:rFonts w:ascii="Times New Roman" w:hAnsi="Times New Roman" w:cs="Times New Roman"/>
          <w:sz w:val="24"/>
          <w:szCs w:val="24"/>
          <w:shd w:val="clear" w:color="auto" w:fill="FFFFFF"/>
        </w:rPr>
        <w:t>ratiņkrēsliem</w:t>
      </w:r>
      <w:proofErr w:type="spellEnd"/>
      <w:r w:rsidRPr="00C947F1">
        <w:rPr>
          <w:rFonts w:ascii="Times New Roman" w:hAnsi="Times New Roman" w:cs="Times New Roman"/>
          <w:sz w:val="24"/>
          <w:szCs w:val="24"/>
          <w:shd w:val="clear" w:color="auto" w:fill="FFFFFF"/>
        </w:rPr>
        <w:t xml:space="preserve"> utt., kā arī šajā pašā iestādē novērtē arī aprūpes vajadzību. </w:t>
      </w:r>
      <w:proofErr w:type="spellStart"/>
      <w:r w:rsidRPr="00C947F1">
        <w:rPr>
          <w:rFonts w:ascii="Times New Roman" w:hAnsi="Times New Roman" w:cs="Times New Roman"/>
          <w:sz w:val="24"/>
          <w:szCs w:val="24"/>
          <w:shd w:val="clear" w:color="auto" w:fill="FFFFFF"/>
        </w:rPr>
        <w:t>Multidisciplinārā</w:t>
      </w:r>
      <w:proofErr w:type="spellEnd"/>
      <w:r w:rsidRPr="00C947F1">
        <w:rPr>
          <w:rFonts w:ascii="Times New Roman" w:hAnsi="Times New Roman" w:cs="Times New Roman"/>
          <w:sz w:val="24"/>
          <w:szCs w:val="24"/>
          <w:shd w:val="clear" w:color="auto" w:fill="FFFFFF"/>
        </w:rPr>
        <w:t xml:space="preserve"> komanda sastāv no dažādiem ārstiem un rehabilitācijas speciālistiem. Novērtēšanā cenšas ievērot </w:t>
      </w:r>
      <w:proofErr w:type="spellStart"/>
      <w:r w:rsidRPr="00C947F1">
        <w:rPr>
          <w:rFonts w:ascii="Times New Roman" w:hAnsi="Times New Roman" w:cs="Times New Roman"/>
          <w:sz w:val="24"/>
          <w:szCs w:val="24"/>
          <w:shd w:val="clear" w:color="auto" w:fill="FFFFFF"/>
        </w:rPr>
        <w:t>biopsihosociālo</w:t>
      </w:r>
      <w:proofErr w:type="spellEnd"/>
      <w:r w:rsidRPr="00C947F1">
        <w:rPr>
          <w:rFonts w:ascii="Times New Roman" w:hAnsi="Times New Roman" w:cs="Times New Roman"/>
          <w:sz w:val="24"/>
          <w:szCs w:val="24"/>
          <w:shd w:val="clear" w:color="auto" w:fill="FFFFFF"/>
        </w:rPr>
        <w:t xml:space="preserve"> modeli, proti, aptverot ķermeņa līmeni, personas līmeni un sociālo līmeni. Sociālo jautājumu departaments kontraktē visus invaliditātes novērtēšanas speciālistus un gan ārsti, gan funkcionālie speciālisti ir trenēti SFK piemērošanā</w:t>
      </w:r>
      <w:r w:rsidRPr="00C947F1">
        <w:rPr>
          <w:rStyle w:val="FootnoteReference"/>
          <w:rFonts w:ascii="Times New Roman" w:hAnsi="Times New Roman" w:cs="Times New Roman"/>
          <w:sz w:val="24"/>
          <w:szCs w:val="24"/>
          <w:shd w:val="clear" w:color="auto" w:fill="FFFFFF"/>
        </w:rPr>
        <w:footnoteReference w:id="3"/>
      </w:r>
      <w:r w:rsidRPr="00C947F1">
        <w:rPr>
          <w:rFonts w:ascii="Times New Roman" w:hAnsi="Times New Roman" w:cs="Times New Roman"/>
          <w:sz w:val="24"/>
          <w:szCs w:val="24"/>
          <w:shd w:val="clear" w:color="auto" w:fill="FFFFFF"/>
        </w:rPr>
        <w:t>.</w:t>
      </w:r>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rPr>
          <w:rFonts w:ascii="Times New Roman" w:hAnsi="Times New Roman" w:cs="Times New Roman"/>
          <w:b/>
          <w:i/>
          <w:sz w:val="24"/>
          <w:szCs w:val="24"/>
          <w:shd w:val="clear" w:color="auto" w:fill="FFFFFF"/>
        </w:rPr>
      </w:pPr>
      <w:bookmarkStart w:id="4" w:name="_Toc207286731"/>
      <w:r w:rsidRPr="00C947F1">
        <w:rPr>
          <w:rFonts w:ascii="Times New Roman" w:hAnsi="Times New Roman" w:cs="Times New Roman"/>
          <w:b/>
          <w:i/>
          <w:sz w:val="24"/>
          <w:szCs w:val="24"/>
          <w:shd w:val="clear" w:color="auto" w:fill="FFFFFF"/>
        </w:rPr>
        <w:t>Invaliditātes novērtēšanas sistēma Rumānijā</w:t>
      </w:r>
      <w:bookmarkEnd w:id="4"/>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Arī Rumānijā tika īstenots Pasaules Bankas atbalstīts projekts laika periodā no 2020.-2023.gadam.</w:t>
      </w:r>
      <w:r w:rsidRPr="00C947F1">
        <w:rPr>
          <w:rFonts w:ascii="Times New Roman" w:hAnsi="Times New Roman" w:cs="Times New Roman"/>
          <w:bCs/>
          <w:sz w:val="24"/>
          <w:szCs w:val="24"/>
        </w:rPr>
        <w:t xml:space="preserve">  </w:t>
      </w:r>
      <w:r w:rsidRPr="00C947F1">
        <w:rPr>
          <w:rFonts w:ascii="Times New Roman" w:hAnsi="Times New Roman" w:cs="Times New Roman"/>
          <w:sz w:val="24"/>
          <w:szCs w:val="24"/>
          <w:shd w:val="clear" w:color="auto" w:fill="FFFFFF"/>
        </w:rPr>
        <w:t xml:space="preserve">Projekts bija vērsts ne tikai uz invaliditātes ekspertīzes kritērijiem, bet arī uz visu institucionālo shēmu, kas iesaistīta invaliditātes noteikšanā.  Rumānijā cenšas ievērot </w:t>
      </w:r>
      <w:proofErr w:type="spellStart"/>
      <w:r w:rsidRPr="00C947F1">
        <w:rPr>
          <w:rFonts w:ascii="Times New Roman" w:hAnsi="Times New Roman" w:cs="Times New Roman"/>
          <w:sz w:val="24"/>
          <w:szCs w:val="24"/>
          <w:shd w:val="clear" w:color="auto" w:fill="FFFFFF"/>
        </w:rPr>
        <w:t>biopsihosociālo</w:t>
      </w:r>
      <w:proofErr w:type="spellEnd"/>
      <w:r w:rsidRPr="00C947F1">
        <w:rPr>
          <w:rFonts w:ascii="Times New Roman" w:hAnsi="Times New Roman" w:cs="Times New Roman"/>
          <w:sz w:val="24"/>
          <w:szCs w:val="24"/>
          <w:shd w:val="clear" w:color="auto" w:fill="FFFFFF"/>
        </w:rPr>
        <w:t xml:space="preserve"> pieeju invaliditātē, tomēr realitātē invaliditātei joprojām ir visai medicīnisks novērtējums. Personas vizīte ekspertīzē neaizņem vairāk kā 5 minūtes. Rumānijā ir ‘</w:t>
      </w:r>
      <w:proofErr w:type="spellStart"/>
      <w:r w:rsidRPr="00C947F1">
        <w:rPr>
          <w:rFonts w:ascii="Times New Roman" w:hAnsi="Times New Roman" w:cs="Times New Roman"/>
          <w:i/>
          <w:sz w:val="24"/>
          <w:szCs w:val="24"/>
          <w:shd w:val="clear" w:color="auto" w:fill="FFFFFF"/>
        </w:rPr>
        <w:t>invalidity</w:t>
      </w:r>
      <w:proofErr w:type="spellEnd"/>
      <w:r w:rsidRPr="00C947F1">
        <w:rPr>
          <w:rFonts w:ascii="Times New Roman" w:hAnsi="Times New Roman" w:cs="Times New Roman"/>
          <w:i/>
          <w:sz w:val="24"/>
          <w:szCs w:val="24"/>
          <w:shd w:val="clear" w:color="auto" w:fill="FFFFFF"/>
        </w:rPr>
        <w:t>’</w:t>
      </w:r>
      <w:r w:rsidRPr="00C947F1">
        <w:rPr>
          <w:rFonts w:ascii="Times New Roman" w:hAnsi="Times New Roman" w:cs="Times New Roman"/>
          <w:sz w:val="24"/>
          <w:szCs w:val="24"/>
          <w:shd w:val="clear" w:color="auto" w:fill="FFFFFF"/>
        </w:rPr>
        <w:t xml:space="preserve"> un ‘</w:t>
      </w:r>
      <w:proofErr w:type="spellStart"/>
      <w:r w:rsidRPr="00C947F1">
        <w:rPr>
          <w:rFonts w:ascii="Times New Roman" w:hAnsi="Times New Roman" w:cs="Times New Roman"/>
          <w:i/>
          <w:sz w:val="24"/>
          <w:szCs w:val="24"/>
          <w:shd w:val="clear" w:color="auto" w:fill="FFFFFF"/>
        </w:rPr>
        <w:t>disability</w:t>
      </w:r>
      <w:proofErr w:type="spellEnd"/>
      <w:r w:rsidRPr="00C947F1">
        <w:rPr>
          <w:rFonts w:ascii="Times New Roman" w:hAnsi="Times New Roman" w:cs="Times New Roman"/>
          <w:i/>
          <w:sz w:val="24"/>
          <w:szCs w:val="24"/>
          <w:shd w:val="clear" w:color="auto" w:fill="FFFFFF"/>
        </w:rPr>
        <w:t>’</w:t>
      </w:r>
      <w:r w:rsidRPr="00C947F1">
        <w:rPr>
          <w:rFonts w:ascii="Times New Roman" w:hAnsi="Times New Roman" w:cs="Times New Roman"/>
          <w:sz w:val="24"/>
          <w:szCs w:val="24"/>
          <w:shd w:val="clear" w:color="auto" w:fill="FFFFFF"/>
        </w:rPr>
        <w:t xml:space="preserve"> sistēmas. Pašreiz ir bērnu invaliditātes komisija un pilngadīgo invaliditātes komisija. Valsts ir ar skaitliski lielu iedzīvotāju skaitu. WHODAS 2.0 testēšana pilotprojekta ietvaros bija ļoti centrāla un svarīga Pasaules Bankas projekta daļa, eksperti strādāja arī pie vajadzību novērtējuma (</w:t>
      </w:r>
      <w:proofErr w:type="spellStart"/>
      <w:r w:rsidRPr="00C947F1">
        <w:rPr>
          <w:rFonts w:ascii="Times New Roman" w:hAnsi="Times New Roman" w:cs="Times New Roman"/>
          <w:sz w:val="24"/>
          <w:szCs w:val="24"/>
          <w:shd w:val="clear" w:color="auto" w:fill="FFFFFF"/>
        </w:rPr>
        <w:t>angl</w:t>
      </w:r>
      <w:proofErr w:type="spellEnd"/>
      <w:r w:rsidRPr="00C947F1">
        <w:rPr>
          <w:rFonts w:ascii="Times New Roman" w:hAnsi="Times New Roman" w:cs="Times New Roman"/>
          <w:sz w:val="24"/>
          <w:szCs w:val="24"/>
          <w:shd w:val="clear" w:color="auto" w:fill="FFFFFF"/>
        </w:rPr>
        <w:t xml:space="preserve">. - </w:t>
      </w:r>
      <w:proofErr w:type="spellStart"/>
      <w:r w:rsidRPr="00C947F1">
        <w:rPr>
          <w:rFonts w:ascii="Times New Roman" w:hAnsi="Times New Roman" w:cs="Times New Roman"/>
          <w:i/>
          <w:sz w:val="24"/>
          <w:szCs w:val="24"/>
          <w:shd w:val="clear" w:color="auto" w:fill="FFFFFF"/>
        </w:rPr>
        <w:t>needs</w:t>
      </w:r>
      <w:proofErr w:type="spellEnd"/>
      <w:r w:rsidRPr="00C947F1">
        <w:rPr>
          <w:rFonts w:ascii="Times New Roman" w:hAnsi="Times New Roman" w:cs="Times New Roman"/>
          <w:i/>
          <w:sz w:val="24"/>
          <w:szCs w:val="24"/>
          <w:shd w:val="clear" w:color="auto" w:fill="FFFFFF"/>
        </w:rPr>
        <w:t xml:space="preserve"> </w:t>
      </w:r>
      <w:proofErr w:type="spellStart"/>
      <w:r w:rsidRPr="00C947F1">
        <w:rPr>
          <w:rFonts w:ascii="Times New Roman" w:hAnsi="Times New Roman" w:cs="Times New Roman"/>
          <w:i/>
          <w:sz w:val="24"/>
          <w:szCs w:val="24"/>
          <w:shd w:val="clear" w:color="auto" w:fill="FFFFFF"/>
        </w:rPr>
        <w:t>assessment</w:t>
      </w:r>
      <w:proofErr w:type="spellEnd"/>
      <w:r w:rsidRPr="00C947F1">
        <w:rPr>
          <w:rFonts w:ascii="Times New Roman" w:hAnsi="Times New Roman" w:cs="Times New Roman"/>
          <w:sz w:val="24"/>
          <w:szCs w:val="24"/>
          <w:shd w:val="clear" w:color="auto" w:fill="FFFFFF"/>
        </w:rPr>
        <w:t>). Mērķis bija pārskatīt un modernizēt invaliditātes novērtēšanas sistēmu, testēt jaunos instrumentus, mazināt medicīnisko daļu, bet vislielākais mērķis – apvienot profesionāļus novērtētājus. Šobrīd Rumānijas iestādes saskaras ar lielu apstrīdēto iesniegumu skaitu. Plānots ieviest dažādu krāsu veidlapas nosūtījumam uz ekspertīzi (atsevišķi izdalot psihiatriskos pacientus). Līdzās izmaiņām invaliditātes novērtēšanā veikti lieli ieguldījumi speciālistu apmācībās – izstrādāti speciāli novērtēšanas rīki, veikta sākotnējā apmācība, regulāras apmācības par klienta apkalpošanas standartu, atgriezeniskās saites iegūšana. Rumānijā reģionālie speciālisti iesaistījušies brīvprātīgi kopīgās reformas radīšanā – darba grupas, konferences, informācijas izplatīšana pašvaldību vadītājiem, regulāra sadarbība ar NVO, tiešsaistes faktu lapa, informācijas lapas par reģionālajām komandām un viņu viedokļu apkopošana par reformas nepieciešamību un turpmākajiem soļiem. Testējot WHODAS 2.0. instrumentu, analizēja gadījumus, kad WHODAS  2.0 ietvaros veiktais personas funkcionēšanas novērtējums nesakrīt ar personas medicīnisko novērtējumu un secināja, ka:</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50% vērtēto gadījumu abi vērtējumi sakrita;</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40% gadījumu neatbilstība bija neliela starp abiem vērtējumiem. Secināja, ka pie vismazākās novirzes, ir pareizi piešķirt 50% svaru abiem vērtējumiem. </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10% gadījumos neatbilstība bija liela (piemēram, pēc WHODAS - 1, pēc medicīnas kritērijiem - 4). Tad nav pamata piemērot pielīdzināšanu, jo šāda atšķirība norāda uz to, ka viens no abiem novērtējumiem ir nekorekti veikts, jo tāda atšķirība nedrīkst būt. Tādos gadījumos jāveic atkārtota vērtēšana.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rPr>
          <w:rFonts w:ascii="Times New Roman" w:hAnsi="Times New Roman" w:cs="Times New Roman"/>
          <w:b/>
          <w:i/>
          <w:sz w:val="24"/>
          <w:szCs w:val="24"/>
          <w:shd w:val="clear" w:color="auto" w:fill="FFFFFF"/>
        </w:rPr>
      </w:pPr>
      <w:bookmarkStart w:id="5" w:name="_Toc207286732"/>
      <w:r w:rsidRPr="00C947F1">
        <w:rPr>
          <w:rFonts w:ascii="Times New Roman" w:hAnsi="Times New Roman" w:cs="Times New Roman"/>
          <w:b/>
          <w:i/>
          <w:sz w:val="24"/>
          <w:szCs w:val="24"/>
          <w:shd w:val="clear" w:color="auto" w:fill="FFFFFF"/>
        </w:rPr>
        <w:t>Invaliditātes novērtēšanas sistēma Itālijā</w:t>
      </w:r>
      <w:bookmarkEnd w:id="5"/>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Pasaules Bankas un Ekonomiskās sadarbības un attīstības organizācijas eksperti secināja, ka Itālijas invaliditātes novērtēšanas sistēma ir novecojusi, fragmentēta, tā atšķiras starp reģioniem, novērojams caurspīdīguma trūkums, dažādu paralēlo invaliditātes novērtējumu izmantošana rada nekonkrētību, invaliditātes statusam ir maza nozīmē tālāko pakalpojumu nepieciešamības novērtēšanā un piešķiršanā.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Esošajā sistēmā vairumam cilvēku ierobežojuma procenti tiek piešķirti atbilstoši tam, kādus pakalpojumus pēc vērtētāja domām cilvēkam vajag – t.i., noteikto procentu līkne nav vienmērīgi izkliedēta, bet veidojas izteikti garāki stabiņi pie tiem procentiem, kuri noteikti kā priekšnosacījums kāda atbalsta saņemšanai.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Pilotprojekts tika realizēts četros reģionos. Projekta rezultāti liecina, ka esošā sistēma ir netaisnīga, jo cilvēki bez izteiktiem funkcionēšanas ierobežojumiem saņem augstāku invaliditātes novērtējumu pēc spēkā esošajiem medicīniskajiem kritērijiem. Vienlaikus ir cilvēki, kuriem ir būtiski funkcionēšanas ierobežojumi, bet, atbilstoši kritērijiem, kas balstīti uz traucējumiem un patoloģijām, viņiem invaliditāti nenosaka.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Pilota rezultāti liecina, ka ieviešot funkcionēšanas pieeju, 2/3 no mērķa grupas būtu zaudētāji (cilvēkus ar diagnozi, bet bez ierobežojumiem, jaunā sistēmā nomestu zemāk vai izmestu ārā) un tikai 1/3 ieguvēji. Tas lēmumu par reformas ieviešanu padara ļoti nepopulāru. </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Tiesību aktos būtu jānostiprina:</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Cik liela drīkst būt atšķirība starp WHODAS 2.0 un medicīniskajiem kritērijiem;</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Kāds ir svars funkcionēšanai iepretim medicīniskajam novērtējumam;</w:t>
      </w:r>
    </w:p>
    <w:p w:rsidR="00C947F1" w:rsidRPr="00C947F1" w:rsidRDefault="00C947F1" w:rsidP="00C947F1">
      <w:pPr>
        <w:pStyle w:val="ListParagraph"/>
        <w:numPr>
          <w:ilvl w:val="0"/>
          <w:numId w:val="1"/>
        </w:numPr>
        <w:spacing w:after="0" w:line="240" w:lineRule="auto"/>
        <w:ind w:left="0"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Kādam būtu jābūt atkārtotajam novērtējumam strīdus gadījumos.</w:t>
      </w: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 xml:space="preserve">Pētījumā tika analizēts jautājums, vai Itālijā ir tā, ka daži traucējumi un noteiktas medicīniskās diagnozes ir jau kā “zaļā” biļete, kas neapšaubāmi dod tiesības uz invaliditātes statusu. Pasaules Banka secināja, ka onkoloģijas, </w:t>
      </w:r>
      <w:proofErr w:type="spellStart"/>
      <w:r w:rsidRPr="00C947F1">
        <w:rPr>
          <w:rFonts w:ascii="Times New Roman" w:hAnsi="Times New Roman" w:cs="Times New Roman"/>
          <w:sz w:val="24"/>
          <w:szCs w:val="24"/>
          <w:shd w:val="clear" w:color="auto" w:fill="FFFFFF"/>
        </w:rPr>
        <w:t>muskuloskeletālu</w:t>
      </w:r>
      <w:proofErr w:type="spellEnd"/>
      <w:r w:rsidRPr="00C947F1">
        <w:rPr>
          <w:rFonts w:ascii="Times New Roman" w:hAnsi="Times New Roman" w:cs="Times New Roman"/>
          <w:sz w:val="24"/>
          <w:szCs w:val="24"/>
          <w:shd w:val="clear" w:color="auto" w:fill="FFFFFF"/>
        </w:rPr>
        <w:t xml:space="preserve"> slimību un neiroloģijas gadījumos daudzās valstīs ir tendence pārvērtēt invaliditātes smagumu (t.i., novērtē smagāk nekā ir traucējumu smagums), savukārt mentālās veselības traucējumu gadījumi biežāk paliek nepietiekami smagi novērtēti</w:t>
      </w:r>
      <w:r w:rsidRPr="00C947F1">
        <w:rPr>
          <w:rStyle w:val="FootnoteReference"/>
          <w:rFonts w:ascii="Times New Roman" w:hAnsi="Times New Roman" w:cs="Times New Roman"/>
          <w:sz w:val="24"/>
          <w:szCs w:val="24"/>
          <w:shd w:val="clear" w:color="auto" w:fill="FFFFFF"/>
        </w:rPr>
        <w:footnoteReference w:id="4"/>
      </w:r>
      <w:r w:rsidRPr="00C947F1">
        <w:rPr>
          <w:rFonts w:ascii="Times New Roman" w:hAnsi="Times New Roman" w:cs="Times New Roman"/>
          <w:sz w:val="24"/>
          <w:szCs w:val="24"/>
          <w:shd w:val="clear" w:color="auto" w:fill="FFFFFF"/>
        </w:rPr>
        <w:t>.</w:t>
      </w:r>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rPr>
          <w:rFonts w:ascii="Times New Roman" w:hAnsi="Times New Roman" w:cs="Times New Roman"/>
          <w:b/>
          <w:i/>
          <w:sz w:val="24"/>
          <w:szCs w:val="24"/>
          <w:shd w:val="clear" w:color="auto" w:fill="FFFFFF"/>
        </w:rPr>
      </w:pPr>
      <w:bookmarkStart w:id="6" w:name="_Toc207286733"/>
      <w:r w:rsidRPr="00C947F1">
        <w:rPr>
          <w:rFonts w:ascii="Times New Roman" w:hAnsi="Times New Roman" w:cs="Times New Roman"/>
          <w:b/>
          <w:i/>
          <w:sz w:val="24"/>
          <w:szCs w:val="24"/>
          <w:shd w:val="clear" w:color="auto" w:fill="FFFFFF"/>
        </w:rPr>
        <w:t>Invaliditātes novērtēšanas sistēma Azerbaidžānā</w:t>
      </w:r>
      <w:bookmarkEnd w:id="6"/>
    </w:p>
    <w:p w:rsidR="00C947F1" w:rsidRPr="00C947F1" w:rsidRDefault="00C947F1" w:rsidP="00C947F1">
      <w:pPr>
        <w:spacing w:after="0" w:line="240" w:lineRule="auto"/>
        <w:ind w:right="424"/>
        <w:jc w:val="both"/>
        <w:rPr>
          <w:rFonts w:ascii="Times New Roman" w:hAnsi="Times New Roman" w:cs="Times New Roman"/>
          <w:b/>
          <w:i/>
          <w:sz w:val="24"/>
          <w:szCs w:val="24"/>
          <w:shd w:val="clear" w:color="auto" w:fill="FFFFFF"/>
        </w:rPr>
      </w:pPr>
    </w:p>
    <w:p w:rsidR="00C947F1" w:rsidRPr="00C947F1" w:rsidRDefault="00C947F1" w:rsidP="00C947F1">
      <w:pPr>
        <w:spacing w:after="0" w:line="240" w:lineRule="auto"/>
        <w:ind w:right="424"/>
        <w:jc w:val="both"/>
        <w:rPr>
          <w:rFonts w:ascii="Times New Roman" w:hAnsi="Times New Roman" w:cs="Times New Roman"/>
          <w:sz w:val="24"/>
          <w:szCs w:val="24"/>
          <w:shd w:val="clear" w:color="auto" w:fill="FFFFFF"/>
        </w:rPr>
      </w:pPr>
      <w:r w:rsidRPr="00C947F1">
        <w:rPr>
          <w:rFonts w:ascii="Times New Roman" w:hAnsi="Times New Roman" w:cs="Times New Roman"/>
          <w:sz w:val="24"/>
          <w:szCs w:val="24"/>
          <w:shd w:val="clear" w:color="auto" w:fill="FFFFFF"/>
        </w:rPr>
        <w:t>Arī Azerbaidžānā tika realizēts Pasaules Bankas projekts ar ES finansējumu, pilotējot WHODAS 2.0 instrumentu invaliditātes noteikšanā. Dalībnieki pilotam atlasīti pēc galvenajiem SSK kodiem un iekļauts WHODAS 2.0 psihometriskais raksturojums – analīze, salīdzinājums ar citiem WHODAS 2.0 pilotiem, Pasaules Bankas statistiķi salīdzināja WHODAS 2.0 rezultātus ar invaliditātes procentiem pēc spēkā esošās Azerbaidžānas sistēmas, un sniedza piedāvājumu par invaliditātes noteikšanas algoritmu, kombinējot medicīnisko un funkcionēšanas (WHODAS 2.0) rezultātu. Pašreizējā sistēmā Azerbaidžānā nav invaliditātes atbalsta zem 30 % darbspēju zaudējuma. Tādēļ tiek piedāvāts iedalījums 30-60% - mēreni ierobežojumi, 60-80% - smagi ierobežojumi, 80 % un vairāk - ļoti smagi ierobežojumi. Pasaules Bankas ieskatā, piemērojot WHODAS 2.0 vērtējumu esošajam invaliditātes iedalījumam (kur dodot svaru 75% medicīniskajam novērtējumam + 25% WHODAS 2.0), būtu cilvēku grupas, kam mainītos invaliditātes grupa, dažiem uz leju no II invaliditātes grupas, dažiem - uz augšu no III invaliditātes grupas. Tāpat jāņem vērā, ka Azerbaidžānā ļoti bieži invaliditāti piešķir uz mūžu, tādēļ Pasaules Bankas ieskatā pārejai uz jauno pieeju invaliditātes novērtēšanā jānotiek ļoti pakāpeniski. Vienlaikus jāatzīst, ka algoritma izvēle (medicīniskā un funkcionēšanas novērtējuma proporcija) ir nacionālās pieejas jautājums, un Pasaules Banka statistiķi sniedz tikai ieteikumus. Tomēr galīgā izšķiršanās ir jāizdara nacionālajām valdībām.</w:t>
      </w:r>
    </w:p>
    <w:p w:rsidR="00C947F1" w:rsidRPr="00C947F1" w:rsidRDefault="00C947F1">
      <w:pPr>
        <w:rPr>
          <w:rFonts w:ascii="Times New Roman" w:hAnsi="Times New Roman" w:cs="Times New Roman"/>
          <w:sz w:val="24"/>
          <w:szCs w:val="24"/>
          <w:lang w:val="en-US"/>
        </w:rPr>
      </w:pPr>
    </w:p>
    <w:sectPr w:rsidR="00C947F1" w:rsidRPr="00C947F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7F1" w:rsidRDefault="00C947F1" w:rsidP="00C947F1">
      <w:pPr>
        <w:spacing w:after="0" w:line="240" w:lineRule="auto"/>
      </w:pPr>
      <w:r>
        <w:separator/>
      </w:r>
    </w:p>
  </w:endnote>
  <w:endnote w:type="continuationSeparator" w:id="0">
    <w:p w:rsidR="00C947F1" w:rsidRDefault="00C947F1" w:rsidP="00C9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7F1" w:rsidRDefault="00C94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509114"/>
      <w:docPartObj>
        <w:docPartGallery w:val="Page Numbers (Bottom of Page)"/>
        <w:docPartUnique/>
      </w:docPartObj>
    </w:sdtPr>
    <w:sdtEndPr>
      <w:rPr>
        <w:noProof/>
      </w:rPr>
    </w:sdtEndPr>
    <w:sdtContent>
      <w:p w:rsidR="00C947F1" w:rsidRDefault="00C947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947F1" w:rsidRDefault="00C94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7F1" w:rsidRDefault="00C94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7F1" w:rsidRDefault="00C947F1" w:rsidP="00C947F1">
      <w:pPr>
        <w:spacing w:after="0" w:line="240" w:lineRule="auto"/>
      </w:pPr>
      <w:r>
        <w:separator/>
      </w:r>
    </w:p>
  </w:footnote>
  <w:footnote w:type="continuationSeparator" w:id="0">
    <w:p w:rsidR="00C947F1" w:rsidRDefault="00C947F1" w:rsidP="00C947F1">
      <w:pPr>
        <w:spacing w:after="0" w:line="240" w:lineRule="auto"/>
      </w:pPr>
      <w:r>
        <w:continuationSeparator/>
      </w:r>
    </w:p>
  </w:footnote>
  <w:footnote w:id="1">
    <w:p w:rsidR="00C947F1" w:rsidRPr="00E72127" w:rsidRDefault="00C947F1" w:rsidP="00C947F1">
      <w:pPr>
        <w:pStyle w:val="FootnoteText"/>
        <w:rPr>
          <w:rFonts w:ascii="Times New Roman" w:hAnsi="Times New Roman"/>
          <w:sz w:val="20"/>
          <w:szCs w:val="20"/>
          <w:lang w:val="lv-LV"/>
        </w:rPr>
      </w:pPr>
      <w:r w:rsidRPr="00E72127">
        <w:rPr>
          <w:rStyle w:val="FootnoteReference"/>
          <w:rFonts w:ascii="Times New Roman" w:hAnsi="Times New Roman"/>
          <w:sz w:val="20"/>
          <w:szCs w:val="20"/>
          <w:lang w:val="lv-LV"/>
        </w:rPr>
        <w:footnoteRef/>
      </w:r>
      <w:r w:rsidRPr="00E72127">
        <w:rPr>
          <w:rFonts w:ascii="Times New Roman" w:hAnsi="Times New Roman"/>
          <w:sz w:val="20"/>
          <w:szCs w:val="20"/>
          <w:lang w:val="lv-LV"/>
        </w:rPr>
        <w:t xml:space="preserve"> Aleksandra </w:t>
      </w:r>
      <w:proofErr w:type="spellStart"/>
      <w:r w:rsidRPr="00E72127">
        <w:rPr>
          <w:rFonts w:ascii="Times New Roman" w:hAnsi="Times New Roman"/>
          <w:sz w:val="20"/>
          <w:szCs w:val="20"/>
          <w:lang w:val="lv-LV"/>
        </w:rPr>
        <w:t>Posarac</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and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Jerome</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Bickenbach</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Disability</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Policy</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and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Disability</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Assessment</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System</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in</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Lithuania</w:t>
      </w:r>
      <w:proofErr w:type="spellEnd"/>
      <w:r w:rsidRPr="00E72127">
        <w:rPr>
          <w:rFonts w:ascii="Times New Roman" w:hAnsi="Times New Roman"/>
          <w:sz w:val="20"/>
          <w:szCs w:val="20"/>
          <w:lang w:val="lv-LV"/>
        </w:rPr>
        <w:t xml:space="preserve"> © </w:t>
      </w:r>
      <w:proofErr w:type="spellStart"/>
      <w:r w:rsidRPr="00E72127">
        <w:rPr>
          <w:rFonts w:ascii="Times New Roman" w:hAnsi="Times New Roman"/>
          <w:sz w:val="20"/>
          <w:szCs w:val="20"/>
          <w:lang w:val="lv-LV"/>
        </w:rPr>
        <w:t>World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Bank</w:t>
      </w:r>
      <w:proofErr w:type="spellEnd"/>
      <w:r w:rsidRPr="00E72127">
        <w:rPr>
          <w:rFonts w:ascii="Times New Roman" w:hAnsi="Times New Roman"/>
          <w:sz w:val="20"/>
          <w:szCs w:val="20"/>
          <w:lang w:val="lv-LV"/>
        </w:rPr>
        <w:t xml:space="preserve"> </w:t>
      </w:r>
    </w:p>
    <w:p w:rsidR="00C947F1" w:rsidRPr="00E72127" w:rsidRDefault="00FB7B8F" w:rsidP="00C947F1">
      <w:pPr>
        <w:pStyle w:val="FootnoteText"/>
        <w:rPr>
          <w:rFonts w:ascii="Times New Roman" w:hAnsi="Times New Roman"/>
          <w:sz w:val="20"/>
          <w:szCs w:val="20"/>
          <w:lang w:val="lv-LV"/>
        </w:rPr>
      </w:pPr>
      <w:hyperlink r:id="rId1" w:history="1">
        <w:r w:rsidR="00C947F1" w:rsidRPr="00E72127">
          <w:rPr>
            <w:rStyle w:val="Hyperlink"/>
            <w:rFonts w:ascii="Times New Roman" w:hAnsi="Times New Roman"/>
            <w:sz w:val="20"/>
            <w:szCs w:val="20"/>
            <w:lang w:val="lv-LV"/>
          </w:rPr>
          <w:t>https://documents1.worldbank.org/curated/en/099310106132231429/pdf/P171647016fc0e0b70b0b90bf17dc1b97bd.pdf</w:t>
        </w:r>
      </w:hyperlink>
    </w:p>
  </w:footnote>
  <w:footnote w:id="2">
    <w:p w:rsidR="00C947F1" w:rsidRPr="00E72127" w:rsidRDefault="00C947F1" w:rsidP="00C947F1">
      <w:pPr>
        <w:pStyle w:val="FootnoteText"/>
        <w:rPr>
          <w:rFonts w:ascii="Times New Roman" w:hAnsi="Times New Roman"/>
          <w:sz w:val="20"/>
          <w:szCs w:val="20"/>
          <w:lang w:val="lv-LV"/>
        </w:rPr>
      </w:pPr>
      <w:r w:rsidRPr="00E72127">
        <w:rPr>
          <w:rStyle w:val="FootnoteReference"/>
          <w:rFonts w:ascii="Times New Roman" w:hAnsi="Times New Roman"/>
          <w:sz w:val="20"/>
          <w:szCs w:val="20"/>
          <w:lang w:val="lv-LV"/>
        </w:rPr>
        <w:footnoteRef/>
      </w:r>
      <w:r w:rsidRPr="00E72127">
        <w:rPr>
          <w:rFonts w:ascii="Times New Roman" w:hAnsi="Times New Roman"/>
          <w:sz w:val="20"/>
          <w:szCs w:val="20"/>
          <w:lang w:val="lv-LV"/>
        </w:rPr>
        <w:t> </w:t>
      </w:r>
      <w:proofErr w:type="spellStart"/>
      <w:r w:rsidRPr="00E72127">
        <w:rPr>
          <w:rFonts w:ascii="Times New Roman" w:hAnsi="Times New Roman"/>
          <w:sz w:val="20"/>
          <w:szCs w:val="20"/>
          <w:lang w:val="lv-LV"/>
        </w:rPr>
        <w:t>Social</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insurance</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Board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of</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the</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Republic</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of</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Estonia</w:t>
      </w:r>
      <w:proofErr w:type="spellEnd"/>
      <w:r w:rsidRPr="00E72127">
        <w:rPr>
          <w:rFonts w:ascii="Times New Roman" w:hAnsi="Times New Roman"/>
          <w:sz w:val="20"/>
          <w:szCs w:val="20"/>
          <w:lang w:val="lv-LV"/>
        </w:rPr>
        <w:t xml:space="preserve">: </w:t>
      </w:r>
      <w:hyperlink r:id="rId2" w:history="1">
        <w:r w:rsidRPr="00E72127">
          <w:rPr>
            <w:rStyle w:val="Hyperlink"/>
            <w:rFonts w:ascii="Times New Roman" w:hAnsi="Times New Roman"/>
            <w:sz w:val="20"/>
            <w:szCs w:val="20"/>
            <w:lang w:val="lv-LV"/>
          </w:rPr>
          <w:t>https://sotsiaalkindlustusamet.ee/en/disability-and-welfare-services/determination-disabilities/determining-severity-childs-disability</w:t>
        </w:r>
      </w:hyperlink>
      <w:r w:rsidRPr="00E72127">
        <w:rPr>
          <w:rFonts w:ascii="Times New Roman" w:hAnsi="Times New Roman"/>
          <w:sz w:val="20"/>
          <w:szCs w:val="20"/>
          <w:lang w:val="lv-LV"/>
        </w:rPr>
        <w:t xml:space="preserve"> </w:t>
      </w:r>
    </w:p>
  </w:footnote>
  <w:footnote w:id="3">
    <w:p w:rsidR="00C947F1" w:rsidRPr="00E72127" w:rsidRDefault="00C947F1" w:rsidP="00C947F1">
      <w:pPr>
        <w:pStyle w:val="FootnoteText"/>
        <w:rPr>
          <w:rFonts w:ascii="Times New Roman" w:hAnsi="Times New Roman"/>
          <w:sz w:val="20"/>
          <w:szCs w:val="20"/>
          <w:lang w:val="lv-LV"/>
        </w:rPr>
      </w:pPr>
      <w:r w:rsidRPr="00E72127">
        <w:rPr>
          <w:rStyle w:val="FootnoteReference"/>
          <w:rFonts w:ascii="Times New Roman" w:hAnsi="Times New Roman"/>
          <w:sz w:val="20"/>
          <w:szCs w:val="20"/>
          <w:lang w:val="lv-LV"/>
        </w:rPr>
        <w:footnoteRef/>
      </w:r>
      <w:r w:rsidRPr="00E72127">
        <w:rPr>
          <w:rFonts w:ascii="Times New Roman" w:hAnsi="Times New Roman"/>
          <w:sz w:val="20"/>
          <w:szCs w:val="20"/>
          <w:lang w:val="lv-LV"/>
        </w:rPr>
        <w:t xml:space="preserve"> Konferences materiāli. Pasaules Bankas un Azerbaidžānas valdības organizētais seminārs “"</w:t>
      </w:r>
      <w:proofErr w:type="spellStart"/>
      <w:r w:rsidRPr="00E72127">
        <w:rPr>
          <w:rFonts w:ascii="Times New Roman" w:hAnsi="Times New Roman"/>
          <w:sz w:val="20"/>
          <w:szCs w:val="20"/>
          <w:lang w:val="lv-LV"/>
        </w:rPr>
        <w:t>Disability</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system</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and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policies</w:t>
      </w:r>
      <w:proofErr w:type="spellEnd"/>
      <w:r w:rsidRPr="00E72127">
        <w:rPr>
          <w:rFonts w:ascii="Times New Roman" w:hAnsi="Times New Roman"/>
          <w:sz w:val="20"/>
          <w:szCs w:val="20"/>
          <w:lang w:val="lv-LV"/>
        </w:rPr>
        <w:t>", Baku, Azerbaidžāna 28.-30.maijs, 2024.</w:t>
      </w:r>
    </w:p>
  </w:footnote>
  <w:footnote w:id="4">
    <w:p w:rsidR="00C947F1" w:rsidRPr="00E72127" w:rsidRDefault="00C947F1" w:rsidP="00C947F1">
      <w:pPr>
        <w:pStyle w:val="FootnoteText"/>
        <w:rPr>
          <w:rFonts w:ascii="Times New Roman" w:hAnsi="Times New Roman"/>
          <w:sz w:val="20"/>
          <w:szCs w:val="20"/>
          <w:lang w:val="lv-LV"/>
        </w:rPr>
      </w:pPr>
      <w:r w:rsidRPr="00E72127">
        <w:rPr>
          <w:rStyle w:val="FootnoteReference"/>
          <w:rFonts w:ascii="Times New Roman" w:hAnsi="Times New Roman"/>
          <w:sz w:val="20"/>
          <w:szCs w:val="20"/>
          <w:lang w:val="lv-LV"/>
        </w:rPr>
        <w:footnoteRef/>
      </w:r>
      <w:r w:rsidRPr="00E72127">
        <w:rPr>
          <w:rFonts w:ascii="Times New Roman" w:hAnsi="Times New Roman"/>
          <w:sz w:val="20"/>
          <w:szCs w:val="20"/>
          <w:lang w:val="lv-LV"/>
        </w:rPr>
        <w:t xml:space="preserve"> Konferences materiāli. Pasaules Bankas un Azerbaidžānas valdības organizētais seminārs "</w:t>
      </w:r>
      <w:proofErr w:type="spellStart"/>
      <w:r w:rsidRPr="00E72127">
        <w:rPr>
          <w:rFonts w:ascii="Times New Roman" w:hAnsi="Times New Roman"/>
          <w:sz w:val="20"/>
          <w:szCs w:val="20"/>
          <w:lang w:val="lv-LV"/>
        </w:rPr>
        <w:t>Disability</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system</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and</w:t>
      </w:r>
      <w:proofErr w:type="spellEnd"/>
      <w:r w:rsidRPr="00E72127">
        <w:rPr>
          <w:rFonts w:ascii="Times New Roman" w:hAnsi="Times New Roman"/>
          <w:sz w:val="20"/>
          <w:szCs w:val="20"/>
          <w:lang w:val="lv-LV"/>
        </w:rPr>
        <w:t xml:space="preserve"> </w:t>
      </w:r>
      <w:proofErr w:type="spellStart"/>
      <w:r w:rsidRPr="00E72127">
        <w:rPr>
          <w:rFonts w:ascii="Times New Roman" w:hAnsi="Times New Roman"/>
          <w:sz w:val="20"/>
          <w:szCs w:val="20"/>
          <w:lang w:val="lv-LV"/>
        </w:rPr>
        <w:t>policies</w:t>
      </w:r>
      <w:proofErr w:type="spellEnd"/>
      <w:r w:rsidRPr="00E72127">
        <w:rPr>
          <w:rFonts w:ascii="Times New Roman" w:hAnsi="Times New Roman"/>
          <w:sz w:val="20"/>
          <w:szCs w:val="20"/>
          <w:lang w:val="lv-LV"/>
        </w:rPr>
        <w:t>", Baku, Azerbaidžāna 28.-30.maijs,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7F1" w:rsidRDefault="00C94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7F1" w:rsidRDefault="00C94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7F1" w:rsidRDefault="00C94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062C5"/>
    <w:multiLevelType w:val="hybridMultilevel"/>
    <w:tmpl w:val="41BEA6EA"/>
    <w:lvl w:ilvl="0" w:tplc="781E9AE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F1"/>
    <w:rsid w:val="009C06E7"/>
    <w:rsid w:val="00BF4F12"/>
    <w:rsid w:val="00C947F1"/>
    <w:rsid w:val="00FB7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A185"/>
  <w15:chartTrackingRefBased/>
  <w15:docId w15:val="{772D75E5-D382-47F2-A6F0-619B2712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947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947F1"/>
    <w:rPr>
      <w:rFonts w:asciiTheme="majorHAnsi" w:eastAsiaTheme="majorEastAsia" w:hAnsiTheme="majorHAnsi" w:cstheme="majorBidi"/>
      <w:color w:val="1F3763" w:themeColor="accent1" w:themeShade="7F"/>
      <w:sz w:val="24"/>
      <w:szCs w:val="24"/>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lp1"/>
    <w:basedOn w:val="Normal"/>
    <w:link w:val="ListParagraphChar"/>
    <w:uiPriority w:val="34"/>
    <w:qFormat/>
    <w:rsid w:val="00C947F1"/>
    <w:pPr>
      <w:ind w:left="720"/>
      <w:contextualSpacing/>
    </w:p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C947F1"/>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iPriority w:val="99"/>
    <w:unhideWhenUsed/>
    <w:qFormat/>
    <w:rsid w:val="00C947F1"/>
    <w:pPr>
      <w:spacing w:after="0" w:line="240" w:lineRule="auto"/>
      <w:jc w:val="both"/>
    </w:pPr>
    <w:rPr>
      <w:rFonts w:ascii="Calibri" w:eastAsia="Times New Roman" w:hAnsi="Calibri" w:cs="Times New Roman"/>
      <w:sz w:val="24"/>
      <w:szCs w:val="24"/>
      <w:lang w:val="en-US"/>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rsid w:val="00C947F1"/>
    <w:rPr>
      <w:rFonts w:ascii="Calibri" w:eastAsia="Times New Roman" w:hAnsi="Calibri" w:cs="Times New Roman"/>
      <w:sz w:val="24"/>
      <w:szCs w:val="24"/>
      <w:lang w:val="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
    <w:basedOn w:val="DefaultParagraphFont"/>
    <w:link w:val="CharCharCharChar"/>
    <w:uiPriority w:val="99"/>
    <w:unhideWhenUsed/>
    <w:qFormat/>
    <w:rsid w:val="00C947F1"/>
    <w:rPr>
      <w:vertAlign w:val="superscript"/>
    </w:rPr>
  </w:style>
  <w:style w:type="character" w:styleId="Hyperlink">
    <w:name w:val="Hyperlink"/>
    <w:basedOn w:val="DefaultParagraphFont"/>
    <w:uiPriority w:val="99"/>
    <w:unhideWhenUsed/>
    <w:rsid w:val="00C947F1"/>
    <w:rPr>
      <w:rFonts w:cs="Times New Roman"/>
      <w:color w:val="0563C1" w:themeColor="hyperlink"/>
      <w:u w:val="single"/>
    </w:rPr>
  </w:style>
  <w:style w:type="paragraph" w:customStyle="1" w:styleId="CharCharCharChar">
    <w:name w:val="Char Char Char Char"/>
    <w:aliases w:val="Char2"/>
    <w:basedOn w:val="Normal"/>
    <w:next w:val="Normal"/>
    <w:link w:val="FootnoteReference"/>
    <w:uiPriority w:val="99"/>
    <w:rsid w:val="00C947F1"/>
    <w:pPr>
      <w:spacing w:line="240" w:lineRule="exact"/>
      <w:jc w:val="both"/>
      <w:textAlignment w:val="baseline"/>
    </w:pPr>
    <w:rPr>
      <w:vertAlign w:val="superscript"/>
    </w:rPr>
  </w:style>
  <w:style w:type="paragraph" w:styleId="Header">
    <w:name w:val="header"/>
    <w:basedOn w:val="Normal"/>
    <w:link w:val="HeaderChar"/>
    <w:uiPriority w:val="99"/>
    <w:unhideWhenUsed/>
    <w:rsid w:val="00C947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47F1"/>
  </w:style>
  <w:style w:type="paragraph" w:styleId="Footer">
    <w:name w:val="footer"/>
    <w:basedOn w:val="Normal"/>
    <w:link w:val="FooterChar"/>
    <w:uiPriority w:val="99"/>
    <w:unhideWhenUsed/>
    <w:rsid w:val="00C947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otsiaalkindlustusamet.ee/en/disability-and-welfare-services/determination-disabilities/determining-severity-childs-disability" TargetMode="External"/><Relationship Id="rId1" Type="http://schemas.openxmlformats.org/officeDocument/2006/relationships/hyperlink" Target="https://documents1.worldbank.org/curated/en/099310106132231429/pdf/P171647016fc0e0b70b0b90bf17dc1b97b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8293</Words>
  <Characters>4728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Lukašenoka</dc:creator>
  <cp:keywords/>
  <dc:description/>
  <cp:lastModifiedBy>Aiga Lukašenoka</cp:lastModifiedBy>
  <cp:revision>2</cp:revision>
  <dcterms:created xsi:type="dcterms:W3CDTF">2025-10-01T12:21:00Z</dcterms:created>
  <dcterms:modified xsi:type="dcterms:W3CDTF">2025-10-06T09:48:00Z</dcterms:modified>
</cp:coreProperties>
</file>