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2F22B" w14:textId="7FBFC373" w:rsidR="00D408C1" w:rsidRPr="00795524" w:rsidRDefault="00D408C1" w:rsidP="001119E4">
      <w:pPr>
        <w:ind w:firstLine="709"/>
        <w:jc w:val="center"/>
      </w:pPr>
      <w:bookmarkStart w:id="0" w:name="_Hlk524000675"/>
      <w:bookmarkStart w:id="1" w:name="_Hlk215827961"/>
      <w:bookmarkStart w:id="2" w:name="_Hlk87613410"/>
      <w:bookmarkEnd w:id="1"/>
      <w:r w:rsidRPr="00795524">
        <w:t>INFORMATĪVAIS ZIŅOJUMS</w:t>
      </w:r>
    </w:p>
    <w:p w14:paraId="6373C081" w14:textId="77777777" w:rsidR="00D408C1" w:rsidRPr="00795524" w:rsidRDefault="00D408C1" w:rsidP="000D096A">
      <w:pPr>
        <w:jc w:val="center"/>
        <w:rPr>
          <w:b/>
          <w:sz w:val="28"/>
          <w:szCs w:val="28"/>
        </w:rPr>
      </w:pPr>
    </w:p>
    <w:p w14:paraId="049AD6A4" w14:textId="5833F0FA" w:rsidR="000D096A" w:rsidRPr="00795524" w:rsidRDefault="000D096A" w:rsidP="000D096A">
      <w:pPr>
        <w:jc w:val="center"/>
        <w:rPr>
          <w:b/>
          <w:sz w:val="28"/>
          <w:szCs w:val="28"/>
        </w:rPr>
      </w:pPr>
      <w:r w:rsidRPr="00795524">
        <w:rPr>
          <w:b/>
          <w:sz w:val="28"/>
          <w:szCs w:val="28"/>
        </w:rPr>
        <w:t>Par</w:t>
      </w:r>
      <w:r w:rsidR="00B24F35">
        <w:rPr>
          <w:b/>
          <w:sz w:val="28"/>
          <w:szCs w:val="28"/>
        </w:rPr>
        <w:t xml:space="preserve"> sabiedriskā transporta pakalpojumu organizēšanu </w:t>
      </w:r>
      <w:r w:rsidRPr="00795524">
        <w:rPr>
          <w:b/>
          <w:sz w:val="28"/>
          <w:szCs w:val="28"/>
        </w:rPr>
        <w:t>202</w:t>
      </w:r>
      <w:r w:rsidR="00AE6710">
        <w:rPr>
          <w:b/>
          <w:sz w:val="28"/>
          <w:szCs w:val="28"/>
        </w:rPr>
        <w:t>6</w:t>
      </w:r>
      <w:r w:rsidR="00123D40" w:rsidRPr="00795524">
        <w:rPr>
          <w:b/>
          <w:sz w:val="28"/>
          <w:szCs w:val="28"/>
        </w:rPr>
        <w:t>.</w:t>
      </w:r>
      <w:r w:rsidR="009F0B89">
        <w:rPr>
          <w:b/>
          <w:sz w:val="28"/>
          <w:szCs w:val="28"/>
        </w:rPr>
        <w:t> </w:t>
      </w:r>
      <w:r w:rsidR="00123D40" w:rsidRPr="00795524">
        <w:rPr>
          <w:b/>
          <w:sz w:val="28"/>
          <w:szCs w:val="28"/>
        </w:rPr>
        <w:t>g</w:t>
      </w:r>
      <w:r w:rsidRPr="00795524">
        <w:rPr>
          <w:b/>
          <w:sz w:val="28"/>
          <w:szCs w:val="28"/>
        </w:rPr>
        <w:t>adā</w:t>
      </w:r>
      <w:bookmarkEnd w:id="2"/>
    </w:p>
    <w:p w14:paraId="4329117E" w14:textId="77777777" w:rsidR="000D096A" w:rsidRPr="00795524" w:rsidRDefault="000D096A" w:rsidP="000D096A">
      <w:pPr>
        <w:jc w:val="center"/>
        <w:rPr>
          <w:b/>
          <w:sz w:val="26"/>
          <w:szCs w:val="26"/>
        </w:rPr>
      </w:pPr>
    </w:p>
    <w:bookmarkEnd w:id="0"/>
    <w:p w14:paraId="14C1257E" w14:textId="263E0EC3" w:rsidR="00012F4B" w:rsidRPr="00AE6710" w:rsidRDefault="00C00DD2" w:rsidP="00012F4B">
      <w:pPr>
        <w:shd w:val="clear" w:color="auto" w:fill="FFFFFF" w:themeFill="background1"/>
        <w:ind w:firstLine="709"/>
        <w:jc w:val="both"/>
        <w:rPr>
          <w:rFonts w:eastAsiaTheme="minorHAnsi"/>
          <w:lang w:eastAsia="en-US"/>
        </w:rPr>
      </w:pPr>
      <w:r>
        <w:rPr>
          <w:rFonts w:eastAsiaTheme="minorHAnsi"/>
          <w:lang w:eastAsia="en-US"/>
        </w:rPr>
        <w:t>I</w:t>
      </w:r>
      <w:r w:rsidR="00012F4B" w:rsidRPr="00AE6710">
        <w:rPr>
          <w:rFonts w:eastAsiaTheme="minorHAnsi"/>
          <w:lang w:eastAsia="en-US"/>
        </w:rPr>
        <w:t>nformatīv</w:t>
      </w:r>
      <w:r w:rsidR="00012F4B">
        <w:rPr>
          <w:rFonts w:eastAsiaTheme="minorHAnsi"/>
          <w:lang w:eastAsia="en-US"/>
        </w:rPr>
        <w:t>ajā</w:t>
      </w:r>
      <w:r w:rsidR="00012F4B" w:rsidRPr="00AE6710">
        <w:rPr>
          <w:rFonts w:eastAsiaTheme="minorHAnsi"/>
          <w:lang w:eastAsia="en-US"/>
        </w:rPr>
        <w:t xml:space="preserve"> ziņojum</w:t>
      </w:r>
      <w:r w:rsidR="00012F4B">
        <w:rPr>
          <w:rFonts w:eastAsiaTheme="minorHAnsi"/>
          <w:lang w:eastAsia="en-US"/>
        </w:rPr>
        <w:t>ā</w:t>
      </w:r>
      <w:r w:rsidR="00012F4B" w:rsidRPr="00AE6710">
        <w:rPr>
          <w:rFonts w:eastAsiaTheme="minorHAnsi"/>
          <w:lang w:eastAsia="en-US"/>
        </w:rPr>
        <w:t xml:space="preserve"> tiek </w:t>
      </w:r>
      <w:r w:rsidR="00012F4B">
        <w:rPr>
          <w:rFonts w:eastAsiaTheme="minorHAnsi"/>
          <w:lang w:eastAsia="en-US"/>
        </w:rPr>
        <w:t>sniegta informācija</w:t>
      </w:r>
      <w:r w:rsidR="00012F4B" w:rsidRPr="00AE6710">
        <w:rPr>
          <w:rFonts w:eastAsiaTheme="minorHAnsi"/>
          <w:lang w:eastAsia="en-US"/>
        </w:rPr>
        <w:t xml:space="preserve"> par faktisko situāciju sabiedriskā transporta pakalpojumu izpildē, veiktajām izmaiņām un uzlabojumiem, par veiktajiem un veicamajiem pasākumiem sabiedriskā transporta pakalpojumu kompensācijas apjoma no valsts budžeta izdevumiem mazināšanai, skaidrojot arī pieaugošās kompensācijas iemeslus.</w:t>
      </w:r>
    </w:p>
    <w:p w14:paraId="65E46FC6" w14:textId="1883F135" w:rsidR="00AE6710" w:rsidRPr="00AE6710" w:rsidRDefault="4CC13D2B" w:rsidP="7F9BBCD6">
      <w:pPr>
        <w:ind w:firstLine="709"/>
        <w:jc w:val="both"/>
        <w:rPr>
          <w:rFonts w:eastAsiaTheme="minorEastAsia"/>
          <w:lang w:eastAsia="en-US"/>
        </w:rPr>
      </w:pPr>
      <w:r w:rsidRPr="7F9BBCD6">
        <w:rPr>
          <w:rFonts w:eastAsiaTheme="minorEastAsia"/>
          <w:lang w:eastAsia="en-US"/>
        </w:rPr>
        <w:t xml:space="preserve">Valsts budžeta finansējums kārtējam gadam tiek piešķirts ņemot vērā apstiprināto vidēja termiņa budžeta ietvaru, un atbilstoši likuma “Par valsts budžetu </w:t>
      </w:r>
      <w:r w:rsidR="00952340" w:rsidRPr="7F9BBCD6">
        <w:rPr>
          <w:rFonts w:eastAsiaTheme="minorEastAsia"/>
          <w:lang w:eastAsia="en-US"/>
        </w:rPr>
        <w:t>202</w:t>
      </w:r>
      <w:r w:rsidR="00952340">
        <w:rPr>
          <w:rFonts w:eastAsiaTheme="minorEastAsia"/>
          <w:lang w:eastAsia="en-US"/>
        </w:rPr>
        <w:t>6</w:t>
      </w:r>
      <w:r w:rsidRPr="7F9BBCD6">
        <w:rPr>
          <w:rFonts w:eastAsiaTheme="minorEastAsia"/>
          <w:lang w:eastAsia="en-US"/>
        </w:rPr>
        <w:t xml:space="preserve">. gadam un budžeta ietvaru </w:t>
      </w:r>
      <w:r w:rsidR="00952340" w:rsidRPr="7F9BBCD6">
        <w:rPr>
          <w:rFonts w:eastAsiaTheme="minorEastAsia"/>
          <w:lang w:eastAsia="en-US"/>
        </w:rPr>
        <w:t>202</w:t>
      </w:r>
      <w:r w:rsidR="00952340">
        <w:rPr>
          <w:rFonts w:eastAsiaTheme="minorEastAsia"/>
          <w:lang w:eastAsia="en-US"/>
        </w:rPr>
        <w:t>6</w:t>
      </w:r>
      <w:r w:rsidRPr="7F9BBCD6">
        <w:rPr>
          <w:rFonts w:eastAsiaTheme="minorEastAsia"/>
          <w:lang w:eastAsia="en-US"/>
        </w:rPr>
        <w:t>., 202</w:t>
      </w:r>
      <w:r w:rsidR="00952340">
        <w:rPr>
          <w:rFonts w:eastAsiaTheme="minorEastAsia"/>
          <w:lang w:eastAsia="en-US"/>
        </w:rPr>
        <w:t>7</w:t>
      </w:r>
      <w:r w:rsidRPr="7F9BBCD6">
        <w:rPr>
          <w:rFonts w:eastAsiaTheme="minorEastAsia"/>
          <w:lang w:eastAsia="en-US"/>
        </w:rPr>
        <w:t xml:space="preserve">. un </w:t>
      </w:r>
      <w:r w:rsidR="00952340" w:rsidRPr="7F9BBCD6">
        <w:rPr>
          <w:rFonts w:eastAsiaTheme="minorEastAsia"/>
          <w:lang w:eastAsia="en-US"/>
        </w:rPr>
        <w:t>202</w:t>
      </w:r>
      <w:r w:rsidR="00952340">
        <w:rPr>
          <w:rFonts w:eastAsiaTheme="minorEastAsia"/>
          <w:lang w:eastAsia="en-US"/>
        </w:rPr>
        <w:t>8</w:t>
      </w:r>
      <w:r w:rsidRPr="7F9BBCD6">
        <w:rPr>
          <w:rFonts w:eastAsiaTheme="minorEastAsia"/>
          <w:lang w:eastAsia="en-US"/>
        </w:rPr>
        <w:t xml:space="preserve">. gadam” 31.06.00 apakšprogrammā “Dotācija zaudējumu segšanai sabiedriskā transporta pakalpojumu sniedzējiem” </w:t>
      </w:r>
      <w:r w:rsidR="3A8594EB" w:rsidRPr="7F9BBCD6">
        <w:rPr>
          <w:rFonts w:eastAsiaTheme="minorEastAsia"/>
          <w:lang w:eastAsia="en-US"/>
        </w:rPr>
        <w:t>b</w:t>
      </w:r>
      <w:r w:rsidRPr="7F9BBCD6">
        <w:rPr>
          <w:rFonts w:eastAsiaTheme="minorEastAsia"/>
          <w:lang w:eastAsia="en-US"/>
        </w:rPr>
        <w:t>āzes finansējum</w:t>
      </w:r>
      <w:r w:rsidR="0BC039C8" w:rsidRPr="7F9BBCD6">
        <w:rPr>
          <w:rFonts w:eastAsiaTheme="minorEastAsia"/>
          <w:lang w:eastAsia="en-US"/>
        </w:rPr>
        <w:t>ā paredzot</w:t>
      </w:r>
      <w:r w:rsidRPr="7F9BBCD6">
        <w:rPr>
          <w:rFonts w:eastAsiaTheme="minorEastAsia"/>
          <w:lang w:eastAsia="en-US"/>
        </w:rPr>
        <w:t xml:space="preserve"> ik gadu (</w:t>
      </w:r>
      <w:r w:rsidR="00952340" w:rsidRPr="7F9BBCD6">
        <w:rPr>
          <w:rFonts w:eastAsiaTheme="minorEastAsia"/>
          <w:lang w:eastAsia="en-US"/>
        </w:rPr>
        <w:t>202</w:t>
      </w:r>
      <w:r w:rsidR="00952340">
        <w:rPr>
          <w:rFonts w:eastAsiaTheme="minorEastAsia"/>
          <w:lang w:eastAsia="en-US"/>
        </w:rPr>
        <w:t>6</w:t>
      </w:r>
      <w:r w:rsidRPr="7F9BBCD6">
        <w:rPr>
          <w:rFonts w:eastAsiaTheme="minorEastAsia"/>
          <w:lang w:eastAsia="en-US"/>
        </w:rPr>
        <w:t>. -</w:t>
      </w:r>
      <w:r w:rsidR="31D1EF0B" w:rsidRPr="7F9BBCD6">
        <w:rPr>
          <w:rFonts w:eastAsiaTheme="minorEastAsia"/>
          <w:lang w:eastAsia="en-US"/>
        </w:rPr>
        <w:t xml:space="preserve"> </w:t>
      </w:r>
      <w:r w:rsidR="00952340" w:rsidRPr="7F9BBCD6">
        <w:rPr>
          <w:rFonts w:eastAsiaTheme="minorEastAsia"/>
          <w:lang w:eastAsia="en-US"/>
        </w:rPr>
        <w:t>202</w:t>
      </w:r>
      <w:r w:rsidR="00952340">
        <w:rPr>
          <w:rFonts w:eastAsiaTheme="minorEastAsia"/>
          <w:lang w:eastAsia="en-US"/>
        </w:rPr>
        <w:t>8</w:t>
      </w:r>
      <w:r w:rsidRPr="7F9BBCD6">
        <w:rPr>
          <w:rFonts w:eastAsiaTheme="minorEastAsia"/>
          <w:lang w:eastAsia="en-US"/>
        </w:rPr>
        <w:t>. gadu ietvarā) 93 787</w:t>
      </w:r>
      <w:r w:rsidR="6A4384E3" w:rsidRPr="7F9BBCD6">
        <w:rPr>
          <w:rFonts w:eastAsiaTheme="minorEastAsia"/>
          <w:lang w:eastAsia="en-US"/>
        </w:rPr>
        <w:t> </w:t>
      </w:r>
      <w:r w:rsidRPr="7F9BBCD6">
        <w:rPr>
          <w:rFonts w:eastAsiaTheme="minorEastAsia"/>
          <w:lang w:eastAsia="en-US"/>
        </w:rPr>
        <w:t>014</w:t>
      </w:r>
      <w:r w:rsidR="6A4384E3" w:rsidRPr="7F9BBCD6">
        <w:rPr>
          <w:rFonts w:eastAsiaTheme="minorEastAsia"/>
          <w:lang w:eastAsia="en-US"/>
        </w:rPr>
        <w:t xml:space="preserve"> </w:t>
      </w:r>
      <w:proofErr w:type="spellStart"/>
      <w:r w:rsidR="0DC0309C" w:rsidRPr="7F9BBCD6">
        <w:rPr>
          <w:rFonts w:eastAsiaTheme="minorEastAsia"/>
          <w:i/>
          <w:iCs/>
          <w:lang w:eastAsia="en-US"/>
        </w:rPr>
        <w:t>euro</w:t>
      </w:r>
      <w:proofErr w:type="spellEnd"/>
      <w:r w:rsidRPr="7F9BBCD6">
        <w:rPr>
          <w:rFonts w:eastAsiaTheme="minorEastAsia"/>
          <w:lang w:eastAsia="en-US"/>
        </w:rPr>
        <w:t>.</w:t>
      </w:r>
    </w:p>
    <w:p w14:paraId="07A0F2EC" w14:textId="556193F2" w:rsidR="00AE6710" w:rsidRPr="00AE6710" w:rsidRDefault="00AE6710" w:rsidP="00AE6710">
      <w:pPr>
        <w:ind w:firstLine="709"/>
        <w:jc w:val="both"/>
        <w:rPr>
          <w:rFonts w:eastAsiaTheme="minorHAnsi"/>
          <w:lang w:eastAsia="en-US"/>
        </w:rPr>
      </w:pPr>
      <w:r w:rsidRPr="00AE6710">
        <w:rPr>
          <w:rFonts w:eastAsiaTheme="minorHAnsi"/>
          <w:lang w:eastAsia="en-US"/>
        </w:rPr>
        <w:t xml:space="preserve">Ik gadu Satiksmes ministrija un </w:t>
      </w:r>
      <w:r w:rsidR="00742820">
        <w:rPr>
          <w:color w:val="000000" w:themeColor="text1"/>
        </w:rPr>
        <w:t xml:space="preserve">valsts sabiedrība ar ierobežotu atbildību “Autotransporta direkcija” (turpmāk – ATD) </w:t>
      </w:r>
      <w:r w:rsidRPr="00AE6710">
        <w:rPr>
          <w:rFonts w:eastAsiaTheme="minorHAnsi"/>
          <w:lang w:eastAsia="en-US"/>
        </w:rPr>
        <w:t xml:space="preserve"> saskaras ar situāciju, ka gadskārtējā valsts budžeta likumā piešķirtie valsts budžeta līdzekļi nav pietiekami sabiedriskā transporta pakalpojumu sniegšanā radušos zaudējumu segšanai, līdz ar to saskaņā ar </w:t>
      </w:r>
      <w:bookmarkStart w:id="3" w:name="_Hlk87613584"/>
      <w:r w:rsidRPr="00AE6710">
        <w:rPr>
          <w:rFonts w:eastAsiaTheme="minorHAnsi"/>
          <w:lang w:eastAsia="en-US"/>
        </w:rPr>
        <w:t xml:space="preserve">Ministru kabineta 2015. gada 28. jūlija noteikumu Nr.435 “Kārtība, kādā nosaka un kompensē ar sabiedriskā transporta pakalpojumu sniegšanu saistītos zaudējumus un izdevumus un nosaka sabiedriskā transporta pakalpojuma tarifu” </w:t>
      </w:r>
      <w:bookmarkEnd w:id="3"/>
      <w:r w:rsidRPr="00AE6710">
        <w:rPr>
          <w:rFonts w:eastAsiaTheme="minorHAnsi"/>
          <w:lang w:eastAsia="en-US"/>
        </w:rPr>
        <w:t>(turpmāk – M</w:t>
      </w:r>
      <w:r w:rsidR="00742820">
        <w:rPr>
          <w:rFonts w:eastAsiaTheme="minorHAnsi"/>
          <w:lang w:eastAsia="en-US"/>
        </w:rPr>
        <w:t>K</w:t>
      </w:r>
      <w:r w:rsidRPr="00AE6710">
        <w:rPr>
          <w:rFonts w:eastAsiaTheme="minorHAnsi"/>
          <w:lang w:eastAsia="en-US"/>
        </w:rPr>
        <w:t xml:space="preserve"> noteikumi Nr. 435) 17. un 18. punktu tiek veikti pasākumi, lai mazinātu nepieciešamo papildu finansējum</w:t>
      </w:r>
      <w:r w:rsidR="00830ED6">
        <w:rPr>
          <w:rFonts w:eastAsiaTheme="minorHAnsi"/>
          <w:lang w:eastAsia="en-US"/>
        </w:rPr>
        <w:t>u</w:t>
      </w:r>
      <w:r w:rsidRPr="00AE6710">
        <w:rPr>
          <w:rFonts w:eastAsiaTheme="minorHAnsi"/>
          <w:lang w:eastAsia="en-US"/>
        </w:rPr>
        <w:t xml:space="preserve">, kā arī katru gadu valsts budžeta izpildes un elastības ietvarā tiek risināts jautājums par papildu finansējuma piešķiršanu sabiedriskā transporta pakalpojumu nodrošināšanai. </w:t>
      </w:r>
    </w:p>
    <w:p w14:paraId="4494021B" w14:textId="59B360BC" w:rsidR="00AE6710" w:rsidRPr="00AE6710" w:rsidRDefault="00AE6710" w:rsidP="00AE6710">
      <w:pPr>
        <w:ind w:firstLine="709"/>
        <w:jc w:val="both"/>
        <w:rPr>
          <w:rFonts w:eastAsiaTheme="minorHAnsi"/>
          <w:lang w:eastAsia="en-US"/>
        </w:rPr>
      </w:pPr>
      <w:r w:rsidRPr="00AE6710">
        <w:rPr>
          <w:rFonts w:eastAsiaTheme="minorHAnsi"/>
          <w:lang w:eastAsia="en-US"/>
        </w:rPr>
        <w:t>Ievērojot to, ka gan Latvijas Republikas Valsts kontrole (turpmāk – Valsts kontrole) revīzijas ziņojumā Nr.2.4.1-23/2023, gan arī Satiksmes ministrija</w:t>
      </w:r>
      <w:r w:rsidR="00830ED6">
        <w:rPr>
          <w:rFonts w:eastAsiaTheme="minorHAnsi"/>
          <w:lang w:eastAsia="en-US"/>
        </w:rPr>
        <w:t>s</w:t>
      </w:r>
      <w:r w:rsidRPr="00AE6710">
        <w:rPr>
          <w:rFonts w:eastAsiaTheme="minorHAnsi"/>
          <w:lang w:eastAsia="en-US"/>
        </w:rPr>
        <w:t xml:space="preserve"> uzdevumā</w:t>
      </w:r>
      <w:r w:rsidR="00830ED6">
        <w:rPr>
          <w:rFonts w:eastAsiaTheme="minorHAnsi"/>
          <w:lang w:eastAsia="en-US"/>
        </w:rPr>
        <w:t xml:space="preserve"> </w:t>
      </w:r>
      <w:r w:rsidRPr="00AE6710">
        <w:rPr>
          <w:rFonts w:eastAsiaTheme="minorHAnsi"/>
          <w:lang w:eastAsia="en-US"/>
        </w:rPr>
        <w:t xml:space="preserve">(2025. gada 28. jūlija vēstule </w:t>
      </w:r>
      <w:r w:rsidR="00830ED6">
        <w:rPr>
          <w:rFonts w:eastAsiaTheme="minorHAnsi"/>
          <w:lang w:eastAsia="en-US"/>
        </w:rPr>
        <w:t>N</w:t>
      </w:r>
      <w:r w:rsidRPr="00AE6710">
        <w:rPr>
          <w:rFonts w:eastAsiaTheme="minorHAnsi"/>
          <w:lang w:eastAsia="en-US"/>
        </w:rPr>
        <w:t>r. 04.2-02/2298)</w:t>
      </w:r>
      <w:r w:rsidR="00830ED6">
        <w:rPr>
          <w:rFonts w:eastAsiaTheme="minorHAnsi"/>
          <w:lang w:eastAsia="en-US"/>
        </w:rPr>
        <w:t xml:space="preserve"> </w:t>
      </w:r>
      <w:r w:rsidRPr="00AE6710">
        <w:rPr>
          <w:rFonts w:eastAsiaTheme="minorHAnsi"/>
          <w:lang w:eastAsia="en-US"/>
        </w:rPr>
        <w:t xml:space="preserve">ir uzdots nodrošināt sabiedriskā transporta pakalpojumu izpildi valsts budžetā piešķirtā finansējuma apjomā, tad attiecīgi </w:t>
      </w:r>
      <w:r w:rsidR="00CF1816">
        <w:rPr>
          <w:rFonts w:eastAsiaTheme="minorHAnsi"/>
          <w:lang w:eastAsia="en-US"/>
        </w:rPr>
        <w:t xml:space="preserve">ATD veica maršrutu tīkla </w:t>
      </w:r>
      <w:r w:rsidRPr="00AE6710">
        <w:rPr>
          <w:rFonts w:eastAsiaTheme="minorHAnsi"/>
          <w:lang w:eastAsia="en-US"/>
        </w:rPr>
        <w:t>apjom</w:t>
      </w:r>
      <w:r w:rsidR="00CF1816">
        <w:rPr>
          <w:rFonts w:eastAsiaTheme="minorHAnsi"/>
          <w:lang w:eastAsia="en-US"/>
        </w:rPr>
        <w:t>a izvērtējumu, lai</w:t>
      </w:r>
      <w:r w:rsidRPr="00AE6710">
        <w:rPr>
          <w:rFonts w:eastAsiaTheme="minorHAnsi"/>
          <w:lang w:eastAsia="en-US"/>
        </w:rPr>
        <w:t xml:space="preserve"> 2026.gad</w:t>
      </w:r>
      <w:r w:rsidR="008B2ACC">
        <w:rPr>
          <w:rFonts w:eastAsiaTheme="minorHAnsi"/>
          <w:lang w:eastAsia="en-US"/>
        </w:rPr>
        <w:t>ā</w:t>
      </w:r>
      <w:r w:rsidRPr="00AE6710">
        <w:rPr>
          <w:rFonts w:eastAsiaTheme="minorHAnsi"/>
          <w:lang w:eastAsia="en-US"/>
        </w:rPr>
        <w:t xml:space="preserve"> tuvināt</w:t>
      </w:r>
      <w:r w:rsidR="00CF1816">
        <w:rPr>
          <w:rFonts w:eastAsiaTheme="minorHAnsi"/>
          <w:lang w:eastAsia="en-US"/>
        </w:rPr>
        <w:t>o</w:t>
      </w:r>
      <w:r w:rsidRPr="00AE6710">
        <w:rPr>
          <w:rFonts w:eastAsiaTheme="minorHAnsi"/>
          <w:lang w:eastAsia="en-US"/>
        </w:rPr>
        <w:t>s valsts budžeta izdevumu sabalansēšanai ar iespējamo sabiedriskā transporta pakalpojuma pasūtījuma apjomu</w:t>
      </w:r>
      <w:r w:rsidR="00CF1816">
        <w:rPr>
          <w:rFonts w:eastAsiaTheme="minorHAnsi"/>
          <w:lang w:eastAsia="en-US"/>
        </w:rPr>
        <w:t>. T</w:t>
      </w:r>
      <w:r w:rsidRPr="00AE6710">
        <w:rPr>
          <w:rFonts w:eastAsiaTheme="minorHAnsi"/>
          <w:lang w:eastAsia="en-US"/>
        </w:rPr>
        <w:t xml:space="preserve">omēr </w:t>
      </w:r>
      <w:r w:rsidR="00CF1816">
        <w:rPr>
          <w:rFonts w:eastAsiaTheme="minorHAnsi"/>
          <w:lang w:eastAsia="en-US"/>
        </w:rPr>
        <w:t>maršrutu tīkla mazināšana</w:t>
      </w:r>
      <w:r w:rsidR="00CF1816" w:rsidRPr="00AE6710">
        <w:rPr>
          <w:rFonts w:eastAsiaTheme="minorHAnsi"/>
          <w:lang w:eastAsia="en-US"/>
        </w:rPr>
        <w:t xml:space="preserve"> </w:t>
      </w:r>
      <w:r w:rsidRPr="00AE6710">
        <w:rPr>
          <w:rFonts w:eastAsiaTheme="minorHAnsi"/>
          <w:lang w:eastAsia="en-US"/>
        </w:rPr>
        <w:t xml:space="preserve">nerisina </w:t>
      </w:r>
      <w:r w:rsidR="003770D4" w:rsidRPr="00AE6710">
        <w:rPr>
          <w:rFonts w:eastAsiaTheme="minorHAnsi"/>
          <w:lang w:eastAsia="en-US"/>
        </w:rPr>
        <w:t xml:space="preserve">kopējo </w:t>
      </w:r>
      <w:r w:rsidRPr="00AE6710">
        <w:rPr>
          <w:rFonts w:eastAsiaTheme="minorHAnsi"/>
          <w:lang w:eastAsia="en-US"/>
        </w:rPr>
        <w:t xml:space="preserve">jautājumu </w:t>
      </w:r>
      <w:r w:rsidR="003770D4">
        <w:rPr>
          <w:rFonts w:eastAsiaTheme="minorHAnsi"/>
          <w:lang w:eastAsia="en-US"/>
        </w:rPr>
        <w:t xml:space="preserve">par </w:t>
      </w:r>
      <w:r w:rsidRPr="00AE6710">
        <w:rPr>
          <w:rFonts w:eastAsiaTheme="minorHAnsi"/>
          <w:lang w:eastAsia="en-US"/>
        </w:rPr>
        <w:t>sabiedriskā transporta pakalpojuma sadārdzināšanos pēdējos gados, kas vairs neatbilst valsts budžeta bāzes izdevumu apmēram.</w:t>
      </w:r>
    </w:p>
    <w:p w14:paraId="7D218C63" w14:textId="22E9C761" w:rsidR="00AE6710" w:rsidRPr="00AE6710" w:rsidRDefault="00AE6710" w:rsidP="00AE6710">
      <w:pPr>
        <w:ind w:firstLine="709"/>
        <w:jc w:val="both"/>
        <w:rPr>
          <w:rFonts w:eastAsiaTheme="minorHAnsi"/>
          <w:lang w:eastAsia="en-US"/>
        </w:rPr>
      </w:pPr>
      <w:r w:rsidRPr="00AE6710">
        <w:rPr>
          <w:rFonts w:eastAsiaTheme="minorHAnsi"/>
          <w:lang w:eastAsia="en-US"/>
        </w:rPr>
        <w:t xml:space="preserve">Likumprojekta “Par valsts budžetu 2023. gadam un budžeta ietvaru 2023., 2024. un 2025. gadam” izskatīšanas gaitā </w:t>
      </w:r>
      <w:bookmarkStart w:id="4" w:name="_Hlk129272602"/>
      <w:r w:rsidRPr="00AE6710">
        <w:rPr>
          <w:rFonts w:eastAsiaTheme="minorHAnsi"/>
          <w:lang w:eastAsia="en-US"/>
        </w:rPr>
        <w:t xml:space="preserve">Ministru kabinets 2023. gada 13. janvāra sēdes </w:t>
      </w:r>
      <w:proofErr w:type="spellStart"/>
      <w:r w:rsidRPr="00AE6710">
        <w:rPr>
          <w:rFonts w:eastAsiaTheme="minorHAnsi"/>
          <w:lang w:eastAsia="en-US"/>
        </w:rPr>
        <w:t>protokollēmumā</w:t>
      </w:r>
      <w:proofErr w:type="spellEnd"/>
      <w:r w:rsidRPr="00AE6710">
        <w:rPr>
          <w:rFonts w:eastAsiaTheme="minorHAnsi"/>
          <w:lang w:eastAsia="en-US"/>
        </w:rPr>
        <w:t xml:space="preserve"> (prot. Nr. 2, 1. §) </w:t>
      </w:r>
      <w:bookmarkEnd w:id="4"/>
      <w:r w:rsidRPr="00AE6710">
        <w:rPr>
          <w:rFonts w:eastAsiaTheme="minorHAnsi"/>
          <w:lang w:eastAsia="en-US"/>
        </w:rPr>
        <w:t>uzdeva Satiksmes ministrijai sagatavot un iesniegt izskatīšanai Ministru kabinetā priekšlikumus par veicamajiem pasākumiem kompensācijas apjoma samazināšanai, lai risinātu jautājumu par papildu nepieciešamajiem valsts budžeta līdzekļiem sabiedriskā transporta pakalpojumu sniedzēju zaudējumu segšanai.</w:t>
      </w:r>
    </w:p>
    <w:p w14:paraId="0B13B638" w14:textId="4A4B68B8" w:rsidR="00AE6710" w:rsidRPr="00AE6710" w:rsidRDefault="00AE6710" w:rsidP="00AE6710">
      <w:pPr>
        <w:ind w:firstLine="709"/>
        <w:jc w:val="both"/>
        <w:rPr>
          <w:rFonts w:eastAsiaTheme="minorHAnsi"/>
          <w:lang w:eastAsia="en-US"/>
        </w:rPr>
      </w:pPr>
      <w:r w:rsidRPr="00AE6710">
        <w:rPr>
          <w:rFonts w:eastAsiaTheme="minorHAnsi"/>
          <w:lang w:eastAsia="en-US"/>
        </w:rPr>
        <w:t>Pildot minēto uzdevumu, Satiksmes ministrija sagatavoja un iesniedza izskatīšanai Ministru kabinetā informatīvo ziņojumu “Par veicamajiem pasākumiem sabiedriskā transporta pakalpojumu kompensācijas apjoma samazināšanai” (23-TA-686)</w:t>
      </w:r>
      <w:r w:rsidRPr="00AE6710">
        <w:rPr>
          <w:rFonts w:eastAsiaTheme="minorHAnsi"/>
          <w:vertAlign w:val="superscript"/>
          <w:lang w:eastAsia="en-US"/>
        </w:rPr>
        <w:footnoteReference w:id="2"/>
      </w:r>
      <w:r w:rsidRPr="00AE6710">
        <w:rPr>
          <w:rFonts w:eastAsiaTheme="minorHAnsi"/>
          <w:lang w:eastAsia="en-US"/>
        </w:rPr>
        <w:t xml:space="preserve"> un </w:t>
      </w:r>
      <w:r w:rsidR="00C00DD2">
        <w:rPr>
          <w:rFonts w:eastAsiaTheme="minorHAnsi"/>
          <w:lang w:eastAsia="en-US"/>
        </w:rPr>
        <w:t xml:space="preserve">informatīvo ziņojumu </w:t>
      </w:r>
      <w:r w:rsidRPr="00AE6710">
        <w:rPr>
          <w:rFonts w:eastAsiaTheme="minorHAnsi"/>
          <w:lang w:eastAsia="en-US"/>
        </w:rPr>
        <w:t>“Par nepieciešamo papildu finansējumu sabiedriskā transporta pakalpojumu sniegšanai 2023.gadā” (23-TA-2513)</w:t>
      </w:r>
      <w:r w:rsidRPr="00AE6710">
        <w:rPr>
          <w:rFonts w:eastAsiaTheme="minorHAnsi"/>
          <w:vertAlign w:val="superscript"/>
          <w:lang w:eastAsia="en-US"/>
        </w:rPr>
        <w:footnoteReference w:id="3"/>
      </w:r>
      <w:r w:rsidRPr="00AE6710">
        <w:rPr>
          <w:rFonts w:eastAsiaTheme="minorHAnsi"/>
          <w:lang w:eastAsia="en-US"/>
        </w:rPr>
        <w:t>. Attiecīgi pēdējā no informatīvajiem ziņojumiem tika ietverti arī turpmākie darbības un rīcības virzieni laika posmā no 2024. gada līdz 2027. gadam, lai pilnveidotu reģionālo maršrutu tīklu, veicinot iedzīvotāju ieinteresētību vairāk izmantot sabiedrisko transportu un uzlabojot iedzīvotāju pārvietošanās iespējas, uzsvaru liekot uz kompleksu risinājumu, kurā ietilpst maršrutu tīkla pārskatīšana, sabiedriskā transporta pakalpojuma piedāvājuma uzlabošana, kā arī līdztekus sabiedriskā transporta pakalpojumu braukšanas maksas (tarifu) maiņai</w:t>
      </w:r>
      <w:r w:rsidR="004F3BFF">
        <w:rPr>
          <w:rFonts w:eastAsiaTheme="minorHAnsi"/>
          <w:lang w:eastAsia="en-US"/>
        </w:rPr>
        <w:t>,</w:t>
      </w:r>
      <w:r w:rsidRPr="00AE6710">
        <w:rPr>
          <w:rFonts w:eastAsiaTheme="minorHAnsi"/>
          <w:lang w:eastAsia="en-US"/>
        </w:rPr>
        <w:t xml:space="preserve"> jaunu produktu ieviešana un biļešu veidu politikas uzlabošana par labu regulārajiem sabiedriskā transporta lietotājiem. Tā kā izmaksu samazinājuma iespējas ir </w:t>
      </w:r>
      <w:r w:rsidRPr="00AE6710">
        <w:rPr>
          <w:rFonts w:eastAsiaTheme="minorHAnsi"/>
          <w:lang w:eastAsia="en-US"/>
        </w:rPr>
        <w:lastRenderedPageBreak/>
        <w:t>limitētas, un tās, galvenokārt, iespējamas Pierīgā, pārkārtojot reģionālo autobusu maršrutu tīklu no paralēla uz savienotu ar dzelzceļa maršrutu tīklu, informatīvajā ziņojumā ietvertie pasākumi vērsti galvenokārt uz sabiedriskā transporta piedāvājuma kvalitātes uzlabošanu, veicinot lielāku sabiedriskā transporta pievilcību, pieprasījumu un palielinot biļešu ieņēmumus.</w:t>
      </w:r>
    </w:p>
    <w:p w14:paraId="0E422663" w14:textId="472AF387" w:rsidR="00AE6710" w:rsidRPr="00AE6710" w:rsidRDefault="00AE6710" w:rsidP="00AE6710">
      <w:pPr>
        <w:ind w:firstLine="709"/>
        <w:contextualSpacing/>
        <w:jc w:val="both"/>
        <w:rPr>
          <w:rFonts w:eastAsiaTheme="minorHAnsi"/>
          <w:kern w:val="2"/>
          <w:lang w:eastAsia="en-US"/>
          <w14:ligatures w14:val="standardContextual"/>
        </w:rPr>
      </w:pPr>
      <w:r w:rsidRPr="00AE6710">
        <w:rPr>
          <w:rFonts w:eastAsiaTheme="minorHAnsi"/>
          <w:kern w:val="2"/>
          <w:lang w:eastAsia="en-US"/>
          <w14:ligatures w14:val="standardContextual"/>
        </w:rPr>
        <w:t>Atbilstoši reģionālās nozīmes sabiedriskā transporta attīstības 2021. –2030. gadam</w:t>
      </w:r>
      <w:r w:rsidRPr="00AE6710">
        <w:rPr>
          <w:rFonts w:eastAsiaTheme="minorHAnsi"/>
          <w:kern w:val="2"/>
          <w:vertAlign w:val="superscript"/>
          <w:lang w:eastAsia="en-US"/>
          <w14:ligatures w14:val="standardContextual"/>
        </w:rPr>
        <w:footnoteReference w:id="4"/>
      </w:r>
      <w:r w:rsidRPr="00AE6710">
        <w:rPr>
          <w:rFonts w:eastAsiaTheme="minorHAnsi"/>
          <w:kern w:val="2"/>
          <w:lang w:eastAsia="en-US"/>
          <w14:ligatures w14:val="standardContextual"/>
        </w:rPr>
        <w:t xml:space="preserve"> mērķim – iedzīvotāju pārsēšanās no privātā autotransporta uz konkurētspējīgu, ērtu, drošu, uzticamu un integrētu sabiedrisko transportu veicinās sabiedriskā transporta pakalpojumu nozares attīstību un efektīvāku resursu izmantošanu, jau 2020. gadā </w:t>
      </w:r>
      <w:r w:rsidR="008766FA">
        <w:rPr>
          <w:rFonts w:eastAsiaTheme="minorHAnsi"/>
          <w:kern w:val="2"/>
          <w:lang w:eastAsia="en-US"/>
          <w14:ligatures w14:val="standardContextual"/>
        </w:rPr>
        <w:t xml:space="preserve">tika </w:t>
      </w:r>
      <w:r w:rsidRPr="00AE6710">
        <w:rPr>
          <w:rFonts w:eastAsiaTheme="minorHAnsi"/>
          <w:kern w:val="2"/>
          <w:lang w:eastAsia="en-US"/>
          <w14:ligatures w14:val="standardContextual"/>
        </w:rPr>
        <w:t>uzsākta reģionālās nozīmes maršrutu tīkla pārskatīšana, lielāku uzsvaru liekot uz dzelzceļa pārvadājumiem.</w:t>
      </w:r>
    </w:p>
    <w:p w14:paraId="1AC7659B" w14:textId="373BD8DA" w:rsidR="00AE6710" w:rsidRPr="00AE6710" w:rsidRDefault="4CC13D2B" w:rsidP="7F9BBCD6">
      <w:pPr>
        <w:ind w:firstLine="720"/>
        <w:contextualSpacing/>
        <w:jc w:val="both"/>
        <w:rPr>
          <w:color w:val="000000" w:themeColor="text1"/>
          <w:lang w:eastAsia="en-US"/>
        </w:rPr>
      </w:pPr>
      <w:r w:rsidRPr="7F9BBCD6">
        <w:rPr>
          <w:color w:val="000000" w:themeColor="text1"/>
          <w:lang w:eastAsia="en-US"/>
        </w:rPr>
        <w:t>Pieejamais valsts budžets sabiedriskā transporta pakalpojumu nodrošināšanai 2025.</w:t>
      </w:r>
      <w:r w:rsidR="33365959" w:rsidRPr="7F9BBCD6">
        <w:rPr>
          <w:color w:val="000000" w:themeColor="text1"/>
          <w:lang w:eastAsia="en-US"/>
        </w:rPr>
        <w:t> </w:t>
      </w:r>
      <w:r w:rsidRPr="7F9BBCD6">
        <w:rPr>
          <w:color w:val="000000" w:themeColor="text1"/>
          <w:lang w:eastAsia="en-US"/>
        </w:rPr>
        <w:t>gadam, kā arī 2026.</w:t>
      </w:r>
      <w:r w:rsidR="33365959" w:rsidRPr="7F9BBCD6">
        <w:rPr>
          <w:color w:val="000000" w:themeColor="text1"/>
          <w:lang w:eastAsia="en-US"/>
        </w:rPr>
        <w:t> </w:t>
      </w:r>
      <w:r w:rsidRPr="7F9BBCD6">
        <w:rPr>
          <w:color w:val="000000" w:themeColor="text1"/>
          <w:lang w:eastAsia="en-US"/>
        </w:rPr>
        <w:t xml:space="preserve">gadam plānots 93,78 milj. </w:t>
      </w:r>
      <w:proofErr w:type="spellStart"/>
      <w:r w:rsidR="0DC0309C" w:rsidRPr="7F9BBCD6">
        <w:rPr>
          <w:i/>
          <w:iCs/>
          <w:color w:val="000000" w:themeColor="text1"/>
          <w:lang w:eastAsia="en-US"/>
        </w:rPr>
        <w:t>euro</w:t>
      </w:r>
      <w:proofErr w:type="spellEnd"/>
      <w:r w:rsidRPr="7F9BBCD6">
        <w:rPr>
          <w:color w:val="000000" w:themeColor="text1"/>
          <w:lang w:eastAsia="en-US"/>
        </w:rPr>
        <w:t>, kura ietvaros ir jānodrošina sabiedriskā transporta pakalpojumi ar autobusiem</w:t>
      </w:r>
      <w:r w:rsidR="23BE28EA" w:rsidRPr="7F9BBCD6">
        <w:rPr>
          <w:color w:val="000000" w:themeColor="text1"/>
          <w:lang w:eastAsia="en-US"/>
        </w:rPr>
        <w:t xml:space="preserve"> un</w:t>
      </w:r>
      <w:r w:rsidRPr="7F9BBCD6">
        <w:rPr>
          <w:color w:val="000000" w:themeColor="text1"/>
          <w:lang w:eastAsia="en-US"/>
        </w:rPr>
        <w:t xml:space="preserve"> dzelzceļu, </w:t>
      </w:r>
      <w:r w:rsidR="08996C4A" w:rsidRPr="7F9BBCD6">
        <w:rPr>
          <w:color w:val="000000" w:themeColor="text1"/>
          <w:lang w:eastAsia="en-US"/>
        </w:rPr>
        <w:t xml:space="preserve">īstenojot </w:t>
      </w:r>
      <w:r w:rsidRPr="7F9BBCD6">
        <w:rPr>
          <w:color w:val="000000" w:themeColor="text1"/>
          <w:lang w:eastAsia="en-US"/>
        </w:rPr>
        <w:t>kompensācij</w:t>
      </w:r>
      <w:r w:rsidR="288F498E" w:rsidRPr="7F9BBCD6">
        <w:rPr>
          <w:color w:val="000000" w:themeColor="text1"/>
          <w:lang w:eastAsia="en-US"/>
        </w:rPr>
        <w:t>u</w:t>
      </w:r>
      <w:r w:rsidRPr="7F9BBCD6">
        <w:rPr>
          <w:color w:val="000000" w:themeColor="text1"/>
          <w:lang w:eastAsia="en-US"/>
        </w:rPr>
        <w:t xml:space="preserve"> valstspilsētām maršrutu tīkla daļā, kas attiecas uz ārpus pilsētas teritorijas sniegtajiem pakalpojumiem un par p</w:t>
      </w:r>
      <w:r w:rsidR="2AE5F8A6" w:rsidRPr="7F9BBCD6">
        <w:rPr>
          <w:color w:val="000000" w:themeColor="text1"/>
          <w:lang w:eastAsia="en-US"/>
        </w:rPr>
        <w:t xml:space="preserve">asažieru, kuri izmanto Ministru kabineta noteikumos noteiktos </w:t>
      </w:r>
      <w:r w:rsidRPr="7F9BBCD6">
        <w:rPr>
          <w:color w:val="000000" w:themeColor="text1"/>
          <w:lang w:eastAsia="en-US"/>
        </w:rPr>
        <w:t>braukšanas maskas atvieglojum</w:t>
      </w:r>
      <w:r w:rsidR="0616AC03" w:rsidRPr="7F9BBCD6">
        <w:rPr>
          <w:color w:val="000000" w:themeColor="text1"/>
          <w:lang w:eastAsia="en-US"/>
        </w:rPr>
        <w:t>us,</w:t>
      </w:r>
      <w:r w:rsidRPr="7F9BBCD6">
        <w:rPr>
          <w:color w:val="000000" w:themeColor="text1"/>
          <w:lang w:eastAsia="en-US"/>
        </w:rPr>
        <w:t xml:space="preserve"> pārvadāšanu. </w:t>
      </w:r>
      <w:r w:rsidR="0616AC03" w:rsidRPr="7F9BBCD6">
        <w:rPr>
          <w:color w:val="000000" w:themeColor="text1"/>
          <w:lang w:eastAsia="en-US"/>
        </w:rPr>
        <w:t>K</w:t>
      </w:r>
      <w:r w:rsidRPr="7F9BBCD6">
        <w:rPr>
          <w:color w:val="000000" w:themeColor="text1"/>
          <w:lang w:eastAsia="en-US"/>
        </w:rPr>
        <w:t xml:space="preserve">opējais reģionālās nozīmes dotētais maršrutu tīkls </w:t>
      </w:r>
      <w:r w:rsidR="0616AC03" w:rsidRPr="7F9BBCD6">
        <w:rPr>
          <w:color w:val="000000" w:themeColor="text1"/>
          <w:lang w:eastAsia="en-US"/>
        </w:rPr>
        <w:t xml:space="preserve">2025. gadā </w:t>
      </w:r>
      <w:r w:rsidRPr="7F9BBCD6">
        <w:rPr>
          <w:color w:val="000000" w:themeColor="text1"/>
          <w:lang w:eastAsia="en-US"/>
        </w:rPr>
        <w:t>veido</w:t>
      </w:r>
      <w:r w:rsidR="00952340">
        <w:rPr>
          <w:color w:val="000000" w:themeColor="text1"/>
          <w:lang w:eastAsia="en-US"/>
        </w:rPr>
        <w:t>ja</w:t>
      </w:r>
      <w:r w:rsidRPr="7F9BBCD6">
        <w:rPr>
          <w:color w:val="000000" w:themeColor="text1"/>
          <w:lang w:eastAsia="en-US"/>
        </w:rPr>
        <w:t xml:space="preserve"> 74,33 milj. km, kas attiecīgi saskaņā ar noslēgtajiem sabiedriskā transporta pakalpojumu pasūtījuma līgumiem zaudējumu kompensācijā veido 89</w:t>
      </w:r>
      <w:r w:rsidR="00B77271">
        <w:rPr>
          <w:color w:val="000000" w:themeColor="text1"/>
          <w:lang w:eastAsia="en-US"/>
        </w:rPr>
        <w:t>,2</w:t>
      </w:r>
      <w:r w:rsidRPr="7F9BBCD6">
        <w:rPr>
          <w:color w:val="000000" w:themeColor="text1"/>
          <w:lang w:eastAsia="en-US"/>
        </w:rPr>
        <w:t xml:space="preserve"> milj. </w:t>
      </w:r>
      <w:proofErr w:type="spellStart"/>
      <w:r w:rsidR="0DC0309C" w:rsidRPr="7F9BBCD6">
        <w:rPr>
          <w:i/>
          <w:iCs/>
          <w:color w:val="000000" w:themeColor="text1"/>
          <w:lang w:eastAsia="en-US"/>
        </w:rPr>
        <w:t>euro</w:t>
      </w:r>
      <w:proofErr w:type="spellEnd"/>
      <w:r w:rsidRPr="7F9BBCD6">
        <w:rPr>
          <w:color w:val="000000" w:themeColor="text1"/>
          <w:lang w:eastAsia="en-US"/>
        </w:rPr>
        <w:t xml:space="preserve">, kā arī par </w:t>
      </w:r>
      <w:proofErr w:type="spellStart"/>
      <w:r w:rsidRPr="7F9BBCD6">
        <w:rPr>
          <w:color w:val="000000" w:themeColor="text1"/>
          <w:lang w:eastAsia="en-US"/>
        </w:rPr>
        <w:t>valstspilsētu</w:t>
      </w:r>
      <w:proofErr w:type="spellEnd"/>
      <w:r w:rsidRPr="7F9BBCD6">
        <w:rPr>
          <w:color w:val="000000" w:themeColor="text1"/>
          <w:lang w:eastAsia="en-US"/>
        </w:rPr>
        <w:t xml:space="preserve"> organizētajiem </w:t>
      </w:r>
      <w:r w:rsidRPr="00B77271">
        <w:rPr>
          <w:color w:val="000000" w:themeColor="text1"/>
          <w:lang w:eastAsia="en-US"/>
        </w:rPr>
        <w:t>pārvadājumiem 13,</w:t>
      </w:r>
      <w:r w:rsidR="00B77271" w:rsidRPr="001119E4">
        <w:rPr>
          <w:color w:val="000000" w:themeColor="text1"/>
          <w:lang w:eastAsia="en-US"/>
        </w:rPr>
        <w:t>4</w:t>
      </w:r>
      <w:r w:rsidRPr="00B77271">
        <w:rPr>
          <w:color w:val="000000" w:themeColor="text1"/>
          <w:lang w:eastAsia="en-US"/>
        </w:rPr>
        <w:t xml:space="preserve"> milj. </w:t>
      </w:r>
      <w:proofErr w:type="spellStart"/>
      <w:r w:rsidR="0DC0309C" w:rsidRPr="00B77271">
        <w:rPr>
          <w:i/>
          <w:iCs/>
          <w:color w:val="000000" w:themeColor="text1"/>
          <w:lang w:eastAsia="en-US"/>
        </w:rPr>
        <w:t>euro</w:t>
      </w:r>
      <w:proofErr w:type="spellEnd"/>
      <w:r w:rsidRPr="00B77271">
        <w:rPr>
          <w:color w:val="000000" w:themeColor="text1"/>
          <w:lang w:eastAsia="en-US"/>
        </w:rPr>
        <w:t xml:space="preserve"> un </w:t>
      </w:r>
      <w:proofErr w:type="spellStart"/>
      <w:r w:rsidRPr="00B77271">
        <w:rPr>
          <w:color w:val="000000" w:themeColor="text1"/>
          <w:lang w:eastAsia="en-US"/>
        </w:rPr>
        <w:t>komercpārvadātāju</w:t>
      </w:r>
      <w:proofErr w:type="spellEnd"/>
      <w:r w:rsidRPr="00B77271">
        <w:rPr>
          <w:color w:val="000000" w:themeColor="text1"/>
          <w:lang w:eastAsia="en-US"/>
        </w:rPr>
        <w:t xml:space="preserve"> zaudējumu segšanai </w:t>
      </w:r>
      <w:r w:rsidR="472B2436" w:rsidRPr="00B77271">
        <w:rPr>
          <w:color w:val="000000" w:themeColor="text1"/>
          <w:lang w:eastAsia="en-US"/>
        </w:rPr>
        <w:t xml:space="preserve">par pasažieru, kuri izmanto Ministru kabineta noteikumos noteiktos braukšanas maskas atvieglojumus, </w:t>
      </w:r>
      <w:r w:rsidRPr="00B77271">
        <w:rPr>
          <w:color w:val="000000" w:themeColor="text1"/>
          <w:lang w:eastAsia="en-US"/>
        </w:rPr>
        <w:t xml:space="preserve">pārvadāšanu 0,85 milj. </w:t>
      </w:r>
      <w:proofErr w:type="spellStart"/>
      <w:r w:rsidR="0DC0309C" w:rsidRPr="00B77271">
        <w:rPr>
          <w:i/>
          <w:iCs/>
          <w:color w:val="000000" w:themeColor="text1"/>
          <w:lang w:eastAsia="en-US"/>
        </w:rPr>
        <w:t>euro</w:t>
      </w:r>
      <w:proofErr w:type="spellEnd"/>
      <w:r w:rsidRPr="00B77271">
        <w:rPr>
          <w:color w:val="000000" w:themeColor="text1"/>
          <w:lang w:eastAsia="en-US"/>
        </w:rPr>
        <w:t xml:space="preserve">. Tātad kopējais no valsts budžeta piešķirtais finansējums sabiedriskā transporta pakalpojumu nodrošināšanai 2025.gadā </w:t>
      </w:r>
      <w:r w:rsidR="00952340" w:rsidRPr="00B77271">
        <w:rPr>
          <w:color w:val="000000" w:themeColor="text1"/>
          <w:lang w:eastAsia="en-US"/>
        </w:rPr>
        <w:t xml:space="preserve">jau  bija </w:t>
      </w:r>
      <w:r w:rsidRPr="00B77271">
        <w:rPr>
          <w:color w:val="000000" w:themeColor="text1"/>
          <w:lang w:eastAsia="en-US"/>
        </w:rPr>
        <w:t>nepietiekams, jo kopējais prognozētais kompensējamo zaudējumu apmērs veido 103,</w:t>
      </w:r>
      <w:r w:rsidR="00B77271" w:rsidRPr="001119E4">
        <w:rPr>
          <w:color w:val="000000" w:themeColor="text1"/>
          <w:lang w:eastAsia="en-US"/>
        </w:rPr>
        <w:t>42</w:t>
      </w:r>
      <w:r w:rsidR="00B77271" w:rsidRPr="00B77271">
        <w:rPr>
          <w:color w:val="000000" w:themeColor="text1"/>
          <w:lang w:eastAsia="en-US"/>
        </w:rPr>
        <w:t xml:space="preserve"> </w:t>
      </w:r>
      <w:r w:rsidRPr="00B77271">
        <w:rPr>
          <w:color w:val="000000" w:themeColor="text1"/>
          <w:lang w:eastAsia="en-US"/>
        </w:rPr>
        <w:t>milj</w:t>
      </w:r>
      <w:r w:rsidRPr="7F9BBCD6">
        <w:rPr>
          <w:color w:val="000000" w:themeColor="text1"/>
          <w:lang w:eastAsia="en-US"/>
        </w:rPr>
        <w:t xml:space="preserve">. </w:t>
      </w:r>
      <w:proofErr w:type="spellStart"/>
      <w:r w:rsidR="0DC0309C" w:rsidRPr="7F9BBCD6">
        <w:rPr>
          <w:i/>
          <w:iCs/>
          <w:color w:val="000000" w:themeColor="text1"/>
          <w:lang w:eastAsia="en-US"/>
        </w:rPr>
        <w:t>euro</w:t>
      </w:r>
      <w:proofErr w:type="spellEnd"/>
      <w:r w:rsidR="0DC0309C" w:rsidRPr="7F9BBCD6">
        <w:rPr>
          <w:i/>
          <w:iCs/>
          <w:color w:val="000000" w:themeColor="text1"/>
          <w:lang w:eastAsia="en-US"/>
        </w:rPr>
        <w:t>.</w:t>
      </w:r>
      <w:r w:rsidR="0DC0309C" w:rsidRPr="7F9BBCD6">
        <w:rPr>
          <w:color w:val="000000" w:themeColor="text1"/>
          <w:lang w:eastAsia="en-US"/>
        </w:rPr>
        <w:t xml:space="preserve"> </w:t>
      </w:r>
    </w:p>
    <w:p w14:paraId="6431CEEE" w14:textId="57B21E2F" w:rsidR="00AE6710" w:rsidRPr="00AE6710" w:rsidRDefault="00AE6710" w:rsidP="008B70B9">
      <w:pPr>
        <w:ind w:firstLine="720"/>
        <w:jc w:val="both"/>
        <w:rPr>
          <w:color w:val="000000" w:themeColor="text1"/>
          <w:lang w:eastAsia="en-US"/>
        </w:rPr>
      </w:pPr>
      <w:r w:rsidRPr="00AE6710">
        <w:rPr>
          <w:color w:val="000000" w:themeColor="text1"/>
          <w:lang w:eastAsia="en-US"/>
        </w:rPr>
        <w:t>Ņemot vērā kopējo finanšu situāciju valstī</w:t>
      </w:r>
      <w:r w:rsidR="00F74861">
        <w:rPr>
          <w:color w:val="000000" w:themeColor="text1"/>
          <w:lang w:eastAsia="en-US"/>
        </w:rPr>
        <w:t>,</w:t>
      </w:r>
      <w:r w:rsidRPr="00AE6710">
        <w:rPr>
          <w:color w:val="000000" w:themeColor="text1"/>
          <w:lang w:eastAsia="en-US"/>
        </w:rPr>
        <w:t xml:space="preserve"> Valsts kontroles ieteikumus, Sabiedriskā transporta padomes dotos uzdevumus</w:t>
      </w:r>
      <w:r w:rsidRPr="00AE6710">
        <w:rPr>
          <w:color w:val="000000" w:themeColor="text1"/>
          <w:vertAlign w:val="superscript"/>
          <w:lang w:eastAsia="en-US"/>
        </w:rPr>
        <w:footnoteReference w:id="5"/>
      </w:r>
      <w:r w:rsidRPr="00AE6710">
        <w:rPr>
          <w:color w:val="000000" w:themeColor="text1"/>
          <w:lang w:eastAsia="en-US"/>
        </w:rPr>
        <w:t xml:space="preserve">, ATD atbilstoši Sabiedriskā transporta pakalpojumu likuma 5. panta </w:t>
      </w:r>
      <w:r w:rsidR="00C00DD2">
        <w:rPr>
          <w:color w:val="000000" w:themeColor="text1"/>
          <w:lang w:eastAsia="en-US"/>
        </w:rPr>
        <w:t>trešās</w:t>
      </w:r>
      <w:r w:rsidRPr="00AE6710">
        <w:rPr>
          <w:color w:val="000000" w:themeColor="text1"/>
          <w:lang w:eastAsia="en-US"/>
        </w:rPr>
        <w:t xml:space="preserve"> daļas 2. punkt</w:t>
      </w:r>
      <w:r w:rsidR="00130E70">
        <w:rPr>
          <w:color w:val="000000" w:themeColor="text1"/>
          <w:lang w:eastAsia="en-US"/>
        </w:rPr>
        <w:t>ā,</w:t>
      </w:r>
      <w:r w:rsidRPr="00AE6710">
        <w:rPr>
          <w:lang w:eastAsia="en-US"/>
        </w:rPr>
        <w:t xml:space="preserve"> </w:t>
      </w:r>
      <w:r w:rsidR="00451CAF">
        <w:rPr>
          <w:color w:val="000000" w:themeColor="text1"/>
          <w:lang w:eastAsia="en-US"/>
        </w:rPr>
        <w:t>MK</w:t>
      </w:r>
      <w:r w:rsidRPr="00AE6710">
        <w:rPr>
          <w:color w:val="000000" w:themeColor="text1"/>
          <w:lang w:eastAsia="en-US"/>
        </w:rPr>
        <w:t xml:space="preserve"> noteikumu Nr.</w:t>
      </w:r>
      <w:r w:rsidR="00C00DD2">
        <w:rPr>
          <w:color w:val="000000" w:themeColor="text1"/>
          <w:lang w:eastAsia="en-US"/>
        </w:rPr>
        <w:t xml:space="preserve"> </w:t>
      </w:r>
      <w:r w:rsidRPr="00AE6710">
        <w:rPr>
          <w:color w:val="000000" w:themeColor="text1"/>
          <w:lang w:eastAsia="en-US"/>
        </w:rPr>
        <w:t>435 12.1.</w:t>
      </w:r>
      <w:r w:rsidR="00C00DD2">
        <w:rPr>
          <w:color w:val="000000" w:themeColor="text1"/>
          <w:lang w:eastAsia="en-US"/>
        </w:rPr>
        <w:t xml:space="preserve"> </w:t>
      </w:r>
      <w:r w:rsidRPr="00AE6710">
        <w:rPr>
          <w:color w:val="000000" w:themeColor="text1"/>
          <w:lang w:eastAsia="en-US"/>
        </w:rPr>
        <w:t>apakšpunktā, 13</w:t>
      </w:r>
      <w:r w:rsidR="00C00DD2">
        <w:rPr>
          <w:color w:val="000000" w:themeColor="text1"/>
          <w:lang w:eastAsia="en-US"/>
        </w:rPr>
        <w:t>.</w:t>
      </w:r>
      <w:r w:rsidRPr="00AE6710">
        <w:rPr>
          <w:color w:val="000000" w:themeColor="text1"/>
          <w:lang w:eastAsia="en-US"/>
        </w:rPr>
        <w:t xml:space="preserve"> un 15.punktā</w:t>
      </w:r>
      <w:r w:rsidR="00130E70">
        <w:rPr>
          <w:color w:val="000000" w:themeColor="text1"/>
          <w:lang w:eastAsia="en-US"/>
        </w:rPr>
        <w:t xml:space="preserve"> un</w:t>
      </w:r>
      <w:r w:rsidRPr="00AE6710">
        <w:rPr>
          <w:color w:val="000000" w:themeColor="text1"/>
          <w:lang w:eastAsia="en-US"/>
        </w:rPr>
        <w:t xml:space="preserve"> Ministru kabineta 2010. gada 13. jūlija noteikumu Nr. 634 “Sabiedriskā transporta pakalpojumu organizēšanas kārtība maršrutu tīklā” 3., 18. un 22. punkt</w:t>
      </w:r>
      <w:r w:rsidR="008D5324">
        <w:rPr>
          <w:color w:val="000000" w:themeColor="text1"/>
          <w:lang w:eastAsia="en-US"/>
        </w:rPr>
        <w:t>ā</w:t>
      </w:r>
      <w:r w:rsidRPr="00AE6710">
        <w:rPr>
          <w:lang w:eastAsia="en-US"/>
        </w:rPr>
        <w:t xml:space="preserve"> </w:t>
      </w:r>
      <w:r w:rsidRPr="00AE6710">
        <w:rPr>
          <w:color w:val="000000" w:themeColor="text1"/>
          <w:lang w:eastAsia="en-US"/>
        </w:rPr>
        <w:t>noteiktajam sagatavoja prognozēto maršrutu tīkla apjomu 2026. gadam.</w:t>
      </w:r>
      <w:r w:rsidR="008B70B9">
        <w:rPr>
          <w:color w:val="000000" w:themeColor="text1"/>
          <w:lang w:eastAsia="en-US"/>
        </w:rPr>
        <w:t xml:space="preserve"> </w:t>
      </w:r>
      <w:r w:rsidRPr="00AE6710">
        <w:rPr>
          <w:color w:val="000000" w:themeColor="text1"/>
          <w:lang w:eastAsia="en-US"/>
        </w:rPr>
        <w:t>Sabiedriskā transporta padome 2025.</w:t>
      </w:r>
      <w:r w:rsidR="008B70B9">
        <w:rPr>
          <w:color w:val="000000" w:themeColor="text1"/>
          <w:lang w:eastAsia="en-US"/>
        </w:rPr>
        <w:t> </w:t>
      </w:r>
      <w:r w:rsidRPr="00AE6710">
        <w:rPr>
          <w:color w:val="000000" w:themeColor="text1"/>
          <w:lang w:eastAsia="en-US"/>
        </w:rPr>
        <w:t>gada 4.</w:t>
      </w:r>
      <w:r w:rsidR="008B70B9">
        <w:rPr>
          <w:color w:val="000000" w:themeColor="text1"/>
          <w:lang w:eastAsia="en-US"/>
        </w:rPr>
        <w:t> </w:t>
      </w:r>
      <w:r w:rsidRPr="00AE6710">
        <w:rPr>
          <w:color w:val="000000" w:themeColor="text1"/>
          <w:lang w:eastAsia="en-US"/>
        </w:rPr>
        <w:t>septembrī pieņēma lēmumu Nr. 3 (prot. Nr. 14</w:t>
      </w:r>
      <w:r w:rsidR="00C00DD2">
        <w:rPr>
          <w:color w:val="000000" w:themeColor="text1"/>
          <w:lang w:eastAsia="en-US"/>
        </w:rPr>
        <w:t xml:space="preserve">, </w:t>
      </w:r>
      <w:r w:rsidR="00674636" w:rsidRPr="00AE6710">
        <w:rPr>
          <w:color w:val="000000" w:themeColor="text1"/>
          <w:lang w:eastAsia="en-US"/>
        </w:rPr>
        <w:t>3</w:t>
      </w:r>
      <w:r w:rsidR="00674636">
        <w:rPr>
          <w:color w:val="000000" w:themeColor="text1"/>
          <w:lang w:eastAsia="en-US"/>
        </w:rPr>
        <w:t>.</w:t>
      </w:r>
      <w:r w:rsidRPr="00AE6710">
        <w:rPr>
          <w:color w:val="000000" w:themeColor="text1"/>
          <w:lang w:eastAsia="en-US"/>
        </w:rPr>
        <w:t>§) Par maršrutu tīkla apjoma prognozi 2026.</w:t>
      </w:r>
      <w:r w:rsidR="00613670">
        <w:rPr>
          <w:color w:val="000000" w:themeColor="text1"/>
          <w:lang w:eastAsia="en-US"/>
        </w:rPr>
        <w:t> </w:t>
      </w:r>
      <w:r w:rsidRPr="00AE6710">
        <w:rPr>
          <w:color w:val="000000" w:themeColor="text1"/>
          <w:lang w:eastAsia="en-US"/>
        </w:rPr>
        <w:t>gadam, kas atbilst pieejamajam valsts budžeta ietvaram:</w:t>
      </w:r>
    </w:p>
    <w:p w14:paraId="65DC6F47" w14:textId="2E8B5B66" w:rsidR="00AE6710" w:rsidRPr="00AE6710" w:rsidRDefault="00AE6710" w:rsidP="00613670">
      <w:pPr>
        <w:numPr>
          <w:ilvl w:val="0"/>
          <w:numId w:val="24"/>
        </w:numPr>
        <w:spacing w:after="200"/>
        <w:ind w:left="739" w:hanging="284"/>
        <w:contextualSpacing/>
        <w:jc w:val="both"/>
        <w:rPr>
          <w:color w:val="000000" w:themeColor="text1"/>
          <w:kern w:val="2"/>
          <w:lang w:eastAsia="en-US"/>
          <w14:ligatures w14:val="standardContextual"/>
        </w:rPr>
      </w:pPr>
      <w:r w:rsidRPr="00AE6710">
        <w:rPr>
          <w:color w:val="000000" w:themeColor="text1"/>
          <w:kern w:val="2"/>
          <w:lang w:eastAsia="en-US"/>
          <w14:ligatures w14:val="standardContextual"/>
        </w:rPr>
        <w:t>ar autobusiem, kur prognozētais apjoms 2026. gadam ar valsts dotētajiem autobusiem ir 56</w:t>
      </w:r>
      <w:r w:rsidR="00613670">
        <w:rPr>
          <w:color w:val="000000" w:themeColor="text1"/>
          <w:kern w:val="2"/>
          <w:lang w:eastAsia="en-US"/>
          <w14:ligatures w14:val="standardContextual"/>
        </w:rPr>
        <w:t> </w:t>
      </w:r>
      <w:r w:rsidRPr="00AE6710">
        <w:rPr>
          <w:color w:val="000000" w:themeColor="text1"/>
          <w:kern w:val="2"/>
          <w:lang w:eastAsia="en-US"/>
          <w14:ligatures w14:val="standardContextual"/>
        </w:rPr>
        <w:t>145</w:t>
      </w:r>
      <w:r w:rsidR="00613670">
        <w:rPr>
          <w:color w:val="000000" w:themeColor="text1"/>
          <w:kern w:val="2"/>
          <w:lang w:eastAsia="en-US"/>
          <w14:ligatures w14:val="standardContextual"/>
        </w:rPr>
        <w:t> </w:t>
      </w:r>
      <w:r w:rsidRPr="00AE6710">
        <w:rPr>
          <w:color w:val="000000" w:themeColor="text1"/>
          <w:kern w:val="2"/>
          <w:lang w:eastAsia="en-US"/>
          <w14:ligatures w14:val="standardContextual"/>
        </w:rPr>
        <w:t>356 km un kompensācijas apmērs tiek prognozēts 51</w:t>
      </w:r>
      <w:r w:rsidR="00613670">
        <w:rPr>
          <w:color w:val="000000" w:themeColor="text1"/>
          <w:kern w:val="2"/>
          <w:lang w:eastAsia="en-US"/>
          <w14:ligatures w14:val="standardContextual"/>
        </w:rPr>
        <w:t> </w:t>
      </w:r>
      <w:r w:rsidRPr="00AE6710">
        <w:rPr>
          <w:color w:val="000000" w:themeColor="text1"/>
          <w:kern w:val="2"/>
          <w:lang w:eastAsia="en-US"/>
          <w14:ligatures w14:val="standardContextual"/>
        </w:rPr>
        <w:t>657</w:t>
      </w:r>
      <w:r w:rsidR="00613670">
        <w:rPr>
          <w:color w:val="000000" w:themeColor="text1"/>
          <w:kern w:val="2"/>
          <w:lang w:eastAsia="en-US"/>
          <w14:ligatures w14:val="standardContextual"/>
        </w:rPr>
        <w:t> </w:t>
      </w:r>
      <w:r w:rsidRPr="00AE6710">
        <w:rPr>
          <w:color w:val="000000" w:themeColor="text1"/>
          <w:kern w:val="2"/>
          <w:lang w:eastAsia="en-US"/>
          <w14:ligatures w14:val="standardContextual"/>
        </w:rPr>
        <w:t xml:space="preserve">486 </w:t>
      </w:r>
      <w:proofErr w:type="spellStart"/>
      <w:r w:rsidR="00613670" w:rsidRPr="00613670">
        <w:rPr>
          <w:i/>
          <w:iCs/>
          <w:color w:val="000000" w:themeColor="text1"/>
          <w:kern w:val="2"/>
          <w:lang w:eastAsia="en-US"/>
          <w14:ligatures w14:val="standardContextual"/>
        </w:rPr>
        <w:t>euro</w:t>
      </w:r>
      <w:proofErr w:type="spellEnd"/>
      <w:r w:rsidRPr="00AE6710">
        <w:rPr>
          <w:color w:val="000000" w:themeColor="text1"/>
          <w:kern w:val="2"/>
          <w:lang w:eastAsia="en-US"/>
          <w14:ligatures w14:val="standardContextual"/>
        </w:rPr>
        <w:t xml:space="preserve"> apmērā;</w:t>
      </w:r>
    </w:p>
    <w:p w14:paraId="7BF91DB7" w14:textId="51007560" w:rsidR="00AE6710" w:rsidRPr="00AE6710" w:rsidRDefault="00AE6710" w:rsidP="00613670">
      <w:pPr>
        <w:numPr>
          <w:ilvl w:val="0"/>
          <w:numId w:val="24"/>
        </w:numPr>
        <w:spacing w:after="200"/>
        <w:ind w:left="709" w:hanging="284"/>
        <w:contextualSpacing/>
        <w:jc w:val="both"/>
        <w:rPr>
          <w:color w:val="000000" w:themeColor="text1"/>
          <w:kern w:val="2"/>
          <w:lang w:eastAsia="en-US"/>
          <w14:ligatures w14:val="standardContextual"/>
        </w:rPr>
      </w:pPr>
      <w:r w:rsidRPr="00AE6710">
        <w:rPr>
          <w:color w:val="000000" w:themeColor="text1"/>
          <w:kern w:val="2"/>
          <w:lang w:eastAsia="en-US"/>
          <w14:ligatures w14:val="standardContextual"/>
        </w:rPr>
        <w:t>ar vilcieniem, kur prognozētais apjoms 2026. gadam ar vilcieniem ir 8</w:t>
      </w:r>
      <w:r w:rsidR="00613670">
        <w:rPr>
          <w:color w:val="000000" w:themeColor="text1"/>
          <w:kern w:val="2"/>
          <w:lang w:eastAsia="en-US"/>
          <w14:ligatures w14:val="standardContextual"/>
        </w:rPr>
        <w:t> </w:t>
      </w:r>
      <w:r w:rsidRPr="00AE6710">
        <w:rPr>
          <w:color w:val="000000" w:themeColor="text1"/>
          <w:kern w:val="2"/>
          <w:lang w:eastAsia="en-US"/>
          <w14:ligatures w14:val="standardContextual"/>
        </w:rPr>
        <w:t>044</w:t>
      </w:r>
      <w:r w:rsidR="00613670">
        <w:rPr>
          <w:color w:val="000000" w:themeColor="text1"/>
          <w:kern w:val="2"/>
          <w:lang w:eastAsia="en-US"/>
          <w14:ligatures w14:val="standardContextual"/>
        </w:rPr>
        <w:t> </w:t>
      </w:r>
      <w:r w:rsidRPr="00AE6710">
        <w:rPr>
          <w:color w:val="000000" w:themeColor="text1"/>
          <w:kern w:val="2"/>
          <w:lang w:eastAsia="en-US"/>
          <w14:ligatures w14:val="standardContextual"/>
        </w:rPr>
        <w:t>925 vilciena km un kompensācijas apmērs (bez infrastruktūras) tiek prognozēts 28</w:t>
      </w:r>
      <w:r w:rsidR="00613670">
        <w:rPr>
          <w:color w:val="000000" w:themeColor="text1"/>
          <w:kern w:val="2"/>
          <w:lang w:eastAsia="en-US"/>
          <w14:ligatures w14:val="standardContextual"/>
        </w:rPr>
        <w:t> </w:t>
      </w:r>
      <w:r w:rsidRPr="00AE6710">
        <w:rPr>
          <w:color w:val="000000" w:themeColor="text1"/>
          <w:kern w:val="2"/>
          <w:lang w:eastAsia="en-US"/>
          <w14:ligatures w14:val="standardContextual"/>
        </w:rPr>
        <w:t>558</w:t>
      </w:r>
      <w:r w:rsidR="00613670">
        <w:rPr>
          <w:color w:val="000000" w:themeColor="text1"/>
          <w:kern w:val="2"/>
          <w:lang w:eastAsia="en-US"/>
          <w14:ligatures w14:val="standardContextual"/>
        </w:rPr>
        <w:t> </w:t>
      </w:r>
      <w:r w:rsidRPr="00AE6710">
        <w:rPr>
          <w:color w:val="000000" w:themeColor="text1"/>
          <w:kern w:val="2"/>
          <w:lang w:eastAsia="en-US"/>
          <w14:ligatures w14:val="standardContextual"/>
        </w:rPr>
        <w:t>510</w:t>
      </w:r>
      <w:r w:rsidR="00613670">
        <w:rPr>
          <w:color w:val="000000" w:themeColor="text1"/>
          <w:kern w:val="2"/>
          <w:lang w:eastAsia="en-US"/>
          <w14:ligatures w14:val="standardContextual"/>
        </w:rPr>
        <w:t xml:space="preserve"> </w:t>
      </w:r>
      <w:proofErr w:type="spellStart"/>
      <w:r w:rsidR="00613670" w:rsidRPr="00613670">
        <w:rPr>
          <w:i/>
          <w:iCs/>
          <w:color w:val="000000" w:themeColor="text1"/>
          <w:kern w:val="2"/>
          <w:lang w:eastAsia="en-US"/>
          <w14:ligatures w14:val="standardContextual"/>
        </w:rPr>
        <w:t>euro</w:t>
      </w:r>
      <w:proofErr w:type="spellEnd"/>
      <w:r w:rsidR="00613670" w:rsidRPr="00613670">
        <w:rPr>
          <w:i/>
          <w:iCs/>
          <w:color w:val="000000" w:themeColor="text1"/>
          <w:kern w:val="2"/>
          <w:lang w:eastAsia="en-US"/>
          <w14:ligatures w14:val="standardContextual"/>
        </w:rPr>
        <w:t xml:space="preserve"> </w:t>
      </w:r>
      <w:r w:rsidRPr="00AE6710">
        <w:rPr>
          <w:color w:val="000000" w:themeColor="text1"/>
          <w:kern w:val="2"/>
          <w:lang w:eastAsia="en-US"/>
          <w14:ligatures w14:val="standardContextual"/>
        </w:rPr>
        <w:t>apmērā.</w:t>
      </w:r>
    </w:p>
    <w:p w14:paraId="0C699504" w14:textId="77777777" w:rsidR="00AE6710" w:rsidRPr="00AE6710" w:rsidRDefault="00AE6710" w:rsidP="00012F4B">
      <w:pPr>
        <w:shd w:val="clear" w:color="auto" w:fill="FFFFFF" w:themeFill="background1"/>
        <w:jc w:val="both"/>
        <w:rPr>
          <w:rFonts w:eastAsiaTheme="minorHAnsi"/>
          <w:lang w:eastAsia="en-US"/>
        </w:rPr>
      </w:pPr>
    </w:p>
    <w:p w14:paraId="790D747E" w14:textId="34E9A0B8" w:rsidR="00EA5414" w:rsidRDefault="00AE6710" w:rsidP="00EA5414">
      <w:pPr>
        <w:ind w:firstLine="709"/>
        <w:jc w:val="both"/>
        <w:rPr>
          <w:rFonts w:eastAsiaTheme="minorHAnsi"/>
          <w:lang w:eastAsia="en-US"/>
        </w:rPr>
      </w:pPr>
      <w:r w:rsidRPr="00AE6710">
        <w:rPr>
          <w:rFonts w:eastAsiaTheme="minorHAnsi"/>
          <w:b/>
          <w:bCs/>
          <w:lang w:eastAsia="en-US"/>
        </w:rPr>
        <w:t xml:space="preserve">Maršrutu tīkla </w:t>
      </w:r>
      <w:r w:rsidRPr="00AE6710">
        <w:rPr>
          <w:rFonts w:eastAsiaTheme="minorHAnsi"/>
          <w:lang w:eastAsia="en-US"/>
        </w:rPr>
        <w:t xml:space="preserve">izmaiņu nepieciešamību nosaka vairāki faktori, kas aktualizējušies pēdējo desmit gadu laikā, kad ir mainījusies Latvijas novadu apdzīvotība, ir novērojams vēl izteiktāks urbanizācijas process, koncentrējot lielāko daļu sociālo procesu un saimnieciskās darbības ap pilsētām. Tāpat ir mainījies valsts administratīvi teritoriālais iedalījums, samazinot pašvaldību skaitu no 119 vietējām pašvaldībām uz 43, kā arī pēdējo gadu laikā maršrutu tīkls jāpielāgo izglītības iestāžu reorganizācijas rezultātā mainīgajai pasažieru plūsmai. Vienlaikus sabiedriskā transporta pakalpojumu nozare ir piedzīvojusi pēdējo desmit gadu laikā lielāko pasažieru skaita samazinājumu 2020. </w:t>
      </w:r>
      <w:r w:rsidR="00C00DD2">
        <w:rPr>
          <w:rFonts w:eastAsiaTheme="minorHAnsi"/>
          <w:lang w:eastAsia="en-US"/>
        </w:rPr>
        <w:t xml:space="preserve">– </w:t>
      </w:r>
      <w:r w:rsidRPr="00AE6710">
        <w:rPr>
          <w:rFonts w:eastAsiaTheme="minorHAnsi"/>
          <w:lang w:eastAsia="en-US"/>
        </w:rPr>
        <w:t xml:space="preserve">2023. gada laikā, ievērojot ar Covid-19 </w:t>
      </w:r>
      <w:r w:rsidR="005D45B3">
        <w:rPr>
          <w:rFonts w:eastAsiaTheme="minorHAnsi"/>
          <w:lang w:eastAsia="en-US"/>
        </w:rPr>
        <w:t xml:space="preserve">infekcijas </w:t>
      </w:r>
      <w:r w:rsidRPr="00AE6710">
        <w:rPr>
          <w:rFonts w:eastAsiaTheme="minorHAnsi"/>
          <w:lang w:eastAsia="en-US"/>
        </w:rPr>
        <w:t xml:space="preserve">apkarošanu saistīto piesardzības pasākumu noteikšanu gan pašos transportlīdzekļos, gan iedzīvotāju mobilitātes ierobežošanu. Līdz ar to tieši reģionālās nozīmes pārvadājumos ar </w:t>
      </w:r>
      <w:r w:rsidRPr="00AE6710">
        <w:rPr>
          <w:rFonts w:eastAsiaTheme="minorHAnsi"/>
          <w:lang w:eastAsia="en-US"/>
        </w:rPr>
        <w:lastRenderedPageBreak/>
        <w:t xml:space="preserve">autobusiem maršrutu tīkla pārskatīšana ir bijusi visintensīvākā. </w:t>
      </w:r>
      <w:r w:rsidR="00EA5414">
        <w:rPr>
          <w:rFonts w:eastAsiaTheme="minorHAnsi"/>
          <w:lang w:eastAsia="en-US"/>
        </w:rPr>
        <w:t>N</w:t>
      </w:r>
      <w:r w:rsidR="00EA5414" w:rsidRPr="00AE6710">
        <w:rPr>
          <w:rFonts w:eastAsiaTheme="minorHAnsi"/>
          <w:lang w:eastAsia="en-US"/>
        </w:rPr>
        <w:t>o 2020. gada līdz 2023. gadam maršrutu tīkls ir samazinājies par 3,6 milj. km</w:t>
      </w:r>
      <w:r w:rsidR="00EA5414">
        <w:rPr>
          <w:rFonts w:eastAsiaTheme="minorHAnsi"/>
          <w:lang w:eastAsia="en-US"/>
        </w:rPr>
        <w:t>, kas atspoguļots 1.attēlā.</w:t>
      </w:r>
    </w:p>
    <w:p w14:paraId="143B0800" w14:textId="77777777" w:rsidR="00EA5414" w:rsidRDefault="00EA5414" w:rsidP="00EA5414">
      <w:pPr>
        <w:ind w:firstLine="709"/>
        <w:jc w:val="both"/>
        <w:rPr>
          <w:rFonts w:eastAsiaTheme="minorHAnsi"/>
          <w:lang w:eastAsia="en-US"/>
        </w:rPr>
      </w:pPr>
    </w:p>
    <w:p w14:paraId="36BE5E50" w14:textId="6345AF97" w:rsidR="004C01E1" w:rsidRDefault="004C01E1" w:rsidP="004C01E1">
      <w:pPr>
        <w:jc w:val="both"/>
        <w:rPr>
          <w:rFonts w:eastAsiaTheme="minorHAnsi"/>
          <w:lang w:eastAsia="en-US"/>
        </w:rPr>
      </w:pPr>
      <w:r w:rsidRPr="00AE6710">
        <w:rPr>
          <w:rFonts w:eastAsiaTheme="minorHAnsi"/>
          <w:noProof/>
          <w:lang w:eastAsia="en-US"/>
        </w:rPr>
        <w:drawing>
          <wp:inline distT="0" distB="0" distL="0" distR="0" wp14:anchorId="036E1724" wp14:editId="317A670B">
            <wp:extent cx="5791200" cy="3200400"/>
            <wp:effectExtent l="0" t="0" r="0" b="0"/>
            <wp:docPr id="1408988623" name="Chart 1">
              <a:extLst xmlns:a="http://schemas.openxmlformats.org/drawingml/2006/main">
                <a:ext uri="{FF2B5EF4-FFF2-40B4-BE49-F238E27FC236}">
                  <a16:creationId xmlns:a16="http://schemas.microsoft.com/office/drawing/2014/main" id="{CF7B7A43-343E-A895-7054-41B5082702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CA08225" w14:textId="77777777" w:rsidR="004C01E1" w:rsidRPr="00AE6710" w:rsidRDefault="004C01E1" w:rsidP="004C01E1">
      <w:pPr>
        <w:spacing w:after="200" w:line="276" w:lineRule="auto"/>
        <w:jc w:val="center"/>
        <w:rPr>
          <w:rFonts w:eastAsiaTheme="minorHAnsi"/>
          <w:lang w:eastAsia="en-US"/>
        </w:rPr>
      </w:pPr>
      <w:r w:rsidRPr="00AE6710">
        <w:rPr>
          <w:rFonts w:eastAsia="Times"/>
          <w:i/>
          <w:iCs/>
          <w:lang w:eastAsia="en-US"/>
        </w:rPr>
        <w:t>1. attēls. Izmaiņas maršrutu tīkla nobraukumā pa gadiem</w:t>
      </w:r>
      <w:r w:rsidRPr="00AE6710">
        <w:rPr>
          <w:rFonts w:eastAsiaTheme="minorHAnsi"/>
          <w:lang w:eastAsia="en-US"/>
        </w:rPr>
        <w:t>.</w:t>
      </w:r>
    </w:p>
    <w:p w14:paraId="658212E2" w14:textId="77777777" w:rsidR="004C01E1" w:rsidRPr="00AE6710" w:rsidRDefault="004C01E1" w:rsidP="004C01E1">
      <w:pPr>
        <w:jc w:val="both"/>
        <w:rPr>
          <w:rFonts w:eastAsiaTheme="minorHAnsi"/>
          <w:lang w:eastAsia="en-US"/>
        </w:rPr>
      </w:pPr>
    </w:p>
    <w:p w14:paraId="4730DE3E" w14:textId="5E3A4284" w:rsidR="00AE6710" w:rsidRPr="00AE6710" w:rsidRDefault="00AE6710" w:rsidP="00AE6710">
      <w:pPr>
        <w:ind w:firstLine="709"/>
        <w:jc w:val="both"/>
        <w:rPr>
          <w:rFonts w:eastAsiaTheme="minorHAnsi"/>
          <w:lang w:eastAsia="en-US"/>
        </w:rPr>
      </w:pPr>
      <w:r w:rsidRPr="00AE6710">
        <w:rPr>
          <w:rFonts w:eastAsiaTheme="minorHAnsi"/>
          <w:lang w:eastAsia="en-US"/>
        </w:rPr>
        <w:t>ATD sadarbībā ar plānošanas reģioniem</w:t>
      </w:r>
      <w:r w:rsidR="001D3DF9">
        <w:rPr>
          <w:rFonts w:eastAsiaTheme="minorHAnsi"/>
          <w:lang w:eastAsia="en-US"/>
        </w:rPr>
        <w:t xml:space="preserve"> 2024. gada novembrī</w:t>
      </w:r>
      <w:r w:rsidRPr="00AE6710">
        <w:rPr>
          <w:rFonts w:eastAsiaTheme="minorHAnsi"/>
          <w:lang w:eastAsia="en-US"/>
        </w:rPr>
        <w:t xml:space="preserve"> ir veikusi maršrutu tīkla inventarizāciju, pārskatot reisus un daļēji samazinot to izpildi</w:t>
      </w:r>
      <w:r w:rsidR="00942816">
        <w:rPr>
          <w:rFonts w:eastAsiaTheme="minorHAnsi"/>
          <w:lang w:eastAsia="en-US"/>
        </w:rPr>
        <w:t>.</w:t>
      </w:r>
      <w:r w:rsidRPr="00AE6710">
        <w:rPr>
          <w:rFonts w:eastAsiaTheme="minorHAnsi"/>
          <w:lang w:eastAsia="en-US"/>
        </w:rPr>
        <w:t xml:space="preserve"> </w:t>
      </w:r>
      <w:r w:rsidR="00F15161">
        <w:rPr>
          <w:rFonts w:eastAsiaTheme="minorHAnsi"/>
          <w:lang w:eastAsia="en-US"/>
        </w:rPr>
        <w:t>Primāri</w:t>
      </w:r>
      <w:r w:rsidRPr="00AE6710">
        <w:rPr>
          <w:rFonts w:eastAsiaTheme="minorHAnsi"/>
          <w:lang w:eastAsia="en-US"/>
        </w:rPr>
        <w:t xml:space="preserve"> </w:t>
      </w:r>
      <w:r w:rsidR="00942816">
        <w:rPr>
          <w:rFonts w:eastAsiaTheme="minorHAnsi"/>
          <w:lang w:eastAsia="en-US"/>
        </w:rPr>
        <w:t xml:space="preserve">tika </w:t>
      </w:r>
      <w:r w:rsidRPr="00AE6710">
        <w:rPr>
          <w:rFonts w:eastAsiaTheme="minorHAnsi"/>
          <w:lang w:eastAsia="en-US"/>
        </w:rPr>
        <w:t>pārskat</w:t>
      </w:r>
      <w:r w:rsidR="00942816">
        <w:rPr>
          <w:rFonts w:eastAsiaTheme="minorHAnsi"/>
          <w:lang w:eastAsia="en-US"/>
        </w:rPr>
        <w:t>īti</w:t>
      </w:r>
      <w:r w:rsidRPr="00AE6710">
        <w:rPr>
          <w:rFonts w:eastAsiaTheme="minorHAnsi"/>
          <w:lang w:eastAsia="en-US"/>
        </w:rPr>
        <w:t xml:space="preserve"> gadījum</w:t>
      </w:r>
      <w:r w:rsidR="00942816">
        <w:rPr>
          <w:rFonts w:eastAsiaTheme="minorHAnsi"/>
          <w:lang w:eastAsia="en-US"/>
        </w:rPr>
        <w:t>i</w:t>
      </w:r>
      <w:r w:rsidRPr="00AE6710">
        <w:rPr>
          <w:rFonts w:eastAsiaTheme="minorHAnsi"/>
          <w:lang w:eastAsia="en-US"/>
        </w:rPr>
        <w:t>, kur rentabilitātes rādītāji zemāki par 10</w:t>
      </w:r>
      <w:r w:rsidR="003657D9">
        <w:rPr>
          <w:rFonts w:eastAsiaTheme="minorHAnsi"/>
          <w:lang w:eastAsia="en-US"/>
        </w:rPr>
        <w:t xml:space="preserve"> </w:t>
      </w:r>
      <w:r w:rsidRPr="00AE6710">
        <w:rPr>
          <w:rFonts w:eastAsiaTheme="minorHAnsi"/>
          <w:lang w:eastAsia="en-US"/>
        </w:rPr>
        <w:t>%, vērtējot kritērijus, vai pastāv citas transporta alternatīvas</w:t>
      </w:r>
      <w:r w:rsidR="003D317C">
        <w:rPr>
          <w:rFonts w:eastAsiaTheme="minorHAnsi"/>
          <w:lang w:eastAsia="en-US"/>
        </w:rPr>
        <w:t>.</w:t>
      </w:r>
      <w:r w:rsidRPr="00AE6710">
        <w:rPr>
          <w:rFonts w:eastAsiaTheme="minorHAnsi"/>
          <w:lang w:eastAsia="en-US"/>
        </w:rPr>
        <w:t xml:space="preserve"> </w:t>
      </w:r>
      <w:r w:rsidR="003D317C">
        <w:rPr>
          <w:rFonts w:eastAsiaTheme="minorHAnsi"/>
          <w:lang w:eastAsia="en-US"/>
        </w:rPr>
        <w:t>P</w:t>
      </w:r>
      <w:r w:rsidR="00F15161">
        <w:rPr>
          <w:rFonts w:eastAsiaTheme="minorHAnsi"/>
          <w:lang w:eastAsia="en-US"/>
        </w:rPr>
        <w:t>apildus</w:t>
      </w:r>
      <w:r w:rsidRPr="00AE6710">
        <w:rPr>
          <w:rFonts w:eastAsiaTheme="minorHAnsi"/>
          <w:lang w:eastAsia="en-US"/>
        </w:rPr>
        <w:t>, izmantojot tos pašus kritērijus,</w:t>
      </w:r>
      <w:r w:rsidR="001D3DF9">
        <w:rPr>
          <w:rFonts w:eastAsiaTheme="minorHAnsi"/>
          <w:lang w:eastAsia="en-US"/>
        </w:rPr>
        <w:t xml:space="preserve"> 2025. gada janvārī Sabiedriskā transporta padome uzdeva</w:t>
      </w:r>
      <w:r w:rsidRPr="00AE6710">
        <w:rPr>
          <w:rFonts w:eastAsiaTheme="minorHAnsi"/>
          <w:lang w:eastAsia="en-US"/>
        </w:rPr>
        <w:t xml:space="preserve"> </w:t>
      </w:r>
      <w:r w:rsidR="003D317C" w:rsidRPr="00AE6710">
        <w:rPr>
          <w:rFonts w:eastAsiaTheme="minorHAnsi"/>
          <w:lang w:eastAsia="en-US"/>
        </w:rPr>
        <w:t>vērtē</w:t>
      </w:r>
      <w:r w:rsidR="001D3DF9">
        <w:rPr>
          <w:rFonts w:eastAsiaTheme="minorHAnsi"/>
          <w:lang w:eastAsia="en-US"/>
        </w:rPr>
        <w:t>t</w:t>
      </w:r>
      <w:r w:rsidR="003D317C">
        <w:rPr>
          <w:rFonts w:eastAsiaTheme="minorHAnsi"/>
          <w:lang w:eastAsia="en-US"/>
        </w:rPr>
        <w:t xml:space="preserve"> arī gadījum</w:t>
      </w:r>
      <w:r w:rsidR="001D3DF9">
        <w:rPr>
          <w:rFonts w:eastAsiaTheme="minorHAnsi"/>
          <w:lang w:eastAsia="en-US"/>
        </w:rPr>
        <w:t>us</w:t>
      </w:r>
      <w:r w:rsidR="003D317C">
        <w:rPr>
          <w:rFonts w:eastAsiaTheme="minorHAnsi"/>
          <w:lang w:eastAsia="en-US"/>
        </w:rPr>
        <w:t>,</w:t>
      </w:r>
      <w:r w:rsidR="003D317C" w:rsidRPr="00AE6710">
        <w:rPr>
          <w:rFonts w:eastAsiaTheme="minorHAnsi"/>
          <w:lang w:eastAsia="en-US"/>
        </w:rPr>
        <w:t xml:space="preserve"> </w:t>
      </w:r>
      <w:r w:rsidRPr="00AE6710">
        <w:rPr>
          <w:rFonts w:eastAsiaTheme="minorHAnsi"/>
          <w:lang w:eastAsia="en-US"/>
        </w:rPr>
        <w:t>kur rentabilitātes rādītāji ir zemāk</w:t>
      </w:r>
      <w:r w:rsidR="00CC4BB9">
        <w:rPr>
          <w:rFonts w:eastAsiaTheme="minorHAnsi"/>
          <w:lang w:eastAsia="en-US"/>
        </w:rPr>
        <w:t>i</w:t>
      </w:r>
      <w:r w:rsidRPr="00AE6710">
        <w:rPr>
          <w:rFonts w:eastAsiaTheme="minorHAnsi"/>
          <w:lang w:eastAsia="en-US"/>
        </w:rPr>
        <w:t xml:space="preserve"> par 25</w:t>
      </w:r>
      <w:r w:rsidR="003657D9">
        <w:rPr>
          <w:rFonts w:eastAsiaTheme="minorHAnsi"/>
          <w:lang w:eastAsia="en-US"/>
        </w:rPr>
        <w:t xml:space="preserve"> </w:t>
      </w:r>
      <w:r w:rsidRPr="00AE6710">
        <w:rPr>
          <w:rFonts w:eastAsiaTheme="minorHAnsi"/>
          <w:lang w:eastAsia="en-US"/>
        </w:rPr>
        <w:t>%</w:t>
      </w:r>
      <w:r w:rsidR="003D317C">
        <w:rPr>
          <w:rFonts w:eastAsiaTheme="minorHAnsi"/>
          <w:lang w:eastAsia="en-US"/>
        </w:rPr>
        <w:t xml:space="preserve">, jo minētajos gadījumos </w:t>
      </w:r>
      <w:r w:rsidR="00E3270C">
        <w:rPr>
          <w:rFonts w:eastAsiaTheme="minorHAnsi"/>
          <w:lang w:eastAsia="en-US"/>
        </w:rPr>
        <w:t xml:space="preserve">vidējais </w:t>
      </w:r>
      <w:r w:rsidR="003D317C">
        <w:rPr>
          <w:rFonts w:eastAsiaTheme="minorHAnsi"/>
          <w:lang w:eastAsia="en-US"/>
        </w:rPr>
        <w:t>pasažieru skaits reisā nepārs</w:t>
      </w:r>
      <w:r w:rsidR="00B846F6">
        <w:rPr>
          <w:rFonts w:eastAsiaTheme="minorHAnsi"/>
          <w:lang w:eastAsia="en-US"/>
        </w:rPr>
        <w:t>n</w:t>
      </w:r>
      <w:r w:rsidR="003D317C">
        <w:rPr>
          <w:rFonts w:eastAsiaTheme="minorHAnsi"/>
          <w:lang w:eastAsia="en-US"/>
        </w:rPr>
        <w:t xml:space="preserve">iedz </w:t>
      </w:r>
      <w:r w:rsidR="00E3270C" w:rsidRPr="00E3270C">
        <w:rPr>
          <w:rFonts w:eastAsiaTheme="minorHAnsi"/>
          <w:lang w:eastAsia="en-US"/>
        </w:rPr>
        <w:t>4</w:t>
      </w:r>
      <w:r w:rsidR="00E3270C">
        <w:rPr>
          <w:rFonts w:eastAsiaTheme="minorHAnsi"/>
          <w:lang w:eastAsia="en-US"/>
        </w:rPr>
        <w:t>-5 pasažierus</w:t>
      </w:r>
      <w:r w:rsidR="008B2ACC">
        <w:rPr>
          <w:rFonts w:eastAsiaTheme="minorHAnsi"/>
          <w:lang w:eastAsia="en-US"/>
        </w:rPr>
        <w:t>. Kritēriji tai skaitā</w:t>
      </w:r>
      <w:r w:rsidR="001D3DF9">
        <w:rPr>
          <w:rFonts w:eastAsiaTheme="minorHAnsi"/>
          <w:lang w:eastAsia="en-US"/>
        </w:rPr>
        <w:t xml:space="preserve"> iekļauti 2026. gada maršrutu tīkla prognozē </w:t>
      </w:r>
      <w:r w:rsidR="008B2ACC">
        <w:rPr>
          <w:rFonts w:eastAsiaTheme="minorHAnsi"/>
          <w:lang w:eastAsia="en-US"/>
        </w:rPr>
        <w:t>veicot to izvērtējumu</w:t>
      </w:r>
      <w:r w:rsidR="001D3DF9">
        <w:rPr>
          <w:rFonts w:eastAsiaTheme="minorHAnsi"/>
          <w:lang w:eastAsia="en-US"/>
        </w:rPr>
        <w:t xml:space="preserve"> līdz 2025. gada augustam</w:t>
      </w:r>
      <w:r w:rsidR="00E3270C">
        <w:rPr>
          <w:rFonts w:eastAsiaTheme="minorHAnsi"/>
          <w:lang w:eastAsia="en-US"/>
        </w:rPr>
        <w:t>.</w:t>
      </w:r>
      <w:r w:rsidRPr="00AE6710">
        <w:rPr>
          <w:rFonts w:eastAsiaTheme="minorHAnsi"/>
          <w:lang w:eastAsia="en-US"/>
        </w:rPr>
        <w:t xml:space="preserve"> </w:t>
      </w:r>
      <w:r w:rsidRPr="00AE6710">
        <w:rPr>
          <w:lang w:eastAsia="en-US"/>
        </w:rPr>
        <w:t xml:space="preserve">Savas korekcijas pasažieru pārvietošanās paradumos ieviesa arī pandēmijas laiks un periods, pēc kura </w:t>
      </w:r>
      <w:r w:rsidRPr="00AE6710">
        <w:rPr>
          <w:rFonts w:eastAsiaTheme="minorHAnsi"/>
          <w:lang w:eastAsia="en-US"/>
        </w:rPr>
        <w:t>ir izveidojies arī</w:t>
      </w:r>
      <w:r w:rsidRPr="00AE6710">
        <w:rPr>
          <w:lang w:eastAsia="en-US"/>
        </w:rPr>
        <w:t xml:space="preserve"> hibrīda (dalītais – klātienes / attālinātais) darba laiks. Mūsdienu tehnoloģijas ir ļāvušas labi pielāgoties šādam darba režīma sadalījumam un veiksmīgai uzdevumu izpildei, un pasažieru pārvadājumos jūtama arī iedzīvotāju vēlme arvien vairāk dzīvot ārpus pilsētas pat 60 km attālumā no Rīgas, ja klātienē darbs jāveic vien d</w:t>
      </w:r>
      <w:r w:rsidR="004D7D3D">
        <w:rPr>
          <w:lang w:eastAsia="en-US"/>
        </w:rPr>
        <w:t>ažas</w:t>
      </w:r>
      <w:r w:rsidRPr="00AE6710">
        <w:rPr>
          <w:lang w:eastAsia="en-US"/>
        </w:rPr>
        <w:t xml:space="preserve"> reizes nedēļā. Šis ir izaicinājums racionālam maršrutu tīklam, jo pasažieru pārvietošanās ar sabiedrisko transportu kļūst neregulāra</w:t>
      </w:r>
      <w:r w:rsidR="004D7D3D">
        <w:rPr>
          <w:lang w:eastAsia="en-US"/>
        </w:rPr>
        <w:t>,</w:t>
      </w:r>
      <w:r w:rsidRPr="00AE6710">
        <w:rPr>
          <w:lang w:eastAsia="en-US"/>
        </w:rPr>
        <w:t xml:space="preserve"> ar grūti nosakāmām likumsakarībām. Taču viena no valsts būtiskākajām funkcijām ir spēt nodrošināt iedzīvotāju mobilitāti un nokļūšanu uz darba vietām un izglītības iestādēm</w:t>
      </w:r>
      <w:r w:rsidR="004D7D3D">
        <w:rPr>
          <w:lang w:eastAsia="en-US"/>
        </w:rPr>
        <w:t xml:space="preserve"> to vispārpieņemtajā darba laikā.</w:t>
      </w:r>
    </w:p>
    <w:p w14:paraId="38CAC964" w14:textId="5FF7AA15" w:rsidR="00AE6710" w:rsidRPr="00AE6710" w:rsidRDefault="00952340" w:rsidP="00AE6710">
      <w:pPr>
        <w:shd w:val="clear" w:color="auto" w:fill="FFFFFF" w:themeFill="background1"/>
        <w:ind w:firstLine="709"/>
        <w:jc w:val="both"/>
      </w:pPr>
      <w:r w:rsidRPr="00AE6710">
        <w:t xml:space="preserve">2023. gada nogalē un 2024. gadā </w:t>
      </w:r>
      <w:r>
        <w:t>u</w:t>
      </w:r>
      <w:r w:rsidRPr="00AE6710">
        <w:t xml:space="preserve">zsākot </w:t>
      </w:r>
      <w:r w:rsidR="00AE6710" w:rsidRPr="00AE6710">
        <w:t>vilcienu satiksmē ekspluatēt jaunu elektrovilcienu ritošo sastāvu, ir realizēta kustības intensitātes palielināšana un pārskatīšana, tā faktiski uzsākot intervāla grafika pakāpenisku ieviešanu. Ir veikta arī maršrutu Rīga-Tukums II un Rīga-Aizkraukle savstarpēja sinhronizācija, kur lielākajā daļā gadījumu iespējams ceļu turpināt bez pārsēšanās. Papildus, lai veicinātu un tālāk atvieglotu šādus braucienus cauri Rīgas Centrālajai</w:t>
      </w:r>
      <w:r w:rsidR="004D7D3D">
        <w:t xml:space="preserve"> </w:t>
      </w:r>
      <w:r w:rsidR="00AE6710" w:rsidRPr="00AE6710">
        <w:t>stacijai vairāku līniju ietvaros, ir veiktas arī izmaiņas tarifos, nosakot, ka Rīgā ir vienots tarifs A zonas robežās arī caurbraucošajiem vilcienu reisiem.</w:t>
      </w:r>
    </w:p>
    <w:p w14:paraId="569CC523" w14:textId="40D284C4" w:rsidR="00AE6710" w:rsidRPr="00AE6710" w:rsidRDefault="00AE6710" w:rsidP="00AE6710">
      <w:pPr>
        <w:shd w:val="clear" w:color="auto" w:fill="FFFFFF" w:themeFill="background1"/>
        <w:ind w:firstLine="709"/>
        <w:jc w:val="both"/>
      </w:pPr>
      <w:r w:rsidRPr="00AE6710">
        <w:t xml:space="preserve">Savukārt no 2024. gada 15. decembra Rīgas Centrālajā stacijā pirmo reizi ieviesta visu elektrovilcienu maršrutu sinhronizācija (pienākšana - pārsēšanās - atiešana) atbilstoši regulāram simetriskam intervāla grafikam, paredzot saskaņotu pārsēšanos ap katras stundas 30. minūti visas dienas garumā, bet intensīvākas kustības apstākļos arī ap katras stundas 00. minūti. Tādējādi </w:t>
      </w:r>
      <w:r w:rsidRPr="00AE6710">
        <w:lastRenderedPageBreak/>
        <w:t>būtiski uzlabota Rīgas un reģionu pasažieru mobilitāte, kuru brauciena galamērķis nav Rīgas centrs, jo tas pasažieriem dod iespēju nokļūt tālākos galamērķos ātrāk.</w:t>
      </w:r>
    </w:p>
    <w:p w14:paraId="5743B850" w14:textId="2B4CC827" w:rsidR="00AE6710" w:rsidRPr="00AE6710" w:rsidRDefault="00AE6710" w:rsidP="00AE6710">
      <w:pPr>
        <w:shd w:val="clear" w:color="auto" w:fill="FFFFFF" w:themeFill="background1"/>
        <w:ind w:firstLine="709"/>
        <w:jc w:val="both"/>
      </w:pPr>
      <w:r w:rsidRPr="00AE6710">
        <w:t>Intervāla grafika ieviešana pilnā apjomā būs iespējama pēc Rīgas Centrālās stacijas pārbūves pabeigšanas, kad tiks nodrošināta nepieciešamā stacijas jauda simetriskā</w:t>
      </w:r>
      <w:r w:rsidR="008E0B55">
        <w:t>,</w:t>
      </w:r>
      <w:r w:rsidRPr="00AE6710">
        <w:t xml:space="preserve"> regulārā intervāla grafika ieviešanai pilnā apmērā.</w:t>
      </w:r>
    </w:p>
    <w:p w14:paraId="5C02C4C7" w14:textId="66E8A751" w:rsidR="00AE6710" w:rsidRPr="00AE6710" w:rsidRDefault="00AE6710" w:rsidP="00AE6710">
      <w:pPr>
        <w:shd w:val="clear" w:color="auto" w:fill="FFFFFF" w:themeFill="background1"/>
        <w:ind w:firstLine="709"/>
        <w:jc w:val="both"/>
      </w:pPr>
      <w:r w:rsidRPr="00AE6710">
        <w:t xml:space="preserve">Sabiedriskā transporta padome </w:t>
      </w:r>
      <w:r w:rsidR="008E0B55" w:rsidRPr="00AE6710">
        <w:t xml:space="preserve">2024. gada nogalē </w:t>
      </w:r>
      <w:r w:rsidRPr="00AE6710">
        <w:t xml:space="preserve">atbalstīja </w:t>
      </w:r>
      <w:r w:rsidR="003657D9">
        <w:t>“</w:t>
      </w:r>
      <w:r w:rsidRPr="00AE6710">
        <w:t>Ziņojumu par iespējamajām izmaiņām reģionālās nozīmes maršrutu tīklā un izmaiņām 2025. gadā</w:t>
      </w:r>
      <w:r w:rsidR="003657D9">
        <w:t>”</w:t>
      </w:r>
      <w:r w:rsidRPr="00AE6710">
        <w:t>, kas ierobežotā finansējuma dēļ paredz neieviest intervāla grafiku pilnā apmērā līnijās Rīga – Jelgava, līnijā Rīga – Tukums II un Rīga – Aizkraukle 60 minūšu intervālu dienas vidū, kā arī dienas vidū neparedz 30 minūšu intervālu savienojumā Rīga – Ogre. Līdz ar to elektrovilcienu nobraukums 2025. gadā ir par 13,45</w:t>
      </w:r>
      <w:r w:rsidR="003657D9">
        <w:t xml:space="preserve"> </w:t>
      </w:r>
      <w:r w:rsidRPr="00AE6710">
        <w:t>% mazāks, nekā plānots iepriekš. Optimizācija veikta, būtiski nepasliktinot 2024.</w:t>
      </w:r>
      <w:r w:rsidR="008D3990">
        <w:t> </w:t>
      </w:r>
      <w:r w:rsidRPr="00AE6710">
        <w:t>gadā nodrošināt</w:t>
      </w:r>
      <w:r w:rsidR="008D3990">
        <w:t>ā</w:t>
      </w:r>
      <w:r w:rsidRPr="00AE6710">
        <w:t xml:space="preserve"> pakalpojuma biežumu (savienojumā ar Ogri dienas vidū intervāls palielināts līdz 60 minūtēm) un atsakoties no plānotās 60 minūšu intervāla ieviešanas savienojumā ar Aizkraukli un Tukumu.</w:t>
      </w:r>
    </w:p>
    <w:p w14:paraId="7143FFD3" w14:textId="77777777" w:rsidR="00AE6710" w:rsidRPr="00AE6710" w:rsidRDefault="00AE6710" w:rsidP="00AE6710">
      <w:pPr>
        <w:shd w:val="clear" w:color="auto" w:fill="FFFFFF" w:themeFill="background1"/>
        <w:ind w:firstLine="709"/>
        <w:jc w:val="both"/>
      </w:pPr>
      <w:r w:rsidRPr="00AE6710">
        <w:t xml:space="preserve">Tāpat pie ierobežota ritošā sastāva ar 2024. gada 15. decembri tika izveidots savienojums četriem reisiem no Daugavpils uz Aizkraukli ar iespēju pārsēsties un turpināt ceļu uz Rīgu ar elektrovilcienu. Līdz ar to savienojumu skaits uz Daugavpili un pretēji ir palielinājies no 7 uz 9 katrā virzienā. </w:t>
      </w:r>
    </w:p>
    <w:p w14:paraId="58BA3351" w14:textId="6ADAB8D3" w:rsidR="00AE6710" w:rsidRDefault="00AE6710" w:rsidP="00AE6710">
      <w:pPr>
        <w:ind w:firstLine="709"/>
        <w:contextualSpacing/>
        <w:jc w:val="both"/>
        <w:rPr>
          <w:rFonts w:eastAsiaTheme="minorHAnsi"/>
          <w:kern w:val="2"/>
          <w:lang w:eastAsia="en-US"/>
          <w14:ligatures w14:val="standardContextual"/>
        </w:rPr>
      </w:pPr>
      <w:r w:rsidRPr="00AE6710">
        <w:rPr>
          <w:rFonts w:eastAsiaTheme="minorHAnsi"/>
          <w:kern w:val="2"/>
          <w:lang w:eastAsia="en-US"/>
          <w14:ligatures w14:val="standardContextual"/>
        </w:rPr>
        <w:t>2024. gadā reģionālās nozīmes sabiedriskajā transportā (reģionālie pārvadājumi ar autobusiem (t</w:t>
      </w:r>
      <w:r w:rsidR="003657D9">
        <w:rPr>
          <w:rFonts w:eastAsiaTheme="minorHAnsi"/>
          <w:kern w:val="2"/>
          <w:lang w:eastAsia="en-US"/>
          <w14:ligatures w14:val="standardContextual"/>
        </w:rPr>
        <w:t>ostarp</w:t>
      </w:r>
      <w:r w:rsidRPr="00AE6710">
        <w:rPr>
          <w:rFonts w:eastAsiaTheme="minorHAnsi"/>
          <w:kern w:val="2"/>
          <w:lang w:eastAsia="en-US"/>
          <w14:ligatures w14:val="standardContextual"/>
        </w:rPr>
        <w:t xml:space="preserve"> dotētajos reisos un komercreisos un vilcieniem) kopā </w:t>
      </w:r>
      <w:r w:rsidR="009C0647">
        <w:rPr>
          <w:rFonts w:eastAsiaTheme="minorHAnsi"/>
          <w:kern w:val="2"/>
          <w:lang w:eastAsia="en-US"/>
          <w14:ligatures w14:val="standardContextual"/>
        </w:rPr>
        <w:t xml:space="preserve">pasažieri </w:t>
      </w:r>
      <w:r w:rsidRPr="00AE6710">
        <w:rPr>
          <w:rFonts w:eastAsiaTheme="minorHAnsi"/>
          <w:kern w:val="2"/>
          <w:lang w:eastAsia="en-US"/>
          <w14:ligatures w14:val="standardContextual"/>
        </w:rPr>
        <w:t>vei</w:t>
      </w:r>
      <w:r w:rsidR="009C0647">
        <w:rPr>
          <w:rFonts w:eastAsiaTheme="minorHAnsi"/>
          <w:kern w:val="2"/>
          <w:lang w:eastAsia="en-US"/>
          <w14:ligatures w14:val="standardContextual"/>
        </w:rPr>
        <w:t>ca</w:t>
      </w:r>
      <w:r w:rsidRPr="00AE6710">
        <w:rPr>
          <w:rFonts w:eastAsiaTheme="minorHAnsi"/>
          <w:kern w:val="2"/>
          <w:lang w:eastAsia="en-US"/>
          <w14:ligatures w14:val="standardContextual"/>
        </w:rPr>
        <w:t xml:space="preserve"> 41,79 miljon</w:t>
      </w:r>
      <w:r w:rsidR="009C0647">
        <w:rPr>
          <w:rFonts w:eastAsiaTheme="minorHAnsi"/>
          <w:kern w:val="2"/>
          <w:lang w:eastAsia="en-US"/>
          <w14:ligatures w14:val="standardContextual"/>
        </w:rPr>
        <w:t>us</w:t>
      </w:r>
      <w:r w:rsidRPr="00AE6710">
        <w:rPr>
          <w:rFonts w:eastAsiaTheme="minorHAnsi"/>
          <w:kern w:val="2"/>
          <w:lang w:eastAsia="en-US"/>
          <w14:ligatures w14:val="standardContextual"/>
        </w:rPr>
        <w:t xml:space="preserve"> braucien</w:t>
      </w:r>
      <w:r w:rsidR="009C0647">
        <w:rPr>
          <w:rFonts w:eastAsiaTheme="minorHAnsi"/>
          <w:kern w:val="2"/>
          <w:lang w:eastAsia="en-US"/>
          <w14:ligatures w14:val="standardContextual"/>
        </w:rPr>
        <w:t>us</w:t>
      </w:r>
      <w:r w:rsidRPr="00AE6710">
        <w:rPr>
          <w:rFonts w:eastAsiaTheme="minorHAnsi"/>
          <w:kern w:val="2"/>
          <w:lang w:eastAsia="en-US"/>
          <w14:ligatures w14:val="standardContextual"/>
        </w:rPr>
        <w:t>, kas ir par 4,27</w:t>
      </w:r>
      <w:r w:rsidR="003657D9">
        <w:rPr>
          <w:rFonts w:eastAsiaTheme="minorHAnsi"/>
          <w:kern w:val="2"/>
          <w:lang w:eastAsia="en-US"/>
          <w14:ligatures w14:val="standardContextual"/>
        </w:rPr>
        <w:t xml:space="preserve"> </w:t>
      </w:r>
      <w:r w:rsidRPr="00AE6710">
        <w:rPr>
          <w:rFonts w:eastAsiaTheme="minorHAnsi"/>
          <w:kern w:val="2"/>
          <w:lang w:eastAsia="en-US"/>
          <w14:ligatures w14:val="standardContextual"/>
        </w:rPr>
        <w:t>% vairāk nekā 2023. gadā, kad pasažier</w:t>
      </w:r>
      <w:r w:rsidR="005B7329">
        <w:rPr>
          <w:rFonts w:eastAsiaTheme="minorHAnsi"/>
          <w:kern w:val="2"/>
          <w:lang w:eastAsia="en-US"/>
          <w14:ligatures w14:val="standardContextual"/>
        </w:rPr>
        <w:t>i</w:t>
      </w:r>
      <w:r w:rsidRPr="00AE6710">
        <w:rPr>
          <w:rFonts w:eastAsiaTheme="minorHAnsi"/>
          <w:kern w:val="2"/>
          <w:lang w:eastAsia="en-US"/>
          <w14:ligatures w14:val="standardContextual"/>
        </w:rPr>
        <w:t xml:space="preserve"> vei</w:t>
      </w:r>
      <w:r w:rsidR="005B7329">
        <w:rPr>
          <w:rFonts w:eastAsiaTheme="minorHAnsi"/>
          <w:kern w:val="2"/>
          <w:lang w:eastAsia="en-US"/>
          <w14:ligatures w14:val="standardContextual"/>
        </w:rPr>
        <w:t>ca</w:t>
      </w:r>
      <w:r w:rsidRPr="00AE6710">
        <w:rPr>
          <w:rFonts w:eastAsiaTheme="minorHAnsi"/>
          <w:kern w:val="2"/>
          <w:lang w:eastAsia="en-US"/>
          <w14:ligatures w14:val="standardContextual"/>
        </w:rPr>
        <w:t xml:space="preserve"> 40,08 miljon</w:t>
      </w:r>
      <w:r w:rsidR="005B7329">
        <w:rPr>
          <w:rFonts w:eastAsiaTheme="minorHAnsi"/>
          <w:kern w:val="2"/>
          <w:lang w:eastAsia="en-US"/>
          <w14:ligatures w14:val="standardContextual"/>
        </w:rPr>
        <w:t>us braucienu</w:t>
      </w:r>
      <w:r w:rsidRPr="00AE6710">
        <w:rPr>
          <w:rFonts w:eastAsiaTheme="minorHAnsi"/>
          <w:kern w:val="2"/>
          <w:lang w:eastAsia="en-US"/>
          <w14:ligatures w14:val="standardContextual"/>
        </w:rPr>
        <w:t xml:space="preserve">. </w:t>
      </w:r>
      <w:r w:rsidR="00331E90">
        <w:rPr>
          <w:rFonts w:eastAsiaTheme="minorHAnsi"/>
          <w:kern w:val="2"/>
          <w:lang w:eastAsia="en-US"/>
          <w14:ligatures w14:val="standardContextual"/>
        </w:rPr>
        <w:t>M</w:t>
      </w:r>
      <w:r w:rsidR="00331E90" w:rsidRPr="00AE6710">
        <w:rPr>
          <w:rFonts w:eastAsiaTheme="minorHAnsi"/>
          <w:kern w:val="2"/>
          <w:lang w:eastAsia="en-US"/>
          <w14:ligatures w14:val="standardContextual"/>
        </w:rPr>
        <w:t xml:space="preserve">inētās tendences saglabājas </w:t>
      </w:r>
      <w:r w:rsidR="00331E90">
        <w:rPr>
          <w:rFonts w:eastAsiaTheme="minorHAnsi"/>
          <w:kern w:val="2"/>
          <w:lang w:eastAsia="en-US"/>
          <w14:ligatures w14:val="standardContextual"/>
        </w:rPr>
        <w:t xml:space="preserve">arī </w:t>
      </w:r>
      <w:r w:rsidRPr="00AE6710">
        <w:rPr>
          <w:rFonts w:eastAsiaTheme="minorHAnsi"/>
          <w:kern w:val="2"/>
          <w:lang w:eastAsia="en-US"/>
          <w14:ligatures w14:val="standardContextual"/>
        </w:rPr>
        <w:t>2025.</w:t>
      </w:r>
      <w:r w:rsidR="00331E90">
        <w:rPr>
          <w:rFonts w:eastAsiaTheme="minorHAnsi"/>
          <w:kern w:val="2"/>
          <w:lang w:eastAsia="en-US"/>
          <w14:ligatures w14:val="standardContextual"/>
        </w:rPr>
        <w:t> </w:t>
      </w:r>
      <w:r w:rsidRPr="00AE6710">
        <w:rPr>
          <w:rFonts w:eastAsiaTheme="minorHAnsi"/>
          <w:kern w:val="2"/>
          <w:lang w:eastAsia="en-US"/>
          <w14:ligatures w14:val="standardContextual"/>
        </w:rPr>
        <w:t>gada desmit mēnešos un</w:t>
      </w:r>
      <w:r w:rsidR="00331E90">
        <w:rPr>
          <w:rFonts w:eastAsiaTheme="minorHAnsi"/>
          <w:kern w:val="2"/>
          <w:lang w:eastAsia="en-US"/>
          <w14:ligatures w14:val="standardContextual"/>
        </w:rPr>
        <w:t>,</w:t>
      </w:r>
      <w:r w:rsidRPr="00AE6710">
        <w:rPr>
          <w:rFonts w:eastAsiaTheme="minorHAnsi"/>
          <w:kern w:val="2"/>
          <w:lang w:eastAsia="en-US"/>
          <w14:ligatures w14:val="standardContextual"/>
        </w:rPr>
        <w:t xml:space="preserve"> salīdzinot ar 2024.gada to pašu periodu</w:t>
      </w:r>
      <w:r w:rsidR="00331E90">
        <w:rPr>
          <w:rFonts w:eastAsiaTheme="minorHAnsi"/>
          <w:kern w:val="2"/>
          <w:lang w:eastAsia="en-US"/>
          <w14:ligatures w14:val="standardContextual"/>
        </w:rPr>
        <w:t>,</w:t>
      </w:r>
      <w:r w:rsidRPr="00AE6710">
        <w:rPr>
          <w:rFonts w:eastAsiaTheme="minorHAnsi"/>
          <w:kern w:val="2"/>
          <w:lang w:eastAsia="en-US"/>
          <w14:ligatures w14:val="standardContextual"/>
        </w:rPr>
        <w:t xml:space="preserve"> reģionālās nozīmes satiksmē pasažieru braucienu skaits pieaudzis par 2,82</w:t>
      </w:r>
      <w:r w:rsidR="003657D9">
        <w:rPr>
          <w:rFonts w:eastAsiaTheme="minorHAnsi"/>
          <w:kern w:val="2"/>
          <w:lang w:eastAsia="en-US"/>
          <w14:ligatures w14:val="standardContextual"/>
        </w:rPr>
        <w:t xml:space="preserve"> </w:t>
      </w:r>
      <w:r w:rsidRPr="00AE6710">
        <w:rPr>
          <w:rFonts w:eastAsiaTheme="minorHAnsi"/>
          <w:kern w:val="2"/>
          <w:lang w:eastAsia="en-US"/>
          <w14:ligatures w14:val="standardContextual"/>
        </w:rPr>
        <w:t>%. Ņemot vērā, ka vilcienu regularitāte elektrificētajās līnijās kopš 2023. gada decembra ir mērķtiecīgi veicināta, reģionālās nozīmes pārvadājumos ar vilcieniem pārvadāto pasažieru skaits 2024. gadā, salīdzinot ar 2023. gadu, ir piedzīvojis strauju pieaugumu – par 13,9</w:t>
      </w:r>
      <w:r w:rsidR="003657D9">
        <w:rPr>
          <w:rFonts w:eastAsiaTheme="minorHAnsi"/>
          <w:kern w:val="2"/>
          <w:lang w:eastAsia="en-US"/>
          <w14:ligatures w14:val="standardContextual"/>
        </w:rPr>
        <w:t xml:space="preserve"> </w:t>
      </w:r>
      <w:r w:rsidRPr="00AE6710">
        <w:rPr>
          <w:rFonts w:eastAsiaTheme="minorHAnsi"/>
          <w:kern w:val="2"/>
          <w:lang w:eastAsia="en-US"/>
          <w14:ligatures w14:val="standardContextual"/>
        </w:rPr>
        <w:t>% jeb 2,38 miljoniem. Vilcienu maršrutos 2024. gadā tika pārvadāti 47</w:t>
      </w:r>
      <w:r w:rsidR="003657D9">
        <w:rPr>
          <w:rFonts w:eastAsiaTheme="minorHAnsi"/>
          <w:kern w:val="2"/>
          <w:lang w:eastAsia="en-US"/>
          <w14:ligatures w14:val="standardContextual"/>
        </w:rPr>
        <w:t xml:space="preserve"> </w:t>
      </w:r>
      <w:r w:rsidRPr="00AE6710">
        <w:rPr>
          <w:rFonts w:eastAsiaTheme="minorHAnsi"/>
          <w:kern w:val="2"/>
          <w:lang w:eastAsia="en-US"/>
          <w14:ligatures w14:val="standardContextual"/>
        </w:rPr>
        <w:t>% no kopējā reģionālajos maršrutos pārvadāto pasažieru skaita, bet 2025.gada desmit mēnešos īpatsvars jau veido 50</w:t>
      </w:r>
      <w:r w:rsidR="003657D9">
        <w:rPr>
          <w:rFonts w:eastAsiaTheme="minorHAnsi"/>
          <w:kern w:val="2"/>
          <w:lang w:eastAsia="en-US"/>
          <w14:ligatures w14:val="standardContextual"/>
        </w:rPr>
        <w:t xml:space="preserve"> </w:t>
      </w:r>
      <w:r w:rsidRPr="00AE6710">
        <w:rPr>
          <w:rFonts w:eastAsiaTheme="minorHAnsi"/>
          <w:kern w:val="2"/>
          <w:lang w:eastAsia="en-US"/>
          <w14:ligatures w14:val="standardContextual"/>
        </w:rPr>
        <w:t>% no kopējiem reģionālās nozīmes pārvadājumos pārvadātājiem pasažieriem</w:t>
      </w:r>
      <w:r w:rsidR="00F20BDB">
        <w:rPr>
          <w:rFonts w:eastAsiaTheme="minorHAnsi"/>
          <w:kern w:val="2"/>
          <w:lang w:eastAsia="en-US"/>
          <w14:ligatures w14:val="standardContextual"/>
        </w:rPr>
        <w:t>.</w:t>
      </w:r>
      <w:r w:rsidRPr="00AE6710">
        <w:rPr>
          <w:rFonts w:eastAsiaTheme="minorHAnsi"/>
          <w:kern w:val="2"/>
          <w:lang w:eastAsia="en-US"/>
          <w14:ligatures w14:val="standardContextual"/>
        </w:rPr>
        <w:t xml:space="preserve"> Šis pieaugums liecina par vilcienu pakalpojumu uzlabošanos, jauniem maršrutiem un augošo sabiedriskā transport</w:t>
      </w:r>
      <w:r w:rsidR="00331E90">
        <w:rPr>
          <w:rFonts w:eastAsiaTheme="minorHAnsi"/>
          <w:kern w:val="2"/>
          <w:lang w:eastAsia="en-US"/>
          <w14:ligatures w14:val="standardContextual"/>
        </w:rPr>
        <w:t>a</w:t>
      </w:r>
      <w:r w:rsidRPr="00AE6710">
        <w:rPr>
          <w:rFonts w:eastAsiaTheme="minorHAnsi"/>
          <w:kern w:val="2"/>
          <w:lang w:eastAsia="en-US"/>
          <w14:ligatures w14:val="standardContextual"/>
        </w:rPr>
        <w:t xml:space="preserve"> izmantošanas ērtību un pieejamību. Vienlaikus konstatējams, ka 2025.</w:t>
      </w:r>
      <w:r w:rsidR="003657D9">
        <w:rPr>
          <w:rFonts w:eastAsiaTheme="minorHAnsi"/>
          <w:kern w:val="2"/>
          <w:lang w:eastAsia="en-US"/>
          <w14:ligatures w14:val="standardContextual"/>
        </w:rPr>
        <w:t xml:space="preserve"> </w:t>
      </w:r>
      <w:r w:rsidRPr="00AE6710">
        <w:rPr>
          <w:rFonts w:eastAsiaTheme="minorHAnsi"/>
          <w:kern w:val="2"/>
          <w:lang w:eastAsia="en-US"/>
          <w14:ligatures w14:val="standardContextual"/>
        </w:rPr>
        <w:t xml:space="preserve">gada </w:t>
      </w:r>
      <w:r w:rsidR="00331E90">
        <w:rPr>
          <w:rFonts w:eastAsiaTheme="minorHAnsi"/>
          <w:kern w:val="2"/>
          <w:lang w:eastAsia="en-US"/>
          <w14:ligatures w14:val="standardContextual"/>
        </w:rPr>
        <w:t>desmit</w:t>
      </w:r>
      <w:r w:rsidRPr="00AE6710">
        <w:rPr>
          <w:rFonts w:eastAsiaTheme="minorHAnsi"/>
          <w:kern w:val="2"/>
          <w:lang w:eastAsia="en-US"/>
          <w14:ligatures w14:val="standardContextual"/>
        </w:rPr>
        <w:t xml:space="preserve"> mēnešos vilcienu maršrutos pārvadāto pasažieru skaits par 15</w:t>
      </w:r>
      <w:r w:rsidR="003657D9">
        <w:rPr>
          <w:rFonts w:eastAsiaTheme="minorHAnsi"/>
          <w:kern w:val="2"/>
          <w:lang w:eastAsia="en-US"/>
          <w14:ligatures w14:val="standardContextual"/>
        </w:rPr>
        <w:t xml:space="preserve"> </w:t>
      </w:r>
      <w:r w:rsidRPr="00AE6710">
        <w:rPr>
          <w:rFonts w:eastAsiaTheme="minorHAnsi"/>
          <w:kern w:val="2"/>
          <w:lang w:eastAsia="en-US"/>
          <w14:ligatures w14:val="standardContextual"/>
        </w:rPr>
        <w:t>% jeb 2,4 miljoniem ir pārsniedzis arī pirms pandēmijas jeb 2019. gada rādītājus, kad gada laikā vilcienu maršrutos tika pārvadāti 18,46 miljoni pasažieru.</w:t>
      </w:r>
    </w:p>
    <w:p w14:paraId="1A70B60E" w14:textId="77777777" w:rsidR="008D4163" w:rsidRDefault="4CC13D2B" w:rsidP="00C20396">
      <w:pPr>
        <w:ind w:firstLine="709"/>
        <w:jc w:val="both"/>
        <w:rPr>
          <w:rFonts w:eastAsiaTheme="minorEastAsia"/>
          <w:lang w:eastAsia="en-US"/>
        </w:rPr>
      </w:pPr>
      <w:r w:rsidRPr="7F9BBCD6">
        <w:rPr>
          <w:rFonts w:eastAsiaTheme="minorEastAsia"/>
          <w:kern w:val="2"/>
          <w:lang w:eastAsia="en-US"/>
          <w14:ligatures w14:val="standardContextual"/>
        </w:rPr>
        <w:t>L</w:t>
      </w:r>
      <w:r w:rsidR="01E85E2F" w:rsidRPr="7F9BBCD6">
        <w:rPr>
          <w:rFonts w:eastAsiaTheme="minorEastAsia"/>
          <w:kern w:val="2"/>
          <w:lang w:eastAsia="en-US"/>
          <w14:ligatures w14:val="standardContextual"/>
        </w:rPr>
        <w:t>a</w:t>
      </w:r>
      <w:r w:rsidRPr="7F9BBCD6">
        <w:rPr>
          <w:rFonts w:eastAsiaTheme="minorEastAsia"/>
          <w:kern w:val="2"/>
          <w:lang w:eastAsia="en-US"/>
          <w14:ligatures w14:val="standardContextual"/>
        </w:rPr>
        <w:t xml:space="preserve">i ar vien vairāk veicinātu jaunu pasažieru piesaisti sabiedriskajam transportam, pakāpeniski tiek īstenots nākamais </w:t>
      </w:r>
      <w:r w:rsidR="007D7D9C">
        <w:rPr>
          <w:rFonts w:eastAsiaTheme="minorEastAsia"/>
          <w:kern w:val="2"/>
          <w:lang w:eastAsia="en-US"/>
          <w14:ligatures w14:val="standardContextual"/>
        </w:rPr>
        <w:t>–</w:t>
      </w:r>
      <w:r w:rsidRPr="7F9BBCD6">
        <w:rPr>
          <w:rFonts w:eastAsiaTheme="minorEastAsia"/>
          <w:kern w:val="2"/>
          <w:lang w:eastAsia="en-US"/>
          <w14:ligatures w14:val="standardContextual"/>
        </w:rPr>
        <w:t xml:space="preserve"> otrais</w:t>
      </w:r>
      <w:r w:rsidR="007D7D9C">
        <w:rPr>
          <w:rFonts w:eastAsiaTheme="minorEastAsia"/>
          <w:kern w:val="2"/>
          <w:lang w:eastAsia="en-US"/>
          <w14:ligatures w14:val="standardContextual"/>
        </w:rPr>
        <w:t xml:space="preserve"> </w:t>
      </w:r>
      <w:r w:rsidRPr="7F9BBCD6">
        <w:rPr>
          <w:rFonts w:eastAsiaTheme="minorEastAsia"/>
          <w:kern w:val="2"/>
          <w:lang w:eastAsia="en-US"/>
          <w14:ligatures w14:val="standardContextual"/>
        </w:rPr>
        <w:t xml:space="preserve">posms, kur tiek plānoti pievedošie maršruti vilcienu satiksmei. Pirmais no šādiem maršrutiem ir daļēji ieviests savienojumā Dobele – Jelgava, kur </w:t>
      </w:r>
      <w:r w:rsidR="005E4E24">
        <w:rPr>
          <w:rFonts w:eastAsiaTheme="minorEastAsia"/>
          <w:kern w:val="2"/>
          <w:lang w:eastAsia="en-US"/>
          <w14:ligatures w14:val="standardContextual"/>
        </w:rPr>
        <w:t xml:space="preserve">ir </w:t>
      </w:r>
      <w:r w:rsidRPr="7F9BBCD6">
        <w:rPr>
          <w:rFonts w:eastAsiaTheme="minorEastAsia"/>
          <w:kern w:val="2"/>
          <w:lang w:eastAsia="en-US"/>
          <w14:ligatures w14:val="standardContextual"/>
        </w:rPr>
        <w:t>saskaņota pasažieru apmaiņa starp vilcienu un autobusu reisiem Jelgavas stacijā</w:t>
      </w:r>
      <w:r w:rsidR="12795FB0" w:rsidRPr="7F9BBCD6">
        <w:rPr>
          <w:rFonts w:eastAsiaTheme="minorEastAsia"/>
          <w:lang w:eastAsia="en-US"/>
        </w:rPr>
        <w:t>. Pēc ATD vērtējum</w:t>
      </w:r>
      <w:r w:rsidR="00C20396">
        <w:rPr>
          <w:rFonts w:eastAsiaTheme="minorEastAsia"/>
          <w:lang w:eastAsia="en-US"/>
        </w:rPr>
        <w:t>a</w:t>
      </w:r>
      <w:r w:rsidR="12795FB0" w:rsidRPr="7F9BBCD6">
        <w:rPr>
          <w:rFonts w:eastAsiaTheme="minorEastAsia"/>
          <w:lang w:eastAsia="en-US"/>
        </w:rPr>
        <w:t xml:space="preserve"> potenciāli pievedošie maršruti varētu būt </w:t>
      </w:r>
      <w:r w:rsidR="000426DD">
        <w:rPr>
          <w:rFonts w:eastAsiaTheme="minorEastAsia"/>
          <w:lang w:eastAsia="en-US"/>
        </w:rPr>
        <w:t>desmit</w:t>
      </w:r>
      <w:r w:rsidR="000426DD" w:rsidRPr="7F9BBCD6">
        <w:rPr>
          <w:rFonts w:eastAsiaTheme="minorEastAsia"/>
          <w:lang w:eastAsia="en-US"/>
        </w:rPr>
        <w:t xml:space="preserve"> </w:t>
      </w:r>
      <w:r w:rsidR="12795FB0" w:rsidRPr="7F9BBCD6">
        <w:rPr>
          <w:rFonts w:eastAsiaTheme="minorEastAsia"/>
          <w:lang w:eastAsia="en-US"/>
        </w:rPr>
        <w:t xml:space="preserve">maršrutiem Tukumā, </w:t>
      </w:r>
      <w:r w:rsidR="00EA087C">
        <w:rPr>
          <w:rFonts w:eastAsiaTheme="minorEastAsia"/>
          <w:lang w:eastAsia="en-US"/>
        </w:rPr>
        <w:t>diviem</w:t>
      </w:r>
      <w:r w:rsidR="12795FB0" w:rsidRPr="7F9BBCD6">
        <w:rPr>
          <w:rFonts w:eastAsiaTheme="minorEastAsia"/>
          <w:lang w:eastAsia="en-US"/>
        </w:rPr>
        <w:t xml:space="preserve"> maršrutiem Jūrmalā, </w:t>
      </w:r>
      <w:r w:rsidR="00EA087C">
        <w:rPr>
          <w:rFonts w:eastAsiaTheme="minorEastAsia"/>
          <w:lang w:eastAsia="en-US"/>
        </w:rPr>
        <w:t>diviem</w:t>
      </w:r>
      <w:r w:rsidR="12795FB0" w:rsidRPr="7F9BBCD6">
        <w:rPr>
          <w:rFonts w:eastAsiaTheme="minorEastAsia"/>
          <w:lang w:eastAsia="en-US"/>
        </w:rPr>
        <w:t xml:space="preserve"> maršrutiem Babītē, </w:t>
      </w:r>
      <w:r w:rsidR="00EA087C">
        <w:rPr>
          <w:rFonts w:eastAsiaTheme="minorEastAsia"/>
          <w:lang w:eastAsia="en-US"/>
        </w:rPr>
        <w:t>četriem</w:t>
      </w:r>
      <w:r w:rsidR="12795FB0" w:rsidRPr="7F9BBCD6">
        <w:rPr>
          <w:rFonts w:eastAsiaTheme="minorEastAsia"/>
          <w:lang w:eastAsia="en-US"/>
        </w:rPr>
        <w:t xml:space="preserve"> maršrutiem Saulkrastos, </w:t>
      </w:r>
      <w:r w:rsidR="00EA087C">
        <w:rPr>
          <w:rFonts w:eastAsiaTheme="minorEastAsia"/>
          <w:lang w:eastAsia="en-US"/>
        </w:rPr>
        <w:t>vienam</w:t>
      </w:r>
      <w:r w:rsidR="12795FB0" w:rsidRPr="7F9BBCD6">
        <w:rPr>
          <w:rFonts w:eastAsiaTheme="minorEastAsia"/>
          <w:lang w:eastAsia="en-US"/>
        </w:rPr>
        <w:t xml:space="preserve"> maršrutam </w:t>
      </w:r>
      <w:proofErr w:type="spellStart"/>
      <w:r w:rsidR="12795FB0" w:rsidRPr="7F9BBCD6">
        <w:rPr>
          <w:rFonts w:eastAsiaTheme="minorEastAsia"/>
          <w:lang w:eastAsia="en-US"/>
        </w:rPr>
        <w:t>Kalngalē</w:t>
      </w:r>
      <w:proofErr w:type="spellEnd"/>
      <w:r w:rsidR="12795FB0" w:rsidRPr="7F9BBCD6">
        <w:rPr>
          <w:rFonts w:eastAsiaTheme="minorEastAsia"/>
          <w:lang w:eastAsia="en-US"/>
        </w:rPr>
        <w:t xml:space="preserve">, </w:t>
      </w:r>
      <w:r w:rsidR="00EA087C">
        <w:rPr>
          <w:rFonts w:eastAsiaTheme="minorEastAsia"/>
          <w:lang w:eastAsia="en-US"/>
        </w:rPr>
        <w:t>vienam</w:t>
      </w:r>
      <w:r w:rsidR="12795FB0" w:rsidRPr="7F9BBCD6">
        <w:rPr>
          <w:rFonts w:eastAsiaTheme="minorEastAsia"/>
          <w:lang w:eastAsia="en-US"/>
        </w:rPr>
        <w:t xml:space="preserve"> maršrutam Jelgavā, </w:t>
      </w:r>
      <w:r w:rsidR="00EA087C">
        <w:rPr>
          <w:rFonts w:eastAsiaTheme="minorEastAsia"/>
          <w:lang w:eastAsia="en-US"/>
        </w:rPr>
        <w:t>pieciem</w:t>
      </w:r>
      <w:r w:rsidR="12795FB0" w:rsidRPr="7F9BBCD6">
        <w:rPr>
          <w:rFonts w:eastAsiaTheme="minorEastAsia"/>
          <w:lang w:eastAsia="en-US"/>
        </w:rPr>
        <w:t xml:space="preserve"> maršrutiem Tīrainē, </w:t>
      </w:r>
      <w:r w:rsidR="00EA087C">
        <w:rPr>
          <w:rFonts w:eastAsiaTheme="minorEastAsia"/>
          <w:lang w:eastAsia="en-US"/>
        </w:rPr>
        <w:t>vienam</w:t>
      </w:r>
      <w:r w:rsidR="12795FB0" w:rsidRPr="7F9BBCD6">
        <w:rPr>
          <w:rFonts w:eastAsiaTheme="minorEastAsia"/>
          <w:lang w:eastAsia="en-US"/>
        </w:rPr>
        <w:t xml:space="preserve"> maršrutam Ogrē, </w:t>
      </w:r>
      <w:r w:rsidR="00EA087C">
        <w:rPr>
          <w:rFonts w:eastAsiaTheme="minorEastAsia"/>
          <w:lang w:eastAsia="en-US"/>
        </w:rPr>
        <w:t>četriem</w:t>
      </w:r>
      <w:r w:rsidR="12795FB0" w:rsidRPr="7F9BBCD6">
        <w:rPr>
          <w:rFonts w:eastAsiaTheme="minorEastAsia"/>
          <w:lang w:eastAsia="en-US"/>
        </w:rPr>
        <w:t xml:space="preserve"> maršrutiem Aizkrauklē, </w:t>
      </w:r>
      <w:r w:rsidR="00EA087C">
        <w:rPr>
          <w:rFonts w:eastAsiaTheme="minorEastAsia"/>
          <w:lang w:eastAsia="en-US"/>
        </w:rPr>
        <w:t>vienam</w:t>
      </w:r>
      <w:r w:rsidR="12795FB0" w:rsidRPr="7F9BBCD6">
        <w:rPr>
          <w:rFonts w:eastAsiaTheme="minorEastAsia"/>
          <w:lang w:eastAsia="en-US"/>
        </w:rPr>
        <w:t xml:space="preserve"> maršrutam Krustpilī</w:t>
      </w:r>
      <w:r w:rsidR="00EA087C">
        <w:rPr>
          <w:rFonts w:eastAsiaTheme="minorEastAsia"/>
          <w:lang w:eastAsia="en-US"/>
        </w:rPr>
        <w:t xml:space="preserve"> un trīs</w:t>
      </w:r>
      <w:r w:rsidR="12795FB0" w:rsidRPr="7F9BBCD6">
        <w:rPr>
          <w:rFonts w:eastAsiaTheme="minorEastAsia"/>
          <w:lang w:eastAsia="en-US"/>
        </w:rPr>
        <w:t xml:space="preserve"> maršrutiem Līvānos.</w:t>
      </w:r>
    </w:p>
    <w:p w14:paraId="7FCB4BD8" w14:textId="7EECB589" w:rsidR="00AE6710" w:rsidRPr="00AE6710" w:rsidRDefault="00E717BD" w:rsidP="00427F38">
      <w:pPr>
        <w:ind w:firstLine="720"/>
        <w:jc w:val="both"/>
        <w:rPr>
          <w:lang w:eastAsia="en-US"/>
        </w:rPr>
      </w:pPr>
      <w:r w:rsidRPr="00E717BD">
        <w:rPr>
          <w:lang w:eastAsia="en-US"/>
        </w:rPr>
        <w:t>Vienlaikus maz apdzīvotās vietās, kurās ir neliels pasažieru skaits, valsts plāno attīstīt un ieviest jaunu pakalpojumu – autotransports pēc pieprasījuma. Tas ir plānots kā neregulārs pārvadājums, kuru iedzīvotājiem būs iespējams pieteikt iepriekš, izmantojot digitālu aplikāciju vai zvanot dispečeru dienestam un tas attiecīgi nodrošinās pasažieru pievedumu pie tuvākās reģionālā autobusa vai vilciena pieturas.</w:t>
      </w:r>
    </w:p>
    <w:p w14:paraId="7A4F9964" w14:textId="15547EEC" w:rsidR="00AE6710" w:rsidRPr="00AE6710" w:rsidRDefault="4CC13D2B" w:rsidP="0001607D">
      <w:pPr>
        <w:ind w:firstLine="709"/>
        <w:jc w:val="both"/>
        <w:rPr>
          <w:lang w:eastAsia="en-US"/>
        </w:rPr>
      </w:pPr>
      <w:r w:rsidRPr="00AE6710">
        <w:rPr>
          <w:kern w:val="2"/>
          <w:lang w:eastAsia="en-US"/>
          <w14:ligatures w14:val="standardContextual"/>
        </w:rPr>
        <w:t>Pārsēšanās laiks un neērtības veicot pārsēšanos var</w:t>
      </w:r>
      <w:r w:rsidR="00EA087C">
        <w:rPr>
          <w:kern w:val="2"/>
          <w:lang w:eastAsia="en-US"/>
          <w14:ligatures w14:val="standardContextual"/>
        </w:rPr>
        <w:t>ētu</w:t>
      </w:r>
      <w:r w:rsidRPr="00AE6710">
        <w:rPr>
          <w:kern w:val="2"/>
          <w:lang w:eastAsia="en-US"/>
          <w14:ligatures w14:val="standardContextual"/>
        </w:rPr>
        <w:t xml:space="preserve"> tikt kompensētas ar mazāku kopējā brauciena cenu nekā tiešā savienojumā</w:t>
      </w:r>
      <w:r w:rsidR="002A3F01">
        <w:rPr>
          <w:kern w:val="2"/>
          <w:lang w:eastAsia="en-US"/>
          <w14:ligatures w14:val="standardContextual"/>
        </w:rPr>
        <w:t>.</w:t>
      </w:r>
      <w:r w:rsidRPr="00AE6710">
        <w:rPr>
          <w:kern w:val="2"/>
          <w:lang w:eastAsia="en-US"/>
          <w14:ligatures w14:val="standardContextual"/>
        </w:rPr>
        <w:t xml:space="preserve"> </w:t>
      </w:r>
      <w:r w:rsidR="002A3F01">
        <w:rPr>
          <w:kern w:val="2"/>
          <w:lang w:eastAsia="en-US"/>
          <w14:ligatures w14:val="standardContextual"/>
        </w:rPr>
        <w:t>V</w:t>
      </w:r>
      <w:r w:rsidR="007D7568">
        <w:rPr>
          <w:kern w:val="2"/>
          <w:lang w:eastAsia="en-US"/>
          <w14:ligatures w14:val="standardContextual"/>
        </w:rPr>
        <w:t>ienlaikus</w:t>
      </w:r>
      <w:r w:rsidR="108159FC">
        <w:rPr>
          <w:kern w:val="2"/>
          <w:lang w:eastAsia="en-US"/>
          <w14:ligatures w14:val="standardContextual"/>
        </w:rPr>
        <w:t>,</w:t>
      </w:r>
      <w:r w:rsidR="007D7568">
        <w:rPr>
          <w:kern w:val="2"/>
          <w:lang w:eastAsia="en-US"/>
          <w14:ligatures w14:val="standardContextual"/>
        </w:rPr>
        <w:t xml:space="preserve"> īstenojot</w:t>
      </w:r>
      <w:r w:rsidRPr="00AE6710">
        <w:rPr>
          <w:kern w:val="2"/>
          <w:lang w:eastAsia="en-US"/>
          <w14:ligatures w14:val="standardContextual"/>
        </w:rPr>
        <w:t xml:space="preserve"> intensīvāku vietējās nozīmes satiksmi, </w:t>
      </w:r>
      <w:r w:rsidR="002A3F01">
        <w:rPr>
          <w:kern w:val="2"/>
          <w:lang w:eastAsia="en-US"/>
          <w14:ligatures w14:val="standardContextual"/>
        </w:rPr>
        <w:t>tas</w:t>
      </w:r>
      <w:r w:rsidRPr="00AE6710">
        <w:rPr>
          <w:kern w:val="2"/>
          <w:lang w:eastAsia="en-US"/>
          <w14:ligatures w14:val="standardContextual"/>
        </w:rPr>
        <w:t xml:space="preserve"> palielina mobilitātes iespējas un veicina sabiedriskā transporta pievilcību. Samazinot kopējo brauciena cenu, var samazināties ieņēmumi, taču, samazinot tiešo savienojumu nobraukumu</w:t>
      </w:r>
      <w:r w:rsidR="007D7568">
        <w:rPr>
          <w:kern w:val="2"/>
          <w:lang w:eastAsia="en-US"/>
          <w14:ligatures w14:val="standardContextual"/>
        </w:rPr>
        <w:t xml:space="preserve"> (km)</w:t>
      </w:r>
      <w:r w:rsidRPr="00AE6710">
        <w:rPr>
          <w:kern w:val="2"/>
          <w:lang w:eastAsia="en-US"/>
          <w14:ligatures w14:val="standardContextual"/>
        </w:rPr>
        <w:t>, samazinātos</w:t>
      </w:r>
      <w:r w:rsidR="68A5FAA3" w:rsidRPr="00AE6710">
        <w:rPr>
          <w:kern w:val="2"/>
          <w:lang w:eastAsia="en-US"/>
          <w14:ligatures w14:val="standardContextual"/>
        </w:rPr>
        <w:t xml:space="preserve"> arī</w:t>
      </w:r>
      <w:r w:rsidRPr="00AE6710">
        <w:rPr>
          <w:kern w:val="2"/>
          <w:lang w:eastAsia="en-US"/>
          <w14:ligatures w14:val="standardContextual"/>
        </w:rPr>
        <w:t xml:space="preserve"> kompensācijas apmērs, vienlaikus palielinot vietējo reisu skaitu un mobilitāti, kas savukārt var </w:t>
      </w:r>
      <w:r w:rsidR="00B3439B">
        <w:rPr>
          <w:kern w:val="2"/>
          <w:lang w:eastAsia="en-US"/>
          <w14:ligatures w14:val="standardContextual"/>
        </w:rPr>
        <w:t>pozitīvi ietekmēt</w:t>
      </w:r>
      <w:r w:rsidRPr="00AE6710">
        <w:rPr>
          <w:kern w:val="2"/>
          <w:lang w:eastAsia="en-US"/>
          <w14:ligatures w14:val="standardContextual"/>
        </w:rPr>
        <w:t xml:space="preserve"> pasažieru skaitu un veicināt </w:t>
      </w:r>
      <w:r w:rsidRPr="00AE6710">
        <w:rPr>
          <w:kern w:val="2"/>
          <w:lang w:eastAsia="en-US"/>
          <w14:ligatures w14:val="standardContextual"/>
        </w:rPr>
        <w:lastRenderedPageBreak/>
        <w:t>papildu ieņēmumus. Veidojot šādus pārsēšanās (mobilitātes) punktus, svarīga ir apkārtējā infrastruktūra un piekļūstamība, ceļa stāvoklis, lai nokļūšana pārsēšanās vietā būtu ērta un, pats galvenais, ātra. Mobilitātes punkti ir vieta</w:t>
      </w:r>
      <w:r w:rsidR="69D22ABB">
        <w:rPr>
          <w:kern w:val="2"/>
          <w:lang w:eastAsia="en-US"/>
          <w14:ligatures w14:val="standardContextual"/>
        </w:rPr>
        <w:t>,</w:t>
      </w:r>
      <w:r w:rsidRPr="00AE6710">
        <w:rPr>
          <w:kern w:val="2"/>
          <w:lang w:eastAsia="en-US"/>
          <w14:ligatures w14:val="standardContextual"/>
        </w:rPr>
        <w:t xml:space="preserve"> kur vienkopus tiek nodrošināta dažādu sabiedriskā transporta veidu (reģionālās nozīmes autobusu, pilsētas nozīmes autobusu un vilcienu) apstāšanās, nodrošinot augstas pasažieru pārvietošanās iespējas. </w:t>
      </w:r>
      <w:r w:rsidR="00A007B3">
        <w:rPr>
          <w:kern w:val="2"/>
          <w:lang w:eastAsia="en-US"/>
          <w14:ligatures w14:val="standardContextual"/>
        </w:rPr>
        <w:t>M</w:t>
      </w:r>
      <w:r w:rsidRPr="00AE6710">
        <w:rPr>
          <w:kern w:val="2"/>
          <w:lang w:eastAsia="en-US"/>
          <w14:ligatures w14:val="standardContextual"/>
        </w:rPr>
        <w:t xml:space="preserve">obilitātes punktos iespējami arī </w:t>
      </w:r>
      <w:proofErr w:type="spellStart"/>
      <w:r w:rsidRPr="00AE6710">
        <w:rPr>
          <w:kern w:val="2"/>
          <w:lang w:eastAsia="en-US"/>
          <w14:ligatures w14:val="standardContextual"/>
        </w:rPr>
        <w:t>mikromobilitātes</w:t>
      </w:r>
      <w:proofErr w:type="spellEnd"/>
      <w:r w:rsidRPr="00AE6710">
        <w:rPr>
          <w:kern w:val="2"/>
          <w:lang w:eastAsia="en-US"/>
          <w14:ligatures w14:val="standardContextual"/>
        </w:rPr>
        <w:t xml:space="preserve"> risinājumi</w:t>
      </w:r>
      <w:r w:rsidR="09C191CC">
        <w:rPr>
          <w:kern w:val="2"/>
          <w:lang w:eastAsia="en-US"/>
          <w14:ligatures w14:val="standardContextual"/>
        </w:rPr>
        <w:t>, proti</w:t>
      </w:r>
      <w:r w:rsidRPr="00AE6710">
        <w:rPr>
          <w:kern w:val="2"/>
          <w:lang w:eastAsia="en-US"/>
          <w14:ligatures w14:val="standardContextual"/>
        </w:rPr>
        <w:t>, koplietošanas transports, velo novietne un noma, “</w:t>
      </w:r>
      <w:proofErr w:type="spellStart"/>
      <w:r w:rsidRPr="00AE6710">
        <w:rPr>
          <w:kern w:val="2"/>
          <w:lang w:eastAsia="en-US"/>
          <w14:ligatures w14:val="standardContextual"/>
        </w:rPr>
        <w:t>park&amp;ride</w:t>
      </w:r>
      <w:proofErr w:type="spellEnd"/>
      <w:r w:rsidRPr="00AE6710">
        <w:rPr>
          <w:kern w:val="2"/>
          <w:lang w:eastAsia="en-US"/>
          <w14:ligatures w14:val="standardContextual"/>
        </w:rPr>
        <w:t xml:space="preserve">” principa stāvvietas. Šobrīd nav noteikta atbildīgā institūcija mērķtiecīgu šādu punktu izveidei valsts teritorijā, un tie lielā mērā ir atkarīgi no pašvaldības attīstības plāniem un vēlmes ieguldīt pašvaldības finanšu līdzekļus. Minētais, savukārt, ierobežo savienotāka transporta iespējas, it sevišķi veidojot vilciena un autobusa savienojumus. Taču </w:t>
      </w:r>
      <w:r w:rsidRPr="7F9BBCD6">
        <w:rPr>
          <w:rFonts w:eastAsiaTheme="minorEastAsia"/>
          <w:kern w:val="2"/>
          <w:lang w:eastAsia="en-US"/>
          <w14:ligatures w14:val="standardContextual"/>
        </w:rPr>
        <w:t>2024. gada nogalē ir apstiprināta</w:t>
      </w:r>
      <w:r w:rsidRPr="00AE6710">
        <w:rPr>
          <w:kern w:val="2"/>
          <w:lang w:eastAsia="en-US"/>
          <w14:ligatures w14:val="standardContextual"/>
        </w:rPr>
        <w:t xml:space="preserve"> Satiksmes ministrijas virzītā iniciatīva labiekārtot </w:t>
      </w:r>
      <w:r w:rsidRPr="7F9BBCD6">
        <w:rPr>
          <w:rFonts w:eastAsiaTheme="minorEastAsia"/>
          <w:kern w:val="2"/>
          <w:lang w:eastAsia="en-US"/>
          <w14:ligatures w14:val="standardContextual"/>
        </w:rPr>
        <w:t xml:space="preserve">pašvaldības </w:t>
      </w:r>
      <w:r w:rsidRPr="00AE6710">
        <w:rPr>
          <w:kern w:val="2"/>
          <w:lang w:eastAsia="en-US"/>
          <w14:ligatures w14:val="standardContextual"/>
        </w:rPr>
        <w:t xml:space="preserve">teritorijās esošās stacijas. Satiksmes ministrijas projekts Stacija 2.0. tiešā veidā </w:t>
      </w:r>
      <w:r w:rsidR="00A007B3">
        <w:rPr>
          <w:kern w:val="2"/>
          <w:lang w:eastAsia="en-US"/>
          <w14:ligatures w14:val="standardContextual"/>
        </w:rPr>
        <w:t>palīdz</w:t>
      </w:r>
      <w:r w:rsidRPr="00AE6710">
        <w:rPr>
          <w:kern w:val="2"/>
          <w:lang w:eastAsia="en-US"/>
          <w14:ligatures w14:val="standardContextual"/>
        </w:rPr>
        <w:t xml:space="preserve"> pašvaldībām šo mērķi sasniegt. </w:t>
      </w:r>
      <w:r w:rsidR="00406033">
        <w:rPr>
          <w:kern w:val="2"/>
          <w:lang w:eastAsia="en-US"/>
          <w14:ligatures w14:val="standardContextual"/>
        </w:rPr>
        <w:t>Ir</w:t>
      </w:r>
      <w:r w:rsidRPr="00AE6710">
        <w:rPr>
          <w:kern w:val="2"/>
          <w:lang w:eastAsia="en-US"/>
          <w14:ligatures w14:val="standardContextual"/>
        </w:rPr>
        <w:t xml:space="preserve"> sākta Rīgas pašvaldības mobilitātes punktu būvniecība dzelzceļa pieturas punktos “Alfa”, “Bērnu slimnīca</w:t>
      </w:r>
      <w:r w:rsidR="48EA12EE">
        <w:rPr>
          <w:kern w:val="2"/>
          <w:lang w:eastAsia="en-US"/>
          <w14:ligatures w14:val="standardContextual"/>
        </w:rPr>
        <w:t>/</w:t>
      </w:r>
      <w:proofErr w:type="spellStart"/>
      <w:r w:rsidR="48EA12EE">
        <w:rPr>
          <w:kern w:val="2"/>
          <w:lang w:eastAsia="en-US"/>
          <w14:ligatures w14:val="standardContextual"/>
        </w:rPr>
        <w:t>Bieriņi</w:t>
      </w:r>
      <w:proofErr w:type="spellEnd"/>
      <w:r w:rsidRPr="00AE6710">
        <w:rPr>
          <w:kern w:val="2"/>
          <w:lang w:eastAsia="en-US"/>
          <w14:ligatures w14:val="standardContextual"/>
        </w:rPr>
        <w:t xml:space="preserve">”, “Slokas iela”, “Brasa”, “Vecdaugava”, “Turība”, “Mangaļi”, “Vecāķi”, “Gaisma”, līdz 2026. gada maijam izveidojot ērtus un drošus savienojuma punktus. Visos mobilitātes punktos paredzēts izveidot drošu un ērtu infrastruktūru gājējiem, velobraucējiem un </w:t>
      </w:r>
      <w:proofErr w:type="spellStart"/>
      <w:r w:rsidRPr="00AE6710">
        <w:rPr>
          <w:kern w:val="2"/>
          <w:lang w:eastAsia="en-US"/>
          <w14:ligatures w14:val="standardContextual"/>
        </w:rPr>
        <w:t>mikromobilitātes</w:t>
      </w:r>
      <w:proofErr w:type="spellEnd"/>
      <w:r w:rsidRPr="00AE6710">
        <w:rPr>
          <w:kern w:val="2"/>
          <w:lang w:eastAsia="en-US"/>
          <w14:ligatures w14:val="standardContextual"/>
        </w:rPr>
        <w:t xml:space="preserve"> rīku lietotājiem, uzlabot satiksmes drošības risinājumus, paredzot izceltās gājēju pārejas un apgaismojumu, segtas </w:t>
      </w:r>
      <w:proofErr w:type="spellStart"/>
      <w:r w:rsidRPr="00AE6710">
        <w:rPr>
          <w:kern w:val="2"/>
          <w:lang w:eastAsia="en-US"/>
          <w14:ligatures w14:val="standardContextual"/>
        </w:rPr>
        <w:t>velonovietnes</w:t>
      </w:r>
      <w:proofErr w:type="spellEnd"/>
      <w:r w:rsidRPr="00AE6710">
        <w:rPr>
          <w:kern w:val="2"/>
          <w:lang w:eastAsia="en-US"/>
          <w14:ligatures w14:val="standardContextual"/>
        </w:rPr>
        <w:t>, kā arī uzlabot pilsētas sabiedriskā transporta saikni ar vilcienu satiksmi. Vietās, kur tas ir iespējams, sabiedriskā transporta pieturvietas izbūvēs maksimāli tuvu dzelzceļa stacijai. Paralēli Rīgas pašvaldība veic būvprojekta izstrādi mobilitātes punktu izbūvei dzelzceļa stacijās “Bolderāja”, “</w:t>
      </w:r>
      <w:proofErr w:type="spellStart"/>
      <w:r w:rsidRPr="00AE6710">
        <w:rPr>
          <w:kern w:val="2"/>
          <w:lang w:eastAsia="en-US"/>
          <w14:ligatures w14:val="standardContextual"/>
        </w:rPr>
        <w:t>Dauderi</w:t>
      </w:r>
      <w:proofErr w:type="spellEnd"/>
      <w:r w:rsidRPr="00AE6710">
        <w:rPr>
          <w:kern w:val="2"/>
          <w:lang w:eastAsia="en-US"/>
          <w14:ligatures w14:val="standardContextual"/>
        </w:rPr>
        <w:t>”, “Sarkandaugava”, “Šķirotava”, “Zemitāni” un “Ziemeļblāzma”. Pēc Ziemeļblāzmas un Šķirotavas mobilitātes punktu izveides plānots, ka tie daļēji varētu tikt noteikti kā atsevišķu reģionālās nozīmes maršrutu galapunkti, kur tālāk nokļūšanai uz centru jāizmanto pilsētas nozīmes maršruti.</w:t>
      </w:r>
    </w:p>
    <w:p w14:paraId="5ABC91E7" w14:textId="73B8B943" w:rsidR="00AE6710" w:rsidRPr="00AE6710" w:rsidRDefault="00817115" w:rsidP="00AE6710">
      <w:pPr>
        <w:ind w:firstLine="709"/>
        <w:jc w:val="both"/>
        <w:rPr>
          <w:rFonts w:eastAsiaTheme="minorHAnsi"/>
          <w:lang w:eastAsia="en-US"/>
        </w:rPr>
      </w:pPr>
      <w:r w:rsidRPr="00AE6710">
        <w:rPr>
          <w:rFonts w:eastAsiaTheme="minorHAnsi"/>
          <w:lang w:eastAsia="en-US"/>
        </w:rPr>
        <w:t xml:space="preserve">Jūrmalas valstspilsēta </w:t>
      </w:r>
      <w:r w:rsidR="003D317C">
        <w:rPr>
          <w:rFonts w:eastAsiaTheme="minorHAnsi"/>
          <w:lang w:eastAsia="en-US"/>
        </w:rPr>
        <w:t>kopš 2023.</w:t>
      </w:r>
      <w:r w:rsidR="003657D9">
        <w:rPr>
          <w:rFonts w:eastAsiaTheme="minorHAnsi"/>
          <w:lang w:eastAsia="en-US"/>
        </w:rPr>
        <w:t xml:space="preserve"> </w:t>
      </w:r>
      <w:r w:rsidR="003D317C">
        <w:rPr>
          <w:rFonts w:eastAsiaTheme="minorHAnsi"/>
          <w:lang w:eastAsia="en-US"/>
        </w:rPr>
        <w:t xml:space="preserve">gada nogales </w:t>
      </w:r>
      <w:r w:rsidR="00AE6710" w:rsidRPr="00AE6710">
        <w:rPr>
          <w:rFonts w:eastAsiaTheme="minorHAnsi"/>
          <w:lang w:eastAsia="en-US"/>
        </w:rPr>
        <w:t>īsteno projekt</w:t>
      </w:r>
      <w:r w:rsidR="00720442">
        <w:rPr>
          <w:rFonts w:eastAsiaTheme="minorHAnsi"/>
          <w:lang w:eastAsia="en-US"/>
        </w:rPr>
        <w:t>u</w:t>
      </w:r>
      <w:r w:rsidR="00AE6710" w:rsidRPr="00AE6710">
        <w:rPr>
          <w:rFonts w:eastAsiaTheme="minorHAnsi"/>
          <w:lang w:eastAsia="en-US"/>
        </w:rPr>
        <w:t xml:space="preserve">, kura ietvarā, veicinot pasažieru mobilitātes nodrošināšanu, </w:t>
      </w:r>
      <w:proofErr w:type="spellStart"/>
      <w:r w:rsidR="00AE6710" w:rsidRPr="00AE6710">
        <w:rPr>
          <w:rFonts w:eastAsiaTheme="minorHAnsi"/>
          <w:lang w:eastAsia="en-US"/>
        </w:rPr>
        <w:t>klimatneitrālu</w:t>
      </w:r>
      <w:proofErr w:type="spellEnd"/>
      <w:r w:rsidR="00AE6710" w:rsidRPr="00AE6710">
        <w:rPr>
          <w:rFonts w:eastAsiaTheme="minorHAnsi"/>
          <w:lang w:eastAsia="en-US"/>
        </w:rPr>
        <w:t xml:space="preserve"> un noturīgu sabiedriskā transporta pakalpojumu piedāvājumu dzelzceļa satiksmē, piešķīra Jūrmalā deklarētajiem iedzīvotājiem, kuri atbilst pašvaldības saistošajos noteikumos</w:t>
      </w:r>
      <w:r w:rsidR="00AE6710" w:rsidRPr="00AE6710">
        <w:rPr>
          <w:rFonts w:eastAsiaTheme="minorHAnsi"/>
          <w:vertAlign w:val="superscript"/>
          <w:lang w:eastAsia="en-US"/>
        </w:rPr>
        <w:footnoteReference w:id="6"/>
      </w:r>
      <w:r w:rsidR="00AE6710" w:rsidRPr="00AE6710">
        <w:rPr>
          <w:rFonts w:eastAsiaTheme="minorHAnsi"/>
          <w:lang w:eastAsia="en-US"/>
        </w:rPr>
        <w:t xml:space="preserve"> noteiktajiem kritērijiem, reģionālās nozīmes dzelzceļa maršrutā “Rīga-Tukums II” posmā “Rīga-Ķemeri” un “Ķemeri-Rīga” divus bezmaksas braucienus dienā. Atbilstoši projekta uzsākšanai no 2023. gada 6. decembra Jūrmalas valstspilsētas pašvaldībai ir pienākums veikt apmaksu par faktiski veikto pasažieru grupas ietvaros nodrošināto braucienu skaitu minētajā reģionālās nozīmes maršruta posmā. Attiecīgi, pamatojoties uz Sabiedriskā transporta padomes 2023. gada 23. oktobra lēmumu Nr. 2 (prot. Nr. 9</w:t>
      </w:r>
      <w:r w:rsidR="003657D9">
        <w:rPr>
          <w:rFonts w:eastAsiaTheme="minorHAnsi"/>
          <w:lang w:eastAsia="en-US"/>
        </w:rPr>
        <w:t xml:space="preserve">, </w:t>
      </w:r>
      <w:r w:rsidR="00674636" w:rsidRPr="00AE6710">
        <w:rPr>
          <w:rFonts w:eastAsiaTheme="minorHAnsi"/>
          <w:lang w:eastAsia="en-US"/>
        </w:rPr>
        <w:t>2</w:t>
      </w:r>
      <w:r w:rsidR="00674636">
        <w:rPr>
          <w:rFonts w:eastAsiaTheme="minorHAnsi"/>
          <w:lang w:eastAsia="en-US"/>
        </w:rPr>
        <w:t>.</w:t>
      </w:r>
      <w:r w:rsidR="00AE6710" w:rsidRPr="00AE6710">
        <w:rPr>
          <w:rFonts w:eastAsiaTheme="minorHAnsi"/>
          <w:lang w:eastAsia="en-US"/>
        </w:rPr>
        <w:t>§), Jūrmalas valstspilsētas iegādātajām biļetēm tiek piemērota braukšanas maksas atlaide 15% apmērā. Jāatzīmē, ka atbilstoši Sabiedriskā transporta padomes 2024. gada 18. decembra sēdē (prot. Nr. 17</w:t>
      </w:r>
      <w:r w:rsidR="003657D9">
        <w:rPr>
          <w:rFonts w:eastAsiaTheme="minorHAnsi"/>
          <w:lang w:eastAsia="en-US"/>
        </w:rPr>
        <w:t xml:space="preserve">, </w:t>
      </w:r>
      <w:r w:rsidR="00674636" w:rsidRPr="00AE6710">
        <w:rPr>
          <w:rFonts w:eastAsiaTheme="minorHAnsi"/>
          <w:lang w:eastAsia="en-US"/>
        </w:rPr>
        <w:t>7</w:t>
      </w:r>
      <w:r w:rsidR="00674636">
        <w:rPr>
          <w:rFonts w:eastAsiaTheme="minorHAnsi"/>
          <w:lang w:eastAsia="en-US"/>
        </w:rPr>
        <w:t>.</w:t>
      </w:r>
      <w:r w:rsidR="00AE6710" w:rsidRPr="00AE6710">
        <w:rPr>
          <w:rFonts w:eastAsiaTheme="minorHAnsi"/>
          <w:lang w:eastAsia="en-US"/>
        </w:rPr>
        <w:t xml:space="preserve">§) nolemtajam, projekts tiek turpināts arī </w:t>
      </w:r>
      <w:r w:rsidR="00EA3F8C" w:rsidRPr="00AE6710">
        <w:rPr>
          <w:rFonts w:eastAsiaTheme="minorHAnsi"/>
          <w:lang w:eastAsia="en-US"/>
        </w:rPr>
        <w:t>202</w:t>
      </w:r>
      <w:r w:rsidR="00EA3F8C">
        <w:rPr>
          <w:rFonts w:eastAsiaTheme="minorHAnsi"/>
          <w:lang w:eastAsia="en-US"/>
        </w:rPr>
        <w:t>6</w:t>
      </w:r>
      <w:r w:rsidR="00AE6710" w:rsidRPr="00AE6710">
        <w:rPr>
          <w:rFonts w:eastAsiaTheme="minorHAnsi"/>
          <w:lang w:eastAsia="en-US"/>
        </w:rPr>
        <w:t>. gadā, palielinot Jūrmalas valstspilsētas iegādātajām biļetēm braukšanas maksas atlaidi 30</w:t>
      </w:r>
      <w:r w:rsidR="003657D9">
        <w:rPr>
          <w:rFonts w:eastAsiaTheme="minorHAnsi"/>
          <w:lang w:eastAsia="en-US"/>
        </w:rPr>
        <w:t xml:space="preserve"> </w:t>
      </w:r>
      <w:r w:rsidR="00AE6710" w:rsidRPr="00AE6710">
        <w:rPr>
          <w:rFonts w:eastAsiaTheme="minorHAnsi"/>
          <w:lang w:eastAsia="en-US"/>
        </w:rPr>
        <w:t>% apmērā</w:t>
      </w:r>
      <w:r w:rsidR="003D317C">
        <w:rPr>
          <w:rFonts w:eastAsiaTheme="minorHAnsi"/>
          <w:lang w:eastAsia="en-US"/>
        </w:rPr>
        <w:t xml:space="preserve">, ievērojot būtisko pasažieru skaita palielināšanos pat Jūrmalas pilsētas ietvarā, </w:t>
      </w:r>
      <w:r w:rsidR="0010482C">
        <w:rPr>
          <w:rFonts w:eastAsiaTheme="minorHAnsi"/>
          <w:lang w:eastAsia="en-US"/>
        </w:rPr>
        <w:t>jo</w:t>
      </w:r>
      <w:r w:rsidR="003D317C">
        <w:rPr>
          <w:rFonts w:eastAsiaTheme="minorHAnsi"/>
          <w:lang w:eastAsia="en-US"/>
        </w:rPr>
        <w:t xml:space="preserve"> pasažieri </w:t>
      </w:r>
      <w:r w:rsidR="0010482C">
        <w:rPr>
          <w:rFonts w:eastAsiaTheme="minorHAnsi"/>
          <w:lang w:eastAsia="en-US"/>
        </w:rPr>
        <w:t>izmanto vilciena satiksmi aizvietojot pilsētas sabiedrisko transportu</w:t>
      </w:r>
      <w:r w:rsidR="00AE6710" w:rsidRPr="00AE6710">
        <w:rPr>
          <w:rFonts w:eastAsiaTheme="minorHAnsi"/>
          <w:lang w:eastAsia="en-US"/>
        </w:rPr>
        <w:t>.</w:t>
      </w:r>
    </w:p>
    <w:p w14:paraId="0F363F6F" w14:textId="3DFE0748" w:rsidR="00AE6710" w:rsidRPr="00AE6710" w:rsidRDefault="00C21E69" w:rsidP="001119E4">
      <w:pPr>
        <w:ind w:firstLine="709"/>
        <w:jc w:val="both"/>
        <w:rPr>
          <w:rFonts w:eastAsiaTheme="minorHAnsi"/>
          <w:lang w:eastAsia="en-US"/>
        </w:rPr>
      </w:pPr>
      <w:r>
        <w:rPr>
          <w:rFonts w:eastAsiaTheme="minorHAnsi"/>
          <w:lang w:eastAsia="en-US"/>
        </w:rPr>
        <w:t>Saskaņā ar šo</w:t>
      </w:r>
      <w:r w:rsidR="00AB26FD">
        <w:rPr>
          <w:rFonts w:eastAsiaTheme="minorHAnsi"/>
          <w:lang w:eastAsia="en-US"/>
        </w:rPr>
        <w:t xml:space="preserve"> Jūrmalas valstspilsētas iniciatīvu</w:t>
      </w:r>
      <w:r w:rsidR="00AE6710" w:rsidRPr="00AE6710">
        <w:rPr>
          <w:rFonts w:eastAsiaTheme="minorHAnsi"/>
          <w:lang w:eastAsia="en-US"/>
        </w:rPr>
        <w:t xml:space="preserve"> kopējais pasažieru skaita pieaugums reģionālās nozīmes dzelzceļa maršrutā “Rīga-Tukums II” posmā “Rīga-Ķemeri” un “Ķemeri-Rīga” 2024. gadā, salīdzinot ar 2023. gadu, ir palielinājies par 33 %. Kā viens no pasažieru skaita pieauguma iemesliem minams tieši Jūrmalas valstspilsētas iniciētais atbalsts Jūrmalas deklarētajiem iedzīvotājiem, kur cita starpā novērojams pasažieru skaita samazinājums reģionālās nozīmes autobusu satiksmē vismaz par 22</w:t>
      </w:r>
      <w:r w:rsidR="003657D9">
        <w:rPr>
          <w:rFonts w:eastAsiaTheme="minorHAnsi"/>
          <w:lang w:eastAsia="en-US"/>
        </w:rPr>
        <w:t xml:space="preserve"> </w:t>
      </w:r>
      <w:r w:rsidR="00AE6710" w:rsidRPr="00AE6710">
        <w:rPr>
          <w:rFonts w:eastAsiaTheme="minorHAnsi"/>
          <w:lang w:eastAsia="en-US"/>
        </w:rPr>
        <w:t>%, kā arī Jūrmalas pilsētas satiksmē – 7,9%. Tāpat pasažieru skaita pieaugumu Jūrmalas virzienā organizētajos vilcienu pārvadājumos var pamatot arī ar vilcienu satiksmē palielināto intensitāti sakarā ar intervāla grafika ieviešanu un jauno elektrovilcienu iesaisti, kas būtiski palielinājis sabiedriskā transporta pakalpojuma kvalitāti.</w:t>
      </w:r>
      <w:r w:rsidR="001119E4">
        <w:rPr>
          <w:rFonts w:eastAsiaTheme="minorHAnsi"/>
          <w:lang w:eastAsia="en-US"/>
        </w:rPr>
        <w:t xml:space="preserve"> Maksas iebraukšanai Jūrmalā ar auto palielinājums pēc būtības neietekmē Jūrmalas </w:t>
      </w:r>
      <w:r w:rsidR="001119E4">
        <w:rPr>
          <w:rFonts w:eastAsiaTheme="minorHAnsi"/>
          <w:lang w:eastAsia="en-US"/>
        </w:rPr>
        <w:lastRenderedPageBreak/>
        <w:t>iedzīvotājus,</w:t>
      </w:r>
      <w:r w:rsidR="00315790">
        <w:rPr>
          <w:rFonts w:eastAsiaTheme="minorHAnsi"/>
          <w:lang w:eastAsia="en-US"/>
        </w:rPr>
        <w:t xml:space="preserve"> līdz ar to nav sagaidāma būtiska ietekme uz pasažieru plūsmu sabiedriskajā transportā.</w:t>
      </w:r>
    </w:p>
    <w:p w14:paraId="2F2C4A1C" w14:textId="77777777" w:rsidR="00AE6710" w:rsidRPr="00AE6710" w:rsidRDefault="00AE6710" w:rsidP="00AE6710">
      <w:pPr>
        <w:ind w:firstLine="709"/>
        <w:jc w:val="both"/>
        <w:rPr>
          <w:rFonts w:eastAsiaTheme="minorHAnsi"/>
          <w:lang w:eastAsia="en-US"/>
        </w:rPr>
      </w:pPr>
      <w:r w:rsidRPr="00AE6710">
        <w:rPr>
          <w:rFonts w:eastAsiaTheme="minorHAnsi"/>
          <w:lang w:eastAsia="en-US"/>
        </w:rPr>
        <w:t>No minētā ir secināms</w:t>
      </w:r>
      <w:bookmarkStart w:id="5" w:name="_Hlk218596161"/>
      <w:r w:rsidRPr="00AE6710">
        <w:rPr>
          <w:rFonts w:eastAsiaTheme="minorHAnsi"/>
          <w:lang w:eastAsia="en-US"/>
        </w:rPr>
        <w:t>, ka, palielinot sabiedriskā transporta pakalpojumu kvalitāti, intensitāti, vienlaikus arī pieskaņojot kustības grafiku iedzīvotāju interesēm un pilsētas satiksmei, ir iespējams piesaistīt jaunus pasažierus sabiedriskā transporta sistēmai.</w:t>
      </w:r>
      <w:bookmarkEnd w:id="5"/>
      <w:r w:rsidRPr="00AE6710">
        <w:rPr>
          <w:rFonts w:eastAsiaTheme="minorHAnsi"/>
          <w:lang w:eastAsia="en-US"/>
        </w:rPr>
        <w:t xml:space="preserve"> Tāpat ir augsti vērtējama pašvaldību iesaiste sabiedriskā transporta pakalpojumu izmantošanas veicināšanā, optimizējot sabiedriskā transporta un citu pārvietošanās veidu kustību. </w:t>
      </w:r>
    </w:p>
    <w:p w14:paraId="5123E445" w14:textId="77777777" w:rsidR="00AE6710" w:rsidRPr="00AE6710" w:rsidRDefault="00AE6710" w:rsidP="00AE6710">
      <w:pPr>
        <w:ind w:firstLine="709"/>
        <w:contextualSpacing/>
        <w:jc w:val="both"/>
        <w:rPr>
          <w:kern w:val="2"/>
          <w:lang w:eastAsia="en-US"/>
          <w14:ligatures w14:val="standardContextual"/>
        </w:rPr>
      </w:pPr>
    </w:p>
    <w:p w14:paraId="68F90B92" w14:textId="70866D03" w:rsidR="00AE6710" w:rsidRPr="00AE6710" w:rsidRDefault="00AE6710" w:rsidP="00AE6710">
      <w:pPr>
        <w:ind w:firstLine="709"/>
        <w:jc w:val="both"/>
        <w:rPr>
          <w:rFonts w:eastAsiaTheme="minorHAnsi"/>
          <w:lang w:eastAsia="en-US"/>
        </w:rPr>
      </w:pPr>
      <w:r w:rsidRPr="00AE6710">
        <w:rPr>
          <w:rFonts w:eastAsiaTheme="minorHAnsi"/>
          <w:b/>
          <w:lang w:eastAsia="en-US"/>
        </w:rPr>
        <w:t>Braukšanas maksas (tarifu) reforma.</w:t>
      </w:r>
      <w:r w:rsidRPr="00AE6710">
        <w:rPr>
          <w:rFonts w:eastAsiaTheme="minorHAnsi"/>
          <w:bCs/>
          <w:lang w:eastAsia="en-US"/>
        </w:rPr>
        <w:t xml:space="preserve"> Sabiedriskā transporta padome 2023. gada</w:t>
      </w:r>
      <w:r w:rsidRPr="00AE6710">
        <w:rPr>
          <w:rFonts w:eastAsiaTheme="minorHAnsi"/>
          <w:lang w:eastAsia="en-US"/>
        </w:rPr>
        <w:t xml:space="preserve"> 14.</w:t>
      </w:r>
      <w:r w:rsidR="00BA5C2F">
        <w:rPr>
          <w:rFonts w:eastAsiaTheme="minorHAnsi"/>
          <w:lang w:eastAsia="en-US"/>
        </w:rPr>
        <w:t> </w:t>
      </w:r>
      <w:r w:rsidRPr="00AE6710">
        <w:rPr>
          <w:rFonts w:eastAsiaTheme="minorHAnsi"/>
          <w:lang w:eastAsia="en-US"/>
        </w:rPr>
        <w:t>decembra sēdē (prot. Nr. 12, 5. §) pieņēma lēmumu “Par braukšanas maksas (tarifu) un biļešu veidu izmaiņām reģionālās nozīmes dotētajos maršrutos”. Braukšanas maksas (tarifa) izmaiņas reģionālās nozīmes maršrutos stājās spēkā no 2024. gada 1. aprīļa. Vienlaikus ar braukšanas maksas (tarifu) izmaiņām tika pārskatīta biļešu politika, piedāvājot atlaides regulārajiem pasažieriem, proti abonementa biļetes. No datiem secināms, ka izmaiņas braukšanas biļešu piedāvājumā ir bijušas saistošas pasažieriem, jo abonementu biļešu</w:t>
      </w:r>
      <w:r w:rsidRPr="00AE6710">
        <w:rPr>
          <w:rFonts w:eastAsiaTheme="minorHAnsi"/>
          <w:vertAlign w:val="superscript"/>
          <w:lang w:eastAsia="en-US"/>
        </w:rPr>
        <w:footnoteReference w:id="7"/>
      </w:r>
      <w:r w:rsidRPr="00AE6710">
        <w:rPr>
          <w:rFonts w:eastAsiaTheme="minorHAnsi"/>
          <w:lang w:eastAsia="en-US"/>
        </w:rPr>
        <w:t xml:space="preserve"> izmantošanas pieaugums 2024. gadā, salīdzinot ar 2023. gadu, ir bijis 46 %. Vienlaikus konstatējams, ka piedāvātie biļešu veidi regulāro pasažieru piesaistei ir snieguši atbilstošus ieguvumus kā pasažieriem, tā arī sabiedriskā transporta pakalpojuma izmantošanai, vienlaikus radot arī biļešu ieņēmumu pieaugumu. </w:t>
      </w:r>
    </w:p>
    <w:p w14:paraId="353DDE72" w14:textId="63EE601C" w:rsidR="00AE6710" w:rsidRPr="00AE6710" w:rsidRDefault="00AE6710" w:rsidP="00AE6710">
      <w:pPr>
        <w:ind w:firstLine="709"/>
        <w:jc w:val="both"/>
        <w:rPr>
          <w:rFonts w:eastAsiaTheme="minorHAnsi"/>
          <w:lang w:eastAsia="en-US"/>
        </w:rPr>
      </w:pPr>
      <w:r w:rsidRPr="00AE6710">
        <w:rPr>
          <w:rFonts w:eastAsiaTheme="minorHAnsi"/>
          <w:lang w:eastAsia="en-US"/>
        </w:rPr>
        <w:t xml:space="preserve">Atbilstoši ieviestajām braukšanas maksas (tarifu) un biļešu veidu izmaiņām no 2024. gada 1. aprīļa, konstatējama pozitīva tendence sabiedriskā transporta pakalpojumos gūtajiem ieņēmumiem. Kaut arī braukšanas maksas (tarifu) palielinājums atsevišķos gadījumos ir ietekmējis (samazinājis) pārvadāto pasažieru skaitu, tomēr kopumā sabiedriskā transporta pakalpojumu kvalitātes un intensitātes uzlabojumi ir palielinājuši pasažieru skaitu un veicinājuši pasažieru pārdali starp pārvadājumu veidiem, iespējams, piesaistot arī jaunus sabiedriskā transporta pakalpojumu lietotājus. Kopumā papildus no braukšanas maksas (tarifa) izmaiņām nepilnā gadā (9 mēnešos) gūti 5,75 milj. </w:t>
      </w:r>
      <w:proofErr w:type="spellStart"/>
      <w:r w:rsidR="00274DA5">
        <w:rPr>
          <w:rFonts w:eastAsiaTheme="minorHAnsi"/>
          <w:i/>
          <w:iCs/>
          <w:lang w:eastAsia="en-US"/>
        </w:rPr>
        <w:t>eur</w:t>
      </w:r>
      <w:r w:rsidRPr="00AE6710">
        <w:rPr>
          <w:rFonts w:eastAsiaTheme="minorHAnsi"/>
          <w:i/>
          <w:iCs/>
          <w:lang w:eastAsia="en-US"/>
        </w:rPr>
        <w:t>o</w:t>
      </w:r>
      <w:proofErr w:type="spellEnd"/>
      <w:r w:rsidRPr="00AE6710">
        <w:rPr>
          <w:rFonts w:eastAsiaTheme="minorHAnsi"/>
          <w:lang w:eastAsia="en-US"/>
        </w:rPr>
        <w:t>, mazinot kopējo no valsts budžeta nepieciešamo kompensācijas apmēru.</w:t>
      </w:r>
    </w:p>
    <w:p w14:paraId="218B7F4D" w14:textId="6BB00BB3" w:rsidR="00AE6710" w:rsidRPr="00AE6710" w:rsidRDefault="00AE6710" w:rsidP="00AE6710">
      <w:pPr>
        <w:ind w:firstLine="709"/>
        <w:jc w:val="both"/>
        <w:rPr>
          <w:rFonts w:eastAsiaTheme="minorHAnsi"/>
          <w:lang w:eastAsia="en-US"/>
        </w:rPr>
      </w:pPr>
      <w:r w:rsidRPr="00AE6710">
        <w:rPr>
          <w:rFonts w:eastAsiaTheme="minorHAnsi"/>
          <w:lang w:eastAsia="en-US"/>
        </w:rPr>
        <w:t xml:space="preserve">Analizējot pārvadāto pasažieru skaita rādītājus pēdējos gados, ir secināms, ka pēc pandēmijas periodā reģionālajos pasažieru pārvadājumos ir novērojams neliels, bet stabils pasažieru skaita pieaugums, piemēram, 2023. gadā tika pārvadāti par 5,9% vairāk pasažieru nekā 2022. gadā, 2024. gadā – par 3,5% vairāk nekā 2023. gadā, 2025.gada desmit mēnešos salīdzinājumā ar 2024.gada analogu periodu pasažieru skaits turpina pieaug </w:t>
      </w:r>
      <w:r w:rsidR="00C0138B">
        <w:rPr>
          <w:rFonts w:eastAsiaTheme="minorHAnsi"/>
          <w:lang w:eastAsia="en-US"/>
        </w:rPr>
        <w:t>un palielinājums ir</w:t>
      </w:r>
      <w:r w:rsidRPr="00AE6710">
        <w:rPr>
          <w:rFonts w:eastAsiaTheme="minorHAnsi"/>
          <w:lang w:eastAsia="en-US"/>
        </w:rPr>
        <w:t xml:space="preserve"> 2%. Atšķirīgas ir pasažieru skaita izmaiņas pa pārvadājumu veidiem</w:t>
      </w:r>
      <w:r w:rsidR="00C0138B">
        <w:rPr>
          <w:rFonts w:eastAsiaTheme="minorHAnsi"/>
          <w:lang w:eastAsia="en-US"/>
        </w:rPr>
        <w:t>.</w:t>
      </w:r>
      <w:r w:rsidRPr="00AE6710">
        <w:rPr>
          <w:rFonts w:eastAsiaTheme="minorHAnsi"/>
          <w:lang w:eastAsia="en-US"/>
        </w:rPr>
        <w:t xml:space="preserve"> </w:t>
      </w:r>
      <w:r w:rsidR="00C0138B">
        <w:rPr>
          <w:rFonts w:eastAsiaTheme="minorHAnsi"/>
          <w:lang w:eastAsia="en-US"/>
        </w:rPr>
        <w:t>V</w:t>
      </w:r>
      <w:r w:rsidRPr="00AE6710">
        <w:rPr>
          <w:rFonts w:eastAsiaTheme="minorHAnsi"/>
          <w:lang w:eastAsia="en-US"/>
        </w:rPr>
        <w:t xml:space="preserve">ilcienu satiksmē pārvadāto pasažieru skaits 2024. gadā ir piedzīvojis strauju pieaugumu – par 13,9% jeb 2,38 miljoniem, salīdzinot ar 2023. gadu, bet reģionālās nozīmes dotētajos pārvadājumos ar autobusiem pasažieru skaits 2024. gadā samazinājās par 4,3% jeb 978,95 tūkstošiem, salīdzinājumā ar iepriekšējo gadu. Šādas pašas tendences saglabājas arī 2025.gadā, kur pirmajos desmit mēnešos vilcienu satiksmē pasažieru skaits salīdzinājumā </w:t>
      </w:r>
      <w:r w:rsidR="00750C78">
        <w:rPr>
          <w:rFonts w:eastAsiaTheme="minorHAnsi"/>
          <w:lang w:eastAsia="en-US"/>
        </w:rPr>
        <w:t xml:space="preserve">ar </w:t>
      </w:r>
      <w:r w:rsidRPr="00AE6710">
        <w:rPr>
          <w:rFonts w:eastAsiaTheme="minorHAnsi"/>
          <w:lang w:eastAsia="en-US"/>
        </w:rPr>
        <w:t xml:space="preserve">2024.gada to pašu periodu – audzis par 11%, bet reģionālās nozīmes dotētajos pārvadājumos ar autobusiem – samazinājies par 5%. Samazinājuma iemesli autobusos skaidrojami ar vilcienu satiksmes intensitātes </w:t>
      </w:r>
      <w:r w:rsidRPr="00AE6710">
        <w:rPr>
          <w:rFonts w:eastAsiaTheme="minorHAnsi"/>
          <w:lang w:eastAsia="en-US"/>
        </w:rPr>
        <w:lastRenderedPageBreak/>
        <w:t>palielinājumu, līdz ar to tie iedzīvotāji, kuriem ir pieejami dzelzceļa pārvadājumi (sevišķi elektrificētajā zonā), ir sākuši vairāk izmantot vilcienu satiksmi. Savukārt, otrs iemesls pasažieru skaita samazinājumam autobusu pārvadājumos</w:t>
      </w:r>
      <w:r w:rsidR="004222B8">
        <w:rPr>
          <w:rFonts w:eastAsiaTheme="minorHAnsi"/>
          <w:lang w:eastAsia="en-US"/>
        </w:rPr>
        <w:t>,</w:t>
      </w:r>
      <w:r w:rsidRPr="00AE6710">
        <w:rPr>
          <w:rFonts w:eastAsiaTheme="minorHAnsi"/>
          <w:lang w:eastAsia="en-US"/>
        </w:rPr>
        <w:t xml:space="preserve"> ir dotētā maršrutu tīkla samazināšana, slēdzot atsevišķus reisus. Līdz ar to var secināt, ka tieši autobusu satiksmē pieprasījums pēc pakalpojumiem ir mazinājies, paplašinot maršrutu tīklu citos pārvadājumos (t.sk. </w:t>
      </w:r>
      <w:proofErr w:type="spellStart"/>
      <w:r w:rsidRPr="00AE6710">
        <w:rPr>
          <w:rFonts w:eastAsiaTheme="minorHAnsi"/>
          <w:lang w:eastAsia="en-US"/>
        </w:rPr>
        <w:t>komercmaršrutos</w:t>
      </w:r>
      <w:proofErr w:type="spellEnd"/>
      <w:r w:rsidRPr="00AE6710">
        <w:rPr>
          <w:rFonts w:eastAsiaTheme="minorHAnsi"/>
          <w:lang w:eastAsia="en-US"/>
        </w:rPr>
        <w:t>), nodrošinot arī augstāku pakalpojuma komfortu un kvalitāti. Tomēr vienlaikus, mazinoties pasažieru skaitam reģionālās nozīmes dotētos pārvadājumos ar autobusiem, palielinās arī no valsts budžeta kompensācijas apmērs, sakarā ar ieņēmumu kritumu.</w:t>
      </w:r>
    </w:p>
    <w:p w14:paraId="238587F2" w14:textId="587CC767" w:rsidR="00AE6710" w:rsidRPr="00AE6710" w:rsidRDefault="00406033" w:rsidP="00AE6710">
      <w:pPr>
        <w:ind w:firstLine="709"/>
        <w:jc w:val="both"/>
        <w:rPr>
          <w:rFonts w:eastAsiaTheme="minorHAnsi"/>
          <w:lang w:eastAsia="en-US"/>
        </w:rPr>
      </w:pPr>
      <w:r>
        <w:rPr>
          <w:rFonts w:eastAsiaTheme="minorEastAsia"/>
          <w:lang w:eastAsia="en-US"/>
        </w:rPr>
        <w:t>N</w:t>
      </w:r>
      <w:r w:rsidR="4CC13D2B" w:rsidRPr="7F9BBCD6">
        <w:rPr>
          <w:rFonts w:eastAsiaTheme="minorEastAsia"/>
          <w:lang w:eastAsia="en-US"/>
        </w:rPr>
        <w:t>o 2026.</w:t>
      </w:r>
      <w:r>
        <w:rPr>
          <w:rFonts w:eastAsiaTheme="minorEastAsia"/>
          <w:lang w:eastAsia="en-US"/>
        </w:rPr>
        <w:t xml:space="preserve"> </w:t>
      </w:r>
      <w:r w:rsidR="4CC13D2B" w:rsidRPr="7F9BBCD6">
        <w:rPr>
          <w:rFonts w:eastAsiaTheme="minorEastAsia"/>
          <w:lang w:eastAsia="en-US"/>
        </w:rPr>
        <w:t>gada 15.</w:t>
      </w:r>
      <w:r>
        <w:rPr>
          <w:rFonts w:eastAsiaTheme="minorEastAsia"/>
          <w:lang w:eastAsia="en-US"/>
        </w:rPr>
        <w:t xml:space="preserve"> </w:t>
      </w:r>
      <w:r w:rsidR="4CC13D2B" w:rsidRPr="7F9BBCD6">
        <w:rPr>
          <w:rFonts w:eastAsiaTheme="minorEastAsia"/>
          <w:lang w:eastAsia="en-US"/>
        </w:rPr>
        <w:t>janvāra</w:t>
      </w:r>
      <w:r w:rsidR="176861E4" w:rsidRPr="7F9BBCD6">
        <w:rPr>
          <w:rFonts w:eastAsiaTheme="minorEastAsia"/>
          <w:lang w:eastAsia="en-US"/>
        </w:rPr>
        <w:t>,</w:t>
      </w:r>
      <w:r w:rsidR="4CC13D2B" w:rsidRPr="7F9BBCD6">
        <w:rPr>
          <w:rFonts w:eastAsiaTheme="minorEastAsia"/>
          <w:lang w:eastAsia="en-US"/>
        </w:rPr>
        <w:t xml:space="preserve"> saskaņā ar Sabiedriskā transporta padomes 2025. gada 4.</w:t>
      </w:r>
      <w:r>
        <w:rPr>
          <w:rFonts w:eastAsiaTheme="minorEastAsia"/>
          <w:lang w:eastAsia="en-US"/>
        </w:rPr>
        <w:t xml:space="preserve"> </w:t>
      </w:r>
      <w:r w:rsidR="4CC13D2B" w:rsidRPr="7F9BBCD6">
        <w:rPr>
          <w:rFonts w:eastAsiaTheme="minorEastAsia"/>
          <w:lang w:eastAsia="en-US"/>
        </w:rPr>
        <w:t>septembra sēdē (prot. Nr. 14</w:t>
      </w:r>
      <w:r w:rsidR="12942D3C" w:rsidRPr="7F9BBCD6">
        <w:rPr>
          <w:rFonts w:eastAsiaTheme="minorEastAsia"/>
          <w:lang w:eastAsia="en-US"/>
        </w:rPr>
        <w:t>, 4.</w:t>
      </w:r>
      <w:r w:rsidR="4CC13D2B" w:rsidRPr="7F9BBCD6">
        <w:rPr>
          <w:rFonts w:eastAsiaTheme="minorEastAsia"/>
          <w:lang w:eastAsia="en-US"/>
        </w:rPr>
        <w:t xml:space="preserve">§) nolemto, plānots palielināt braukšanas maksu (tarifu), lai kompensētu pakalpojumu sniegšanā pieaugošās izmaksas un mazinātu no valsts budžeta izdevumus pārvadātāju kompensācijām. </w:t>
      </w:r>
      <w:r w:rsidR="00D74277" w:rsidRPr="0016393D">
        <w:rPr>
          <w:rFonts w:eastAsiaTheme="minorEastAsia"/>
          <w:lang w:eastAsia="en-US"/>
        </w:rPr>
        <w:t xml:space="preserve">Braukšanas maksas (tarifa) palielinājums bija nepieciešams, jo </w:t>
      </w:r>
      <w:r w:rsidR="00EA3F8C" w:rsidRPr="003136F0">
        <w:rPr>
          <w:rFonts w:eastAsiaTheme="minorEastAsia"/>
          <w:lang w:eastAsia="en-US"/>
        </w:rPr>
        <w:t xml:space="preserve">izdevumi sabiedriskā transporta pakalpojuma nodrošināšanai pieaug, sk. papildu informāciju sadaļā “Sabiedriskā transporta pakalpojumu izdevumi”. Papildus jāmin, ka arī </w:t>
      </w:r>
      <w:r w:rsidR="00D74277" w:rsidRPr="0016393D">
        <w:rPr>
          <w:rFonts w:eastAsiaTheme="minorEastAsia"/>
          <w:lang w:eastAsia="en-US"/>
        </w:rPr>
        <w:t>s</w:t>
      </w:r>
      <w:r w:rsidR="4CC13D2B" w:rsidRPr="0016393D">
        <w:rPr>
          <w:rFonts w:eastAsiaTheme="minorEastAsia"/>
          <w:lang w:eastAsia="en-US"/>
        </w:rPr>
        <w:t>askaņā ar Centrālās statistikas pārvaldes datiem</w:t>
      </w:r>
      <w:r w:rsidR="176861E4" w:rsidRPr="0016393D">
        <w:rPr>
          <w:rFonts w:eastAsiaTheme="minorEastAsia"/>
          <w:lang w:eastAsia="en-US"/>
        </w:rPr>
        <w:t>,</w:t>
      </w:r>
      <w:r w:rsidR="4CC13D2B" w:rsidRPr="0016393D">
        <w:rPr>
          <w:rFonts w:eastAsiaTheme="minorEastAsia"/>
          <w:lang w:eastAsia="en-US"/>
        </w:rPr>
        <w:t xml:space="preserve"> strādājošo vidējā darba samaksa (neto)</w:t>
      </w:r>
      <w:r w:rsidR="00D74277" w:rsidRPr="0016393D">
        <w:rPr>
          <w:rFonts w:eastAsiaTheme="minorEastAsia"/>
          <w:lang w:eastAsia="en-US"/>
        </w:rPr>
        <w:t>, salīdzinot 2024.gada datus ar 2023.gadu,</w:t>
      </w:r>
      <w:r w:rsidR="4CC13D2B" w:rsidRPr="0016393D">
        <w:rPr>
          <w:rFonts w:eastAsiaTheme="minorEastAsia"/>
          <w:lang w:eastAsia="en-US"/>
        </w:rPr>
        <w:t xml:space="preserve"> ir pieaugusi par 9,</w:t>
      </w:r>
      <w:r w:rsidR="00D74277" w:rsidRPr="0016393D">
        <w:rPr>
          <w:rFonts w:eastAsiaTheme="minorEastAsia"/>
          <w:lang w:eastAsia="en-US"/>
        </w:rPr>
        <w:t xml:space="preserve">1 </w:t>
      </w:r>
      <w:r w:rsidR="4CC13D2B" w:rsidRPr="0016393D">
        <w:rPr>
          <w:rFonts w:eastAsiaTheme="minorEastAsia"/>
          <w:lang w:eastAsia="en-US"/>
        </w:rPr>
        <w:t>%</w:t>
      </w:r>
      <w:r w:rsidR="00AE6710" w:rsidRPr="0016393D">
        <w:rPr>
          <w:rFonts w:eastAsiaTheme="minorEastAsia"/>
          <w:vertAlign w:val="superscript"/>
          <w:lang w:eastAsia="en-US"/>
        </w:rPr>
        <w:footnoteReference w:id="8"/>
      </w:r>
      <w:r w:rsidR="4CC13D2B" w:rsidRPr="0016393D">
        <w:rPr>
          <w:rFonts w:eastAsiaTheme="minorEastAsia"/>
          <w:lang w:eastAsia="en-US"/>
        </w:rPr>
        <w:t>, kā arī patēriņa cenu izmaiņas (inflācija) ir bijusi 1,3</w:t>
      </w:r>
      <w:r w:rsidR="12942D3C" w:rsidRPr="0016393D">
        <w:rPr>
          <w:rFonts w:eastAsiaTheme="minorEastAsia"/>
          <w:lang w:eastAsia="en-US"/>
        </w:rPr>
        <w:t xml:space="preserve"> </w:t>
      </w:r>
      <w:r w:rsidR="4CC13D2B" w:rsidRPr="0016393D">
        <w:rPr>
          <w:rFonts w:eastAsiaTheme="minorEastAsia"/>
          <w:lang w:eastAsia="en-US"/>
        </w:rPr>
        <w:t>%</w:t>
      </w:r>
      <w:r w:rsidR="00AE6710" w:rsidRPr="0016393D">
        <w:rPr>
          <w:rFonts w:eastAsiaTheme="minorEastAsia"/>
          <w:vertAlign w:val="superscript"/>
          <w:lang w:eastAsia="en-US"/>
        </w:rPr>
        <w:footnoteReference w:id="9"/>
      </w:r>
      <w:r w:rsidR="4CC13D2B" w:rsidRPr="0016393D">
        <w:rPr>
          <w:rFonts w:eastAsiaTheme="minorEastAsia"/>
          <w:lang w:eastAsia="en-US"/>
        </w:rPr>
        <w:t>. Ņemot vērā šos rādītājus</w:t>
      </w:r>
      <w:r w:rsidR="4CC13D2B" w:rsidRPr="7F9BBCD6">
        <w:rPr>
          <w:rFonts w:eastAsiaTheme="minorEastAsia"/>
          <w:lang w:eastAsia="en-US"/>
        </w:rPr>
        <w:t xml:space="preserve"> un reālo pirktspēju (9,</w:t>
      </w:r>
      <w:r w:rsidR="00D74277">
        <w:rPr>
          <w:rFonts w:eastAsiaTheme="minorEastAsia"/>
          <w:lang w:eastAsia="en-US"/>
        </w:rPr>
        <w:t>1</w:t>
      </w:r>
      <w:r w:rsidR="4CC13D2B" w:rsidRPr="7F9BBCD6">
        <w:rPr>
          <w:rFonts w:eastAsiaTheme="minorEastAsia"/>
          <w:lang w:eastAsia="en-US"/>
        </w:rPr>
        <w:t>%-1,3%=</w:t>
      </w:r>
      <w:r w:rsidR="00D74277">
        <w:rPr>
          <w:rFonts w:eastAsiaTheme="minorEastAsia"/>
          <w:lang w:eastAsia="en-US"/>
        </w:rPr>
        <w:t>7,8</w:t>
      </w:r>
      <w:r w:rsidR="4CC13D2B" w:rsidRPr="7F9BBCD6">
        <w:rPr>
          <w:rFonts w:eastAsiaTheme="minorEastAsia"/>
          <w:lang w:eastAsia="en-US"/>
        </w:rPr>
        <w:t xml:space="preserve">%), braukšanas maksas (tarifa) uz kilometru palielinājums 6-7% robežās, </w:t>
      </w:r>
      <w:r w:rsidR="30FCF7EF" w:rsidRPr="7F9BBCD6">
        <w:rPr>
          <w:rFonts w:eastAsiaTheme="minorEastAsia"/>
          <w:lang w:eastAsia="en-US"/>
        </w:rPr>
        <w:t xml:space="preserve">tarifu korekcija </w:t>
      </w:r>
      <w:r w:rsidR="6F7091CA" w:rsidRPr="7F9BBCD6">
        <w:rPr>
          <w:rFonts w:eastAsiaTheme="minorEastAsia"/>
          <w:lang w:eastAsia="en-US"/>
        </w:rPr>
        <w:t xml:space="preserve">ir </w:t>
      </w:r>
      <w:r w:rsidR="4CC13D2B" w:rsidRPr="7F9BBCD6">
        <w:rPr>
          <w:rFonts w:eastAsiaTheme="minorEastAsia"/>
          <w:lang w:eastAsia="en-US"/>
        </w:rPr>
        <w:t>sabalansēt</w:t>
      </w:r>
      <w:r w:rsidR="473E1B51" w:rsidRPr="7F9BBCD6">
        <w:rPr>
          <w:rFonts w:eastAsiaTheme="minorEastAsia"/>
          <w:lang w:eastAsia="en-US"/>
        </w:rPr>
        <w:t>a</w:t>
      </w:r>
      <w:r w:rsidR="4CC13D2B" w:rsidRPr="7F9BBCD6">
        <w:rPr>
          <w:rFonts w:eastAsiaTheme="minorEastAsia"/>
          <w:lang w:eastAsia="en-US"/>
        </w:rPr>
        <w:t xml:space="preserve"> </w:t>
      </w:r>
      <w:r w:rsidR="50A185CE" w:rsidRPr="7F9BBCD6">
        <w:rPr>
          <w:rFonts w:eastAsiaTheme="minorEastAsia"/>
          <w:lang w:eastAsia="en-US"/>
        </w:rPr>
        <w:t>ar vidējo neto algu un inflāciju</w:t>
      </w:r>
      <w:r w:rsidR="2F58E32D" w:rsidRPr="7F9BBCD6">
        <w:rPr>
          <w:rFonts w:eastAsiaTheme="minorEastAsia"/>
          <w:lang w:eastAsia="en-US"/>
        </w:rPr>
        <w:t xml:space="preserve">. </w:t>
      </w:r>
      <w:r w:rsidR="00AE6710" w:rsidRPr="00AE6710">
        <w:rPr>
          <w:rFonts w:eastAsiaTheme="minorHAnsi"/>
          <w:lang w:eastAsia="en-US"/>
        </w:rPr>
        <w:t xml:space="preserve">Pēc patreizējām aplēsēm plānots, ka reģionālās nozīmes pārvadājumos ar autobusiem 2026. gadā papildus ieņēmumi varētu veidoties aptuveni 2,98 milj. </w:t>
      </w:r>
      <w:proofErr w:type="spellStart"/>
      <w:r w:rsidR="0053358A" w:rsidRPr="0053358A">
        <w:rPr>
          <w:rFonts w:eastAsiaTheme="minorHAnsi"/>
          <w:i/>
          <w:iCs/>
          <w:lang w:eastAsia="en-US"/>
        </w:rPr>
        <w:t>euro</w:t>
      </w:r>
      <w:proofErr w:type="spellEnd"/>
      <w:r w:rsidR="0053358A">
        <w:rPr>
          <w:rFonts w:eastAsiaTheme="minorHAnsi"/>
          <w:i/>
          <w:iCs/>
          <w:lang w:eastAsia="en-US"/>
        </w:rPr>
        <w:t xml:space="preserve"> </w:t>
      </w:r>
      <w:r w:rsidR="0053358A">
        <w:rPr>
          <w:rFonts w:eastAsiaTheme="minorHAnsi"/>
          <w:lang w:eastAsia="en-US"/>
        </w:rPr>
        <w:t>apmērā</w:t>
      </w:r>
      <w:r w:rsidR="00AE6710" w:rsidRPr="00AE6710">
        <w:rPr>
          <w:rFonts w:eastAsiaTheme="minorHAnsi"/>
          <w:lang w:eastAsia="en-US"/>
        </w:rPr>
        <w:t xml:space="preserve">, savukārt vilcienu pārvadājumos, ieņēmumu palielinājums aptuveni 2,69 milj. </w:t>
      </w:r>
      <w:proofErr w:type="spellStart"/>
      <w:r w:rsidR="00855DB0" w:rsidRPr="00855DB0">
        <w:rPr>
          <w:rFonts w:eastAsiaTheme="minorHAnsi"/>
          <w:i/>
          <w:iCs/>
          <w:lang w:eastAsia="en-US"/>
        </w:rPr>
        <w:t>euro</w:t>
      </w:r>
      <w:proofErr w:type="spellEnd"/>
      <w:r w:rsidR="00AE6710" w:rsidRPr="00AE6710">
        <w:rPr>
          <w:rFonts w:eastAsiaTheme="minorHAnsi"/>
          <w:lang w:eastAsia="en-US"/>
        </w:rPr>
        <w:t xml:space="preserve">, kopā aptuveni 5,67 milj. </w:t>
      </w:r>
      <w:proofErr w:type="spellStart"/>
      <w:r w:rsidR="00855DB0" w:rsidRPr="00855DB0">
        <w:rPr>
          <w:rFonts w:eastAsiaTheme="minorHAnsi"/>
          <w:i/>
          <w:iCs/>
          <w:lang w:eastAsia="en-US"/>
        </w:rPr>
        <w:t>euro</w:t>
      </w:r>
      <w:proofErr w:type="spellEnd"/>
      <w:r w:rsidR="00855DB0" w:rsidRPr="00AE6710">
        <w:rPr>
          <w:rFonts w:eastAsiaTheme="minorHAnsi"/>
          <w:lang w:eastAsia="en-US"/>
        </w:rPr>
        <w:t xml:space="preserve"> </w:t>
      </w:r>
      <w:r w:rsidR="00AE6710" w:rsidRPr="00AE6710">
        <w:rPr>
          <w:rFonts w:eastAsiaTheme="minorHAnsi"/>
          <w:lang w:eastAsia="en-US"/>
        </w:rPr>
        <w:t>(</w:t>
      </w:r>
      <w:r w:rsidR="00AE6710" w:rsidRPr="00AE6710">
        <w:rPr>
          <w:rFonts w:eastAsiaTheme="minorHAnsi"/>
          <w:i/>
          <w:iCs/>
          <w:lang w:eastAsia="en-US"/>
        </w:rPr>
        <w:t>aprēķins veikts atbilstoši maršrutu tīklam 2025. gada apjomā</w:t>
      </w:r>
      <w:r w:rsidR="007F1AA1">
        <w:rPr>
          <w:rFonts w:eastAsiaTheme="minorHAnsi"/>
          <w:i/>
          <w:iCs/>
          <w:lang w:eastAsia="en-US"/>
        </w:rPr>
        <w:t xml:space="preserve"> un 2025.gadā pārvadāto pasažieru skaita</w:t>
      </w:r>
      <w:r w:rsidR="00AE6710" w:rsidRPr="00AE6710">
        <w:rPr>
          <w:rFonts w:eastAsiaTheme="minorHAnsi"/>
          <w:i/>
          <w:iCs/>
          <w:lang w:eastAsia="en-US"/>
        </w:rPr>
        <w:t>).</w:t>
      </w:r>
    </w:p>
    <w:p w14:paraId="54BD2275" w14:textId="77777777" w:rsidR="00AE6710" w:rsidRPr="00AE6710" w:rsidRDefault="00AE6710" w:rsidP="00AE6710">
      <w:pPr>
        <w:ind w:firstLine="709"/>
        <w:jc w:val="both"/>
        <w:rPr>
          <w:rFonts w:eastAsiaTheme="minorHAnsi"/>
          <w:lang w:eastAsia="en-US"/>
        </w:rPr>
      </w:pPr>
    </w:p>
    <w:p w14:paraId="746AD1C0" w14:textId="67101F60" w:rsidR="00706365" w:rsidRDefault="00AE6710" w:rsidP="00AE6710">
      <w:pPr>
        <w:ind w:firstLine="709"/>
        <w:jc w:val="both"/>
        <w:rPr>
          <w:rFonts w:eastAsiaTheme="minorHAnsi"/>
          <w:lang w:eastAsia="en-US"/>
        </w:rPr>
      </w:pPr>
      <w:r w:rsidRPr="00AE6710">
        <w:rPr>
          <w:rFonts w:eastAsiaTheme="minorHAnsi"/>
          <w:b/>
          <w:bCs/>
          <w:lang w:eastAsia="en-US"/>
        </w:rPr>
        <w:t>Sabiedriskā transporta pakalpojumu izdevumi</w:t>
      </w:r>
      <w:r w:rsidRPr="00AE6710">
        <w:rPr>
          <w:rFonts w:eastAsiaTheme="minorHAnsi"/>
          <w:lang w:eastAsia="en-US"/>
        </w:rPr>
        <w:t xml:space="preserve"> </w:t>
      </w:r>
    </w:p>
    <w:p w14:paraId="323C3B43" w14:textId="5D6567FF" w:rsidR="00706365" w:rsidRDefault="00706365" w:rsidP="00706365">
      <w:pPr>
        <w:pStyle w:val="FootnoteText"/>
        <w:ind w:firstLine="709"/>
        <w:jc w:val="both"/>
        <w:rPr>
          <w:sz w:val="24"/>
          <w:szCs w:val="24"/>
        </w:rPr>
      </w:pPr>
      <w:r w:rsidRPr="00466F1D">
        <w:rPr>
          <w:sz w:val="24"/>
          <w:szCs w:val="24"/>
        </w:rPr>
        <w:t>Reģionālās nozīmes pārvadājumos ar autobusiem 202</w:t>
      </w:r>
      <w:r>
        <w:rPr>
          <w:sz w:val="24"/>
          <w:szCs w:val="24"/>
        </w:rPr>
        <w:t xml:space="preserve">5. </w:t>
      </w:r>
      <w:r w:rsidRPr="00466F1D">
        <w:rPr>
          <w:sz w:val="24"/>
          <w:szCs w:val="24"/>
        </w:rPr>
        <w:t>gadā sabiedriskā transporta pakalpojumu sniegšana pilnībā tiek nodrošināta</w:t>
      </w:r>
      <w:r>
        <w:rPr>
          <w:sz w:val="24"/>
          <w:szCs w:val="24"/>
        </w:rPr>
        <w:t>, pamatojoties</w:t>
      </w:r>
      <w:r w:rsidRPr="00466F1D">
        <w:rPr>
          <w:sz w:val="24"/>
          <w:szCs w:val="24"/>
        </w:rPr>
        <w:t xml:space="preserve"> uz sabiedriskā transporta pakalpojumu pasūtījuma līgumiem, kuros ir noteikta pakalpojumu cena jeb līgumcena</w:t>
      </w:r>
      <w:r>
        <w:rPr>
          <w:sz w:val="24"/>
          <w:szCs w:val="24"/>
        </w:rPr>
        <w:t xml:space="preserve">. </w:t>
      </w:r>
      <w:r w:rsidRPr="00466F1D">
        <w:rPr>
          <w:sz w:val="24"/>
          <w:szCs w:val="24"/>
        </w:rPr>
        <w:t>Atkarībā no līguma darbības termiņa un nosacījumiem izmaksas minētajā gadījumā ir fiksētas, un tās nemainās atkarībā no preču un pakalpojumu tirgus cenu izmaiņām</w:t>
      </w:r>
      <w:r>
        <w:rPr>
          <w:sz w:val="24"/>
          <w:szCs w:val="24"/>
        </w:rPr>
        <w:t xml:space="preserve">. </w:t>
      </w:r>
      <w:r w:rsidRPr="00466F1D">
        <w:rPr>
          <w:sz w:val="24"/>
          <w:szCs w:val="24"/>
        </w:rPr>
        <w:t xml:space="preserve">Savukārt, attiecībā uz reģionālās nozīmes pārvadājumiem pa dzelzceļu – </w:t>
      </w:r>
      <w:r w:rsidRPr="003136F0">
        <w:rPr>
          <w:bCs/>
          <w:sz w:val="24"/>
          <w:szCs w:val="24"/>
        </w:rPr>
        <w:t>ir balstīta uz vispārējās zaudējumu kompensēšanas līgumu</w:t>
      </w:r>
      <w:r w:rsidRPr="00466F1D">
        <w:rPr>
          <w:sz w:val="24"/>
          <w:szCs w:val="24"/>
        </w:rPr>
        <w:t xml:space="preserve"> (AS “Pasažieru vilciens” gadījumā) vai atsevišķu izdevumu kompensēšanu (SIA “Gulbenes-Alūksnes bānītis” gadījumā), </w:t>
      </w:r>
      <w:r w:rsidRPr="003136F0">
        <w:rPr>
          <w:bCs/>
          <w:sz w:val="24"/>
          <w:szCs w:val="24"/>
        </w:rPr>
        <w:t>atbilstoši kuram izmaksu apjoms nav fiksēts, un tas pakļaujas tirgus cenu izmaiņām.</w:t>
      </w:r>
      <w:r>
        <w:rPr>
          <w:b/>
          <w:sz w:val="24"/>
          <w:szCs w:val="24"/>
        </w:rPr>
        <w:t xml:space="preserve"> </w:t>
      </w:r>
    </w:p>
    <w:p w14:paraId="4BBA5846" w14:textId="535F9D8F" w:rsidR="00706365" w:rsidRDefault="00706365" w:rsidP="00706365">
      <w:pPr>
        <w:ind w:firstLine="709"/>
        <w:jc w:val="both"/>
      </w:pPr>
      <w:r w:rsidRPr="00311348">
        <w:t>Līdz ar to valsts budžeta dotācija (kompensācija) ir atkarīga no dažādiem mainīgiem lielumiem, proti, ne tikai veiktā nobraukuma un tā izpildei nepieciešamo izmaksu kopuma, bet arī pārvadāto pasažieru skaita un biļešu ieņēmumiem</w:t>
      </w:r>
      <w:r>
        <w:t xml:space="preserve">. </w:t>
      </w:r>
      <w:r w:rsidRPr="00964711">
        <w:t>Zemāk tabulā Nr</w:t>
      </w:r>
      <w:r>
        <w:t>.</w:t>
      </w:r>
      <w:r w:rsidR="00B002A8">
        <w:t> </w:t>
      </w:r>
      <w:r>
        <w:t>1</w:t>
      </w:r>
      <w:r w:rsidR="00B002A8">
        <w:rPr>
          <w:rStyle w:val="FootnoteReference"/>
        </w:rPr>
        <w:footnoteReference w:id="10"/>
      </w:r>
      <w:r w:rsidRPr="00964711">
        <w:t xml:space="preserve"> ir</w:t>
      </w:r>
      <w:r>
        <w:t xml:space="preserve"> atspoguļota informācija un izmaiņas reģionālās nozīmes pārvadājumos 2023. -2024. gadā  un plānotajiem rādītājiem 2025.- 2026.gadā atsevišķi pa zaudējumu kompensācijas noteikšanā ietekmējošām komponentēm. </w:t>
      </w:r>
    </w:p>
    <w:p w14:paraId="3559E652" w14:textId="77777777" w:rsidR="00706365" w:rsidRDefault="00706365" w:rsidP="00706365">
      <w:pPr>
        <w:ind w:firstLine="709"/>
        <w:jc w:val="both"/>
      </w:pPr>
    </w:p>
    <w:p w14:paraId="10B550FE" w14:textId="77777777" w:rsidR="00CB4B05" w:rsidRDefault="00CB4B05">
      <w:pPr>
        <w:spacing w:after="160" w:line="259" w:lineRule="auto"/>
        <w:rPr>
          <w:rFonts w:eastAsia="Calibri"/>
          <w:sz w:val="22"/>
          <w:szCs w:val="22"/>
        </w:rPr>
      </w:pPr>
      <w:r>
        <w:rPr>
          <w:rFonts w:eastAsia="Calibri"/>
          <w:sz w:val="22"/>
          <w:szCs w:val="22"/>
        </w:rPr>
        <w:br w:type="page"/>
      </w:r>
    </w:p>
    <w:p w14:paraId="70BBDC8F" w14:textId="6BE37967" w:rsidR="00706365" w:rsidRPr="00466F1D" w:rsidRDefault="00706365" w:rsidP="00706365">
      <w:pPr>
        <w:ind w:firstLine="709"/>
        <w:jc w:val="right"/>
        <w:rPr>
          <w:rFonts w:eastAsia="Calibri"/>
          <w:sz w:val="22"/>
          <w:szCs w:val="22"/>
        </w:rPr>
      </w:pPr>
      <w:r w:rsidRPr="00466F1D">
        <w:rPr>
          <w:rFonts w:eastAsia="Calibri"/>
          <w:sz w:val="22"/>
          <w:szCs w:val="22"/>
        </w:rPr>
        <w:lastRenderedPageBreak/>
        <w:t>Tabula Nr</w:t>
      </w:r>
      <w:r>
        <w:rPr>
          <w:rFonts w:eastAsia="Calibri"/>
          <w:sz w:val="22"/>
          <w:szCs w:val="22"/>
        </w:rPr>
        <w:t>. 1</w:t>
      </w:r>
    </w:p>
    <w:p w14:paraId="72096011" w14:textId="77777777" w:rsidR="00706365" w:rsidRDefault="00706365" w:rsidP="00706365">
      <w:pPr>
        <w:ind w:firstLine="709"/>
        <w:jc w:val="right"/>
        <w:rPr>
          <w:rFonts w:eastAsia="Calibri"/>
          <w:b/>
          <w:bCs/>
          <w:sz w:val="22"/>
          <w:szCs w:val="22"/>
        </w:rPr>
      </w:pPr>
      <w:r>
        <w:rPr>
          <w:rFonts w:eastAsia="Calibri"/>
          <w:b/>
          <w:bCs/>
          <w:sz w:val="22"/>
          <w:szCs w:val="22"/>
        </w:rPr>
        <w:t xml:space="preserve">Zaudējumu kompensāciju ietekmējošās </w:t>
      </w:r>
    </w:p>
    <w:p w14:paraId="2A77B565" w14:textId="77777777" w:rsidR="00706365" w:rsidRDefault="00706365" w:rsidP="00706365">
      <w:pPr>
        <w:ind w:firstLine="709"/>
        <w:jc w:val="right"/>
        <w:rPr>
          <w:rFonts w:eastAsia="Calibri"/>
          <w:b/>
          <w:bCs/>
          <w:sz w:val="22"/>
          <w:szCs w:val="22"/>
        </w:rPr>
      </w:pPr>
      <w:r>
        <w:rPr>
          <w:rFonts w:eastAsia="Calibri"/>
          <w:b/>
          <w:bCs/>
          <w:sz w:val="22"/>
          <w:szCs w:val="22"/>
        </w:rPr>
        <w:t xml:space="preserve">komponentes reģionālās nozīmes pārvadājumos </w:t>
      </w:r>
    </w:p>
    <w:p w14:paraId="54948DAC" w14:textId="629C8A6F" w:rsidR="00706365" w:rsidRPr="00466F1D" w:rsidRDefault="00706365" w:rsidP="00706365">
      <w:pPr>
        <w:ind w:firstLine="709"/>
        <w:jc w:val="right"/>
        <w:rPr>
          <w:rFonts w:eastAsia="Calibri"/>
          <w:b/>
          <w:bCs/>
          <w:sz w:val="22"/>
          <w:szCs w:val="22"/>
        </w:rPr>
      </w:pPr>
      <w:r>
        <w:rPr>
          <w:rFonts w:eastAsia="Calibri"/>
          <w:b/>
          <w:bCs/>
          <w:sz w:val="22"/>
          <w:szCs w:val="22"/>
        </w:rPr>
        <w:t>2023.- 2024. gadā un plānotie rādītāji 2025.-2026.gadā</w:t>
      </w:r>
    </w:p>
    <w:p w14:paraId="1D87BCB9" w14:textId="77777777" w:rsidR="00706365" w:rsidRDefault="00706365" w:rsidP="00706365">
      <w:pPr>
        <w:ind w:firstLine="709"/>
        <w:jc w:val="both"/>
      </w:pPr>
    </w:p>
    <w:tbl>
      <w:tblPr>
        <w:tblW w:w="9520" w:type="dxa"/>
        <w:tblInd w:w="-5" w:type="dxa"/>
        <w:tblLook w:val="04A0" w:firstRow="1" w:lastRow="0" w:firstColumn="1" w:lastColumn="0" w:noHBand="0" w:noVBand="1"/>
      </w:tblPr>
      <w:tblGrid>
        <w:gridCol w:w="2830"/>
        <w:gridCol w:w="851"/>
        <w:gridCol w:w="850"/>
        <w:gridCol w:w="851"/>
        <w:gridCol w:w="850"/>
        <w:gridCol w:w="851"/>
        <w:gridCol w:w="873"/>
        <w:gridCol w:w="839"/>
        <w:gridCol w:w="703"/>
        <w:gridCol w:w="22"/>
      </w:tblGrid>
      <w:tr w:rsidR="000431AC" w:rsidRPr="000431AC" w14:paraId="15623748" w14:textId="77777777" w:rsidTr="003136F0">
        <w:trPr>
          <w:trHeight w:val="300"/>
        </w:trPr>
        <w:tc>
          <w:tcPr>
            <w:tcW w:w="2830" w:type="dxa"/>
            <w:tcBorders>
              <w:top w:val="single" w:sz="4" w:space="0" w:color="auto"/>
              <w:left w:val="single" w:sz="4" w:space="0" w:color="auto"/>
              <w:bottom w:val="single" w:sz="4" w:space="0" w:color="auto"/>
              <w:right w:val="single" w:sz="4" w:space="0" w:color="auto"/>
            </w:tcBorders>
            <w:noWrap/>
            <w:vAlign w:val="bottom"/>
            <w:hideMark/>
          </w:tcPr>
          <w:p w14:paraId="06AA49F2" w14:textId="54B1468C" w:rsidR="000431AC" w:rsidRPr="003136F0" w:rsidRDefault="000431AC">
            <w:pPr>
              <w:rPr>
                <w:b/>
                <w:bCs/>
                <w:color w:val="000000"/>
                <w:sz w:val="18"/>
                <w:szCs w:val="18"/>
              </w:rPr>
            </w:pPr>
          </w:p>
        </w:tc>
        <w:tc>
          <w:tcPr>
            <w:tcW w:w="3402" w:type="dxa"/>
            <w:gridSpan w:val="4"/>
            <w:tcBorders>
              <w:top w:val="single" w:sz="4" w:space="0" w:color="auto"/>
              <w:left w:val="nil"/>
              <w:bottom w:val="single" w:sz="4" w:space="0" w:color="auto"/>
              <w:right w:val="single" w:sz="4" w:space="0" w:color="auto"/>
            </w:tcBorders>
            <w:noWrap/>
            <w:vAlign w:val="bottom"/>
            <w:hideMark/>
          </w:tcPr>
          <w:p w14:paraId="32B6EFA8" w14:textId="52D4F66B" w:rsidR="000431AC" w:rsidRPr="003136F0" w:rsidRDefault="000431AC" w:rsidP="00706365">
            <w:pPr>
              <w:jc w:val="center"/>
              <w:rPr>
                <w:b/>
                <w:bCs/>
                <w:color w:val="000000"/>
                <w:sz w:val="18"/>
                <w:szCs w:val="18"/>
              </w:rPr>
            </w:pPr>
            <w:r w:rsidRPr="003136F0">
              <w:rPr>
                <w:b/>
                <w:bCs/>
                <w:color w:val="000000"/>
                <w:sz w:val="18"/>
                <w:szCs w:val="18"/>
              </w:rPr>
              <w:t>AUTOBUSI </w:t>
            </w:r>
          </w:p>
        </w:tc>
        <w:tc>
          <w:tcPr>
            <w:tcW w:w="3288" w:type="dxa"/>
            <w:gridSpan w:val="5"/>
            <w:tcBorders>
              <w:top w:val="single" w:sz="4" w:space="0" w:color="auto"/>
              <w:left w:val="nil"/>
              <w:bottom w:val="single" w:sz="4" w:space="0" w:color="auto"/>
              <w:right w:val="single" w:sz="4" w:space="0" w:color="auto"/>
            </w:tcBorders>
            <w:noWrap/>
            <w:vAlign w:val="bottom"/>
            <w:hideMark/>
          </w:tcPr>
          <w:p w14:paraId="1CA8DE3B" w14:textId="66C143F7" w:rsidR="000431AC" w:rsidRPr="003136F0" w:rsidRDefault="000431AC" w:rsidP="003136F0">
            <w:pPr>
              <w:jc w:val="center"/>
              <w:rPr>
                <w:b/>
                <w:bCs/>
                <w:color w:val="000000"/>
                <w:sz w:val="18"/>
                <w:szCs w:val="18"/>
              </w:rPr>
            </w:pPr>
            <w:r w:rsidRPr="003136F0">
              <w:rPr>
                <w:b/>
                <w:bCs/>
                <w:color w:val="000000"/>
                <w:sz w:val="18"/>
                <w:szCs w:val="18"/>
              </w:rPr>
              <w:t>VILCIENI </w:t>
            </w:r>
          </w:p>
        </w:tc>
      </w:tr>
      <w:tr w:rsidR="000431AC" w:rsidRPr="000431AC" w14:paraId="58429A84" w14:textId="77777777" w:rsidTr="003136F0">
        <w:trPr>
          <w:trHeight w:val="300"/>
        </w:trPr>
        <w:tc>
          <w:tcPr>
            <w:tcW w:w="2830" w:type="dxa"/>
            <w:tcBorders>
              <w:top w:val="nil"/>
              <w:left w:val="single" w:sz="4" w:space="0" w:color="auto"/>
              <w:bottom w:val="single" w:sz="4" w:space="0" w:color="auto"/>
              <w:right w:val="single" w:sz="4" w:space="0" w:color="auto"/>
            </w:tcBorders>
            <w:noWrap/>
            <w:vAlign w:val="bottom"/>
            <w:hideMark/>
          </w:tcPr>
          <w:p w14:paraId="73EF8152" w14:textId="139C442A" w:rsidR="00706365" w:rsidRPr="003136F0" w:rsidRDefault="00706365">
            <w:pPr>
              <w:rPr>
                <w:color w:val="000000"/>
                <w:sz w:val="18"/>
                <w:szCs w:val="18"/>
              </w:rPr>
            </w:pPr>
          </w:p>
        </w:tc>
        <w:tc>
          <w:tcPr>
            <w:tcW w:w="851" w:type="dxa"/>
            <w:tcBorders>
              <w:top w:val="nil"/>
              <w:left w:val="nil"/>
              <w:bottom w:val="single" w:sz="4" w:space="0" w:color="auto"/>
              <w:right w:val="single" w:sz="4" w:space="0" w:color="auto"/>
            </w:tcBorders>
            <w:noWrap/>
            <w:vAlign w:val="center"/>
            <w:hideMark/>
          </w:tcPr>
          <w:p w14:paraId="4BAFD989" w14:textId="77777777" w:rsidR="00706365" w:rsidRPr="003136F0" w:rsidRDefault="00706365" w:rsidP="008E1E23">
            <w:pPr>
              <w:jc w:val="center"/>
              <w:rPr>
                <w:color w:val="000000"/>
                <w:sz w:val="18"/>
                <w:szCs w:val="18"/>
              </w:rPr>
            </w:pPr>
            <w:r w:rsidRPr="003136F0">
              <w:rPr>
                <w:color w:val="000000"/>
                <w:sz w:val="18"/>
                <w:szCs w:val="18"/>
              </w:rPr>
              <w:t>2023</w:t>
            </w:r>
          </w:p>
        </w:tc>
        <w:tc>
          <w:tcPr>
            <w:tcW w:w="850" w:type="dxa"/>
            <w:tcBorders>
              <w:top w:val="nil"/>
              <w:left w:val="nil"/>
              <w:bottom w:val="single" w:sz="4" w:space="0" w:color="auto"/>
              <w:right w:val="single" w:sz="4" w:space="0" w:color="auto"/>
            </w:tcBorders>
            <w:noWrap/>
            <w:vAlign w:val="center"/>
            <w:hideMark/>
          </w:tcPr>
          <w:p w14:paraId="34393E07" w14:textId="77777777" w:rsidR="00706365" w:rsidRPr="003136F0" w:rsidRDefault="00706365" w:rsidP="008E1E23">
            <w:pPr>
              <w:jc w:val="center"/>
              <w:rPr>
                <w:color w:val="000000"/>
                <w:sz w:val="18"/>
                <w:szCs w:val="18"/>
              </w:rPr>
            </w:pPr>
            <w:r w:rsidRPr="003136F0">
              <w:rPr>
                <w:color w:val="000000"/>
                <w:sz w:val="18"/>
                <w:szCs w:val="18"/>
              </w:rPr>
              <w:t>2024</w:t>
            </w:r>
          </w:p>
        </w:tc>
        <w:tc>
          <w:tcPr>
            <w:tcW w:w="851" w:type="dxa"/>
            <w:tcBorders>
              <w:top w:val="nil"/>
              <w:left w:val="nil"/>
              <w:bottom w:val="single" w:sz="4" w:space="0" w:color="auto"/>
              <w:right w:val="single" w:sz="4" w:space="0" w:color="auto"/>
            </w:tcBorders>
            <w:noWrap/>
            <w:vAlign w:val="center"/>
            <w:hideMark/>
          </w:tcPr>
          <w:p w14:paraId="130D638B" w14:textId="77777777" w:rsidR="00706365" w:rsidRPr="003136F0" w:rsidRDefault="00706365" w:rsidP="008E1E23">
            <w:pPr>
              <w:jc w:val="center"/>
              <w:rPr>
                <w:color w:val="000000"/>
                <w:sz w:val="18"/>
                <w:szCs w:val="18"/>
              </w:rPr>
            </w:pPr>
            <w:r w:rsidRPr="003136F0">
              <w:rPr>
                <w:color w:val="000000"/>
                <w:sz w:val="18"/>
                <w:szCs w:val="18"/>
              </w:rPr>
              <w:t>2025 plāns</w:t>
            </w:r>
          </w:p>
        </w:tc>
        <w:tc>
          <w:tcPr>
            <w:tcW w:w="850" w:type="dxa"/>
            <w:tcBorders>
              <w:top w:val="nil"/>
              <w:left w:val="nil"/>
              <w:bottom w:val="single" w:sz="4" w:space="0" w:color="auto"/>
              <w:right w:val="single" w:sz="4" w:space="0" w:color="auto"/>
            </w:tcBorders>
            <w:noWrap/>
            <w:vAlign w:val="center"/>
            <w:hideMark/>
          </w:tcPr>
          <w:p w14:paraId="03B08C8A" w14:textId="77777777" w:rsidR="00706365" w:rsidRPr="003136F0" w:rsidRDefault="00706365" w:rsidP="008E1E23">
            <w:pPr>
              <w:jc w:val="center"/>
              <w:rPr>
                <w:color w:val="000000"/>
                <w:sz w:val="18"/>
                <w:szCs w:val="18"/>
              </w:rPr>
            </w:pPr>
            <w:r w:rsidRPr="003136F0">
              <w:rPr>
                <w:color w:val="000000"/>
                <w:sz w:val="18"/>
                <w:szCs w:val="18"/>
              </w:rPr>
              <w:t>2026 plāns</w:t>
            </w:r>
          </w:p>
        </w:tc>
        <w:tc>
          <w:tcPr>
            <w:tcW w:w="851" w:type="dxa"/>
            <w:tcBorders>
              <w:top w:val="nil"/>
              <w:left w:val="nil"/>
              <w:bottom w:val="single" w:sz="4" w:space="0" w:color="auto"/>
              <w:right w:val="single" w:sz="4" w:space="0" w:color="auto"/>
            </w:tcBorders>
            <w:noWrap/>
            <w:vAlign w:val="center"/>
            <w:hideMark/>
          </w:tcPr>
          <w:p w14:paraId="19B5F197" w14:textId="77777777" w:rsidR="00706365" w:rsidRPr="003136F0" w:rsidRDefault="00706365" w:rsidP="008E1E23">
            <w:pPr>
              <w:jc w:val="center"/>
              <w:rPr>
                <w:color w:val="000000"/>
                <w:sz w:val="18"/>
                <w:szCs w:val="18"/>
              </w:rPr>
            </w:pPr>
            <w:r w:rsidRPr="003136F0">
              <w:rPr>
                <w:color w:val="000000"/>
                <w:sz w:val="18"/>
                <w:szCs w:val="18"/>
              </w:rPr>
              <w:t>2023</w:t>
            </w:r>
          </w:p>
        </w:tc>
        <w:tc>
          <w:tcPr>
            <w:tcW w:w="873" w:type="dxa"/>
            <w:tcBorders>
              <w:top w:val="nil"/>
              <w:left w:val="nil"/>
              <w:bottom w:val="single" w:sz="4" w:space="0" w:color="auto"/>
              <w:right w:val="single" w:sz="4" w:space="0" w:color="auto"/>
            </w:tcBorders>
            <w:noWrap/>
            <w:vAlign w:val="center"/>
            <w:hideMark/>
          </w:tcPr>
          <w:p w14:paraId="7401F329" w14:textId="77777777" w:rsidR="00706365" w:rsidRPr="003136F0" w:rsidRDefault="00706365" w:rsidP="008E1E23">
            <w:pPr>
              <w:jc w:val="center"/>
              <w:rPr>
                <w:color w:val="000000"/>
                <w:sz w:val="18"/>
                <w:szCs w:val="18"/>
              </w:rPr>
            </w:pPr>
            <w:r w:rsidRPr="003136F0">
              <w:rPr>
                <w:color w:val="000000"/>
                <w:sz w:val="18"/>
                <w:szCs w:val="18"/>
              </w:rPr>
              <w:t>2024</w:t>
            </w:r>
          </w:p>
        </w:tc>
        <w:tc>
          <w:tcPr>
            <w:tcW w:w="839" w:type="dxa"/>
            <w:tcBorders>
              <w:top w:val="nil"/>
              <w:left w:val="nil"/>
              <w:bottom w:val="single" w:sz="4" w:space="0" w:color="auto"/>
              <w:right w:val="single" w:sz="4" w:space="0" w:color="auto"/>
            </w:tcBorders>
            <w:noWrap/>
            <w:vAlign w:val="center"/>
            <w:hideMark/>
          </w:tcPr>
          <w:p w14:paraId="09DA6CC6" w14:textId="77777777" w:rsidR="00706365" w:rsidRPr="003136F0" w:rsidRDefault="00706365" w:rsidP="008E1E23">
            <w:pPr>
              <w:jc w:val="center"/>
              <w:rPr>
                <w:color w:val="000000"/>
                <w:sz w:val="18"/>
                <w:szCs w:val="18"/>
              </w:rPr>
            </w:pPr>
            <w:r w:rsidRPr="003136F0">
              <w:rPr>
                <w:color w:val="000000"/>
                <w:sz w:val="18"/>
                <w:szCs w:val="18"/>
              </w:rPr>
              <w:t>2025 plāns</w:t>
            </w:r>
          </w:p>
        </w:tc>
        <w:tc>
          <w:tcPr>
            <w:tcW w:w="725" w:type="dxa"/>
            <w:gridSpan w:val="2"/>
            <w:tcBorders>
              <w:top w:val="nil"/>
              <w:left w:val="nil"/>
              <w:bottom w:val="single" w:sz="4" w:space="0" w:color="auto"/>
              <w:right w:val="single" w:sz="4" w:space="0" w:color="auto"/>
            </w:tcBorders>
            <w:noWrap/>
            <w:vAlign w:val="center"/>
            <w:hideMark/>
          </w:tcPr>
          <w:p w14:paraId="1B8BAB98" w14:textId="77777777" w:rsidR="00706365" w:rsidRPr="003136F0" w:rsidRDefault="00706365" w:rsidP="008E1E23">
            <w:pPr>
              <w:jc w:val="center"/>
              <w:rPr>
                <w:color w:val="000000"/>
                <w:sz w:val="18"/>
                <w:szCs w:val="18"/>
              </w:rPr>
            </w:pPr>
            <w:r w:rsidRPr="003136F0">
              <w:rPr>
                <w:color w:val="000000"/>
                <w:sz w:val="18"/>
                <w:szCs w:val="18"/>
              </w:rPr>
              <w:t>2026 plāns</w:t>
            </w:r>
          </w:p>
        </w:tc>
      </w:tr>
      <w:tr w:rsidR="000431AC" w:rsidRPr="000431AC" w14:paraId="63A7FEA8" w14:textId="77777777" w:rsidTr="003136F0">
        <w:trPr>
          <w:trHeight w:val="300"/>
        </w:trPr>
        <w:tc>
          <w:tcPr>
            <w:tcW w:w="2830" w:type="dxa"/>
            <w:tcBorders>
              <w:top w:val="nil"/>
              <w:left w:val="single" w:sz="4" w:space="0" w:color="auto"/>
              <w:bottom w:val="single" w:sz="4" w:space="0" w:color="auto"/>
              <w:right w:val="single" w:sz="4" w:space="0" w:color="auto"/>
            </w:tcBorders>
            <w:noWrap/>
            <w:vAlign w:val="bottom"/>
            <w:hideMark/>
          </w:tcPr>
          <w:p w14:paraId="0E2EB1EB" w14:textId="77777777" w:rsidR="00706365" w:rsidRPr="003136F0" w:rsidRDefault="00706365">
            <w:pPr>
              <w:rPr>
                <w:color w:val="000000"/>
                <w:sz w:val="18"/>
                <w:szCs w:val="18"/>
              </w:rPr>
            </w:pPr>
            <w:r w:rsidRPr="003136F0">
              <w:rPr>
                <w:color w:val="000000"/>
                <w:sz w:val="18"/>
                <w:szCs w:val="18"/>
              </w:rPr>
              <w:t>Nobraukums, milj. km</w:t>
            </w:r>
          </w:p>
        </w:tc>
        <w:tc>
          <w:tcPr>
            <w:tcW w:w="851" w:type="dxa"/>
            <w:tcBorders>
              <w:top w:val="nil"/>
              <w:left w:val="nil"/>
              <w:bottom w:val="single" w:sz="4" w:space="0" w:color="auto"/>
              <w:right w:val="single" w:sz="4" w:space="0" w:color="auto"/>
            </w:tcBorders>
            <w:noWrap/>
            <w:vAlign w:val="center"/>
            <w:hideMark/>
          </w:tcPr>
          <w:p w14:paraId="418ABE4F" w14:textId="77777777" w:rsidR="00706365" w:rsidRPr="003136F0" w:rsidRDefault="00706365">
            <w:pPr>
              <w:jc w:val="center"/>
              <w:rPr>
                <w:color w:val="000000"/>
                <w:sz w:val="18"/>
                <w:szCs w:val="18"/>
              </w:rPr>
            </w:pPr>
            <w:r w:rsidRPr="003136F0">
              <w:rPr>
                <w:color w:val="000000"/>
                <w:sz w:val="18"/>
                <w:szCs w:val="18"/>
              </w:rPr>
              <w:t>69.3</w:t>
            </w:r>
          </w:p>
        </w:tc>
        <w:tc>
          <w:tcPr>
            <w:tcW w:w="850" w:type="dxa"/>
            <w:tcBorders>
              <w:top w:val="nil"/>
              <w:left w:val="nil"/>
              <w:bottom w:val="single" w:sz="4" w:space="0" w:color="auto"/>
              <w:right w:val="single" w:sz="4" w:space="0" w:color="auto"/>
            </w:tcBorders>
            <w:noWrap/>
            <w:vAlign w:val="center"/>
            <w:hideMark/>
          </w:tcPr>
          <w:p w14:paraId="02B3A815" w14:textId="77777777" w:rsidR="00706365" w:rsidRPr="003136F0" w:rsidRDefault="00706365">
            <w:pPr>
              <w:jc w:val="center"/>
              <w:rPr>
                <w:color w:val="000000"/>
                <w:sz w:val="18"/>
                <w:szCs w:val="18"/>
              </w:rPr>
            </w:pPr>
            <w:r w:rsidRPr="003136F0">
              <w:rPr>
                <w:color w:val="000000"/>
                <w:sz w:val="18"/>
                <w:szCs w:val="18"/>
              </w:rPr>
              <w:t>68.00</w:t>
            </w:r>
          </w:p>
        </w:tc>
        <w:tc>
          <w:tcPr>
            <w:tcW w:w="851" w:type="dxa"/>
            <w:tcBorders>
              <w:top w:val="nil"/>
              <w:left w:val="nil"/>
              <w:bottom w:val="single" w:sz="4" w:space="0" w:color="auto"/>
              <w:right w:val="single" w:sz="4" w:space="0" w:color="auto"/>
            </w:tcBorders>
            <w:noWrap/>
            <w:vAlign w:val="center"/>
            <w:hideMark/>
          </w:tcPr>
          <w:p w14:paraId="4143D6C4" w14:textId="77777777" w:rsidR="00706365" w:rsidRPr="003136F0" w:rsidRDefault="00706365">
            <w:pPr>
              <w:jc w:val="center"/>
              <w:rPr>
                <w:color w:val="000000"/>
                <w:sz w:val="18"/>
                <w:szCs w:val="18"/>
              </w:rPr>
            </w:pPr>
            <w:r w:rsidRPr="003136F0">
              <w:rPr>
                <w:color w:val="000000"/>
                <w:sz w:val="18"/>
                <w:szCs w:val="18"/>
              </w:rPr>
              <w:t>66.35</w:t>
            </w:r>
          </w:p>
        </w:tc>
        <w:tc>
          <w:tcPr>
            <w:tcW w:w="850" w:type="dxa"/>
            <w:tcBorders>
              <w:top w:val="nil"/>
              <w:left w:val="nil"/>
              <w:bottom w:val="single" w:sz="4" w:space="0" w:color="auto"/>
              <w:right w:val="single" w:sz="4" w:space="0" w:color="auto"/>
            </w:tcBorders>
            <w:noWrap/>
            <w:vAlign w:val="center"/>
            <w:hideMark/>
          </w:tcPr>
          <w:p w14:paraId="6292EC54" w14:textId="77777777" w:rsidR="00706365" w:rsidRPr="003136F0" w:rsidRDefault="00706365">
            <w:pPr>
              <w:jc w:val="center"/>
              <w:rPr>
                <w:color w:val="000000"/>
                <w:sz w:val="18"/>
                <w:szCs w:val="18"/>
              </w:rPr>
            </w:pPr>
            <w:r w:rsidRPr="003136F0">
              <w:rPr>
                <w:color w:val="000000"/>
                <w:sz w:val="18"/>
                <w:szCs w:val="18"/>
              </w:rPr>
              <w:t>66.13</w:t>
            </w:r>
          </w:p>
        </w:tc>
        <w:tc>
          <w:tcPr>
            <w:tcW w:w="851" w:type="dxa"/>
            <w:tcBorders>
              <w:top w:val="nil"/>
              <w:left w:val="nil"/>
              <w:bottom w:val="single" w:sz="4" w:space="0" w:color="auto"/>
              <w:right w:val="single" w:sz="4" w:space="0" w:color="auto"/>
            </w:tcBorders>
            <w:noWrap/>
            <w:vAlign w:val="center"/>
            <w:hideMark/>
          </w:tcPr>
          <w:p w14:paraId="2DEDF572" w14:textId="77777777" w:rsidR="00706365" w:rsidRPr="003136F0" w:rsidRDefault="00706365">
            <w:pPr>
              <w:jc w:val="center"/>
              <w:rPr>
                <w:color w:val="000000"/>
                <w:sz w:val="18"/>
                <w:szCs w:val="18"/>
              </w:rPr>
            </w:pPr>
            <w:r w:rsidRPr="003136F0">
              <w:rPr>
                <w:color w:val="000000"/>
                <w:sz w:val="18"/>
                <w:szCs w:val="18"/>
              </w:rPr>
              <w:t>6.43</w:t>
            </w:r>
          </w:p>
        </w:tc>
        <w:tc>
          <w:tcPr>
            <w:tcW w:w="873" w:type="dxa"/>
            <w:tcBorders>
              <w:top w:val="nil"/>
              <w:left w:val="nil"/>
              <w:bottom w:val="single" w:sz="4" w:space="0" w:color="auto"/>
              <w:right w:val="single" w:sz="4" w:space="0" w:color="auto"/>
            </w:tcBorders>
            <w:noWrap/>
            <w:vAlign w:val="center"/>
            <w:hideMark/>
          </w:tcPr>
          <w:p w14:paraId="1CEDD641" w14:textId="77777777" w:rsidR="00706365" w:rsidRPr="003136F0" w:rsidRDefault="00706365">
            <w:pPr>
              <w:jc w:val="center"/>
              <w:rPr>
                <w:color w:val="000000"/>
                <w:sz w:val="18"/>
                <w:szCs w:val="18"/>
              </w:rPr>
            </w:pPr>
            <w:r w:rsidRPr="003136F0">
              <w:rPr>
                <w:color w:val="000000"/>
                <w:sz w:val="18"/>
                <w:szCs w:val="18"/>
              </w:rPr>
              <w:t>7.45</w:t>
            </w:r>
          </w:p>
        </w:tc>
        <w:tc>
          <w:tcPr>
            <w:tcW w:w="839" w:type="dxa"/>
            <w:tcBorders>
              <w:top w:val="nil"/>
              <w:left w:val="nil"/>
              <w:bottom w:val="single" w:sz="4" w:space="0" w:color="auto"/>
              <w:right w:val="single" w:sz="4" w:space="0" w:color="auto"/>
            </w:tcBorders>
            <w:noWrap/>
            <w:vAlign w:val="center"/>
            <w:hideMark/>
          </w:tcPr>
          <w:p w14:paraId="6B414C29" w14:textId="77777777" w:rsidR="00706365" w:rsidRPr="003136F0" w:rsidRDefault="00706365">
            <w:pPr>
              <w:jc w:val="center"/>
              <w:rPr>
                <w:color w:val="000000"/>
                <w:sz w:val="18"/>
                <w:szCs w:val="18"/>
              </w:rPr>
            </w:pPr>
            <w:r w:rsidRPr="003136F0">
              <w:rPr>
                <w:color w:val="000000"/>
                <w:sz w:val="18"/>
                <w:szCs w:val="18"/>
              </w:rPr>
              <w:t>7.72</w:t>
            </w:r>
          </w:p>
        </w:tc>
        <w:tc>
          <w:tcPr>
            <w:tcW w:w="725" w:type="dxa"/>
            <w:gridSpan w:val="2"/>
            <w:tcBorders>
              <w:top w:val="nil"/>
              <w:left w:val="nil"/>
              <w:bottom w:val="single" w:sz="4" w:space="0" w:color="auto"/>
              <w:right w:val="single" w:sz="4" w:space="0" w:color="auto"/>
            </w:tcBorders>
            <w:noWrap/>
            <w:vAlign w:val="center"/>
            <w:hideMark/>
          </w:tcPr>
          <w:p w14:paraId="4313A4D9" w14:textId="77777777" w:rsidR="00706365" w:rsidRPr="003136F0" w:rsidRDefault="00706365">
            <w:pPr>
              <w:jc w:val="center"/>
              <w:rPr>
                <w:color w:val="000000"/>
                <w:sz w:val="18"/>
                <w:szCs w:val="18"/>
              </w:rPr>
            </w:pPr>
            <w:r w:rsidRPr="003136F0">
              <w:rPr>
                <w:color w:val="000000"/>
                <w:sz w:val="18"/>
                <w:szCs w:val="18"/>
              </w:rPr>
              <w:t>7.99</w:t>
            </w:r>
          </w:p>
        </w:tc>
      </w:tr>
      <w:tr w:rsidR="000431AC" w:rsidRPr="000431AC" w14:paraId="56E8A8A4" w14:textId="77777777" w:rsidTr="003136F0">
        <w:trPr>
          <w:trHeight w:val="225"/>
        </w:trPr>
        <w:tc>
          <w:tcPr>
            <w:tcW w:w="2830" w:type="dxa"/>
            <w:tcBorders>
              <w:top w:val="nil"/>
              <w:left w:val="single" w:sz="4" w:space="0" w:color="auto"/>
              <w:bottom w:val="single" w:sz="4" w:space="0" w:color="auto"/>
              <w:right w:val="single" w:sz="4" w:space="0" w:color="auto"/>
            </w:tcBorders>
            <w:noWrap/>
            <w:vAlign w:val="bottom"/>
            <w:hideMark/>
          </w:tcPr>
          <w:p w14:paraId="3EE16D77" w14:textId="77777777" w:rsidR="00706365" w:rsidRPr="003136F0" w:rsidRDefault="00706365">
            <w:pPr>
              <w:rPr>
                <w:i/>
                <w:iCs/>
                <w:color w:val="7B7B7B" w:themeColor="accent3" w:themeShade="BF"/>
                <w:sz w:val="16"/>
                <w:szCs w:val="16"/>
              </w:rPr>
            </w:pPr>
            <w:r w:rsidRPr="003136F0">
              <w:rPr>
                <w:i/>
                <w:iCs/>
                <w:color w:val="7B7B7B" w:themeColor="accent3" w:themeShade="BF"/>
                <w:sz w:val="16"/>
                <w:szCs w:val="16"/>
              </w:rPr>
              <w:t>izmaiņas pret iepriekšējo periodu, %</w:t>
            </w:r>
          </w:p>
        </w:tc>
        <w:tc>
          <w:tcPr>
            <w:tcW w:w="851" w:type="dxa"/>
            <w:tcBorders>
              <w:top w:val="nil"/>
              <w:left w:val="nil"/>
              <w:bottom w:val="single" w:sz="4" w:space="0" w:color="auto"/>
              <w:right w:val="single" w:sz="4" w:space="0" w:color="auto"/>
            </w:tcBorders>
            <w:noWrap/>
            <w:vAlign w:val="center"/>
            <w:hideMark/>
          </w:tcPr>
          <w:p w14:paraId="21817968" w14:textId="77777777" w:rsidR="00706365" w:rsidRPr="003136F0" w:rsidRDefault="00706365">
            <w:pPr>
              <w:jc w:val="center"/>
              <w:rPr>
                <w:i/>
                <w:iCs/>
                <w:color w:val="7B7B7B" w:themeColor="accent3" w:themeShade="BF"/>
                <w:sz w:val="16"/>
                <w:szCs w:val="16"/>
              </w:rPr>
            </w:pPr>
            <w:r w:rsidRPr="003136F0">
              <w:rPr>
                <w:i/>
                <w:iCs/>
                <w:color w:val="7B7B7B" w:themeColor="accent3" w:themeShade="BF"/>
                <w:sz w:val="16"/>
                <w:szCs w:val="16"/>
              </w:rPr>
              <w:t>-1.42%</w:t>
            </w:r>
          </w:p>
        </w:tc>
        <w:tc>
          <w:tcPr>
            <w:tcW w:w="850" w:type="dxa"/>
            <w:tcBorders>
              <w:top w:val="nil"/>
              <w:left w:val="nil"/>
              <w:bottom w:val="single" w:sz="4" w:space="0" w:color="auto"/>
              <w:right w:val="single" w:sz="4" w:space="0" w:color="auto"/>
            </w:tcBorders>
            <w:noWrap/>
            <w:vAlign w:val="center"/>
            <w:hideMark/>
          </w:tcPr>
          <w:p w14:paraId="7F1B3C28" w14:textId="77777777" w:rsidR="00706365" w:rsidRPr="003136F0" w:rsidRDefault="00706365">
            <w:pPr>
              <w:jc w:val="center"/>
              <w:rPr>
                <w:i/>
                <w:iCs/>
                <w:color w:val="7B7B7B" w:themeColor="accent3" w:themeShade="BF"/>
                <w:sz w:val="16"/>
                <w:szCs w:val="16"/>
              </w:rPr>
            </w:pPr>
            <w:r w:rsidRPr="003136F0">
              <w:rPr>
                <w:i/>
                <w:iCs/>
                <w:color w:val="7B7B7B" w:themeColor="accent3" w:themeShade="BF"/>
                <w:sz w:val="16"/>
                <w:szCs w:val="16"/>
              </w:rPr>
              <w:t>-1.88%</w:t>
            </w:r>
          </w:p>
        </w:tc>
        <w:tc>
          <w:tcPr>
            <w:tcW w:w="851" w:type="dxa"/>
            <w:tcBorders>
              <w:top w:val="nil"/>
              <w:left w:val="nil"/>
              <w:bottom w:val="single" w:sz="4" w:space="0" w:color="auto"/>
              <w:right w:val="single" w:sz="4" w:space="0" w:color="auto"/>
            </w:tcBorders>
            <w:noWrap/>
            <w:vAlign w:val="center"/>
            <w:hideMark/>
          </w:tcPr>
          <w:p w14:paraId="52DFBF45" w14:textId="77777777" w:rsidR="00706365" w:rsidRPr="003136F0" w:rsidRDefault="00706365">
            <w:pPr>
              <w:jc w:val="center"/>
              <w:rPr>
                <w:i/>
                <w:iCs/>
                <w:color w:val="7B7B7B" w:themeColor="accent3" w:themeShade="BF"/>
                <w:sz w:val="16"/>
                <w:szCs w:val="16"/>
              </w:rPr>
            </w:pPr>
            <w:r w:rsidRPr="003136F0">
              <w:rPr>
                <w:i/>
                <w:iCs/>
                <w:color w:val="7B7B7B" w:themeColor="accent3" w:themeShade="BF"/>
                <w:sz w:val="16"/>
                <w:szCs w:val="16"/>
              </w:rPr>
              <w:t>-2.43%</w:t>
            </w:r>
          </w:p>
        </w:tc>
        <w:tc>
          <w:tcPr>
            <w:tcW w:w="850" w:type="dxa"/>
            <w:tcBorders>
              <w:top w:val="nil"/>
              <w:left w:val="nil"/>
              <w:bottom w:val="single" w:sz="4" w:space="0" w:color="auto"/>
              <w:right w:val="single" w:sz="4" w:space="0" w:color="auto"/>
            </w:tcBorders>
            <w:noWrap/>
            <w:vAlign w:val="center"/>
            <w:hideMark/>
          </w:tcPr>
          <w:p w14:paraId="6CB993E7" w14:textId="77777777" w:rsidR="00706365" w:rsidRPr="003136F0" w:rsidRDefault="00706365">
            <w:pPr>
              <w:jc w:val="center"/>
              <w:rPr>
                <w:i/>
                <w:iCs/>
                <w:color w:val="7B7B7B" w:themeColor="accent3" w:themeShade="BF"/>
                <w:sz w:val="16"/>
                <w:szCs w:val="16"/>
              </w:rPr>
            </w:pPr>
            <w:r w:rsidRPr="003136F0">
              <w:rPr>
                <w:i/>
                <w:iCs/>
                <w:color w:val="7B7B7B" w:themeColor="accent3" w:themeShade="BF"/>
                <w:sz w:val="16"/>
                <w:szCs w:val="16"/>
              </w:rPr>
              <w:t>-0.34%</w:t>
            </w:r>
          </w:p>
        </w:tc>
        <w:tc>
          <w:tcPr>
            <w:tcW w:w="851" w:type="dxa"/>
            <w:tcBorders>
              <w:top w:val="nil"/>
              <w:left w:val="nil"/>
              <w:bottom w:val="single" w:sz="4" w:space="0" w:color="auto"/>
              <w:right w:val="single" w:sz="4" w:space="0" w:color="auto"/>
            </w:tcBorders>
            <w:noWrap/>
            <w:vAlign w:val="center"/>
            <w:hideMark/>
          </w:tcPr>
          <w:p w14:paraId="17D3F62F" w14:textId="77777777" w:rsidR="00706365" w:rsidRPr="003136F0" w:rsidRDefault="00706365">
            <w:pPr>
              <w:jc w:val="center"/>
              <w:rPr>
                <w:i/>
                <w:iCs/>
                <w:color w:val="7B7B7B" w:themeColor="accent3" w:themeShade="BF"/>
                <w:sz w:val="16"/>
                <w:szCs w:val="16"/>
              </w:rPr>
            </w:pPr>
            <w:r w:rsidRPr="003136F0">
              <w:rPr>
                <w:i/>
                <w:iCs/>
                <w:color w:val="7B7B7B" w:themeColor="accent3" w:themeShade="BF"/>
                <w:sz w:val="16"/>
                <w:szCs w:val="16"/>
              </w:rPr>
              <w:t>3.71%</w:t>
            </w:r>
          </w:p>
        </w:tc>
        <w:tc>
          <w:tcPr>
            <w:tcW w:w="873" w:type="dxa"/>
            <w:tcBorders>
              <w:top w:val="nil"/>
              <w:left w:val="nil"/>
              <w:bottom w:val="single" w:sz="4" w:space="0" w:color="auto"/>
              <w:right w:val="single" w:sz="4" w:space="0" w:color="auto"/>
            </w:tcBorders>
            <w:noWrap/>
            <w:vAlign w:val="center"/>
            <w:hideMark/>
          </w:tcPr>
          <w:p w14:paraId="39981EE0" w14:textId="77777777" w:rsidR="00706365" w:rsidRPr="003136F0" w:rsidRDefault="00706365">
            <w:pPr>
              <w:jc w:val="center"/>
              <w:rPr>
                <w:i/>
                <w:iCs/>
                <w:color w:val="7B7B7B" w:themeColor="accent3" w:themeShade="BF"/>
                <w:sz w:val="16"/>
                <w:szCs w:val="16"/>
              </w:rPr>
            </w:pPr>
            <w:r w:rsidRPr="003136F0">
              <w:rPr>
                <w:i/>
                <w:iCs/>
                <w:color w:val="7B7B7B" w:themeColor="accent3" w:themeShade="BF"/>
                <w:sz w:val="16"/>
                <w:szCs w:val="16"/>
              </w:rPr>
              <w:t>15.86%</w:t>
            </w:r>
          </w:p>
        </w:tc>
        <w:tc>
          <w:tcPr>
            <w:tcW w:w="839" w:type="dxa"/>
            <w:tcBorders>
              <w:top w:val="nil"/>
              <w:left w:val="nil"/>
              <w:bottom w:val="single" w:sz="4" w:space="0" w:color="auto"/>
              <w:right w:val="single" w:sz="4" w:space="0" w:color="auto"/>
            </w:tcBorders>
            <w:noWrap/>
            <w:vAlign w:val="center"/>
            <w:hideMark/>
          </w:tcPr>
          <w:p w14:paraId="1BE53AE3" w14:textId="77777777" w:rsidR="00706365" w:rsidRPr="003136F0" w:rsidRDefault="00706365">
            <w:pPr>
              <w:jc w:val="center"/>
              <w:rPr>
                <w:i/>
                <w:iCs/>
                <w:color w:val="7B7B7B" w:themeColor="accent3" w:themeShade="BF"/>
                <w:sz w:val="16"/>
                <w:szCs w:val="16"/>
              </w:rPr>
            </w:pPr>
            <w:r w:rsidRPr="003136F0">
              <w:rPr>
                <w:i/>
                <w:iCs/>
                <w:color w:val="7B7B7B" w:themeColor="accent3" w:themeShade="BF"/>
                <w:sz w:val="16"/>
                <w:szCs w:val="16"/>
              </w:rPr>
              <w:t>3.62%</w:t>
            </w:r>
          </w:p>
        </w:tc>
        <w:tc>
          <w:tcPr>
            <w:tcW w:w="725" w:type="dxa"/>
            <w:gridSpan w:val="2"/>
            <w:tcBorders>
              <w:top w:val="nil"/>
              <w:left w:val="nil"/>
              <w:bottom w:val="single" w:sz="4" w:space="0" w:color="auto"/>
              <w:right w:val="single" w:sz="4" w:space="0" w:color="auto"/>
            </w:tcBorders>
            <w:noWrap/>
            <w:vAlign w:val="center"/>
            <w:hideMark/>
          </w:tcPr>
          <w:p w14:paraId="4410E331" w14:textId="77777777" w:rsidR="00706365" w:rsidRPr="003136F0" w:rsidRDefault="00706365">
            <w:pPr>
              <w:jc w:val="center"/>
              <w:rPr>
                <w:i/>
                <w:iCs/>
                <w:color w:val="7B7B7B" w:themeColor="accent3" w:themeShade="BF"/>
                <w:sz w:val="16"/>
                <w:szCs w:val="16"/>
              </w:rPr>
            </w:pPr>
            <w:r w:rsidRPr="003136F0">
              <w:rPr>
                <w:i/>
                <w:iCs/>
                <w:color w:val="7B7B7B" w:themeColor="accent3" w:themeShade="BF"/>
                <w:sz w:val="16"/>
                <w:szCs w:val="16"/>
              </w:rPr>
              <w:t>3.50%</w:t>
            </w:r>
          </w:p>
        </w:tc>
      </w:tr>
      <w:tr w:rsidR="000431AC" w:rsidRPr="000431AC" w14:paraId="046B9489" w14:textId="77777777" w:rsidTr="003136F0">
        <w:trPr>
          <w:trHeight w:val="300"/>
        </w:trPr>
        <w:tc>
          <w:tcPr>
            <w:tcW w:w="2830" w:type="dxa"/>
            <w:tcBorders>
              <w:top w:val="nil"/>
              <w:left w:val="single" w:sz="4" w:space="0" w:color="auto"/>
              <w:bottom w:val="single" w:sz="4" w:space="0" w:color="auto"/>
              <w:right w:val="single" w:sz="4" w:space="0" w:color="auto"/>
            </w:tcBorders>
            <w:noWrap/>
            <w:vAlign w:val="bottom"/>
            <w:hideMark/>
          </w:tcPr>
          <w:p w14:paraId="369A6D40" w14:textId="77777777" w:rsidR="00706365" w:rsidRPr="003136F0" w:rsidRDefault="00706365">
            <w:pPr>
              <w:rPr>
                <w:color w:val="000000"/>
                <w:sz w:val="18"/>
                <w:szCs w:val="18"/>
              </w:rPr>
            </w:pPr>
            <w:r w:rsidRPr="003136F0">
              <w:rPr>
                <w:color w:val="000000"/>
                <w:sz w:val="18"/>
                <w:szCs w:val="18"/>
              </w:rPr>
              <w:t>Pasažieri, milj.</w:t>
            </w:r>
          </w:p>
        </w:tc>
        <w:tc>
          <w:tcPr>
            <w:tcW w:w="851" w:type="dxa"/>
            <w:tcBorders>
              <w:top w:val="nil"/>
              <w:left w:val="nil"/>
              <w:bottom w:val="single" w:sz="4" w:space="0" w:color="auto"/>
              <w:right w:val="single" w:sz="4" w:space="0" w:color="auto"/>
            </w:tcBorders>
            <w:noWrap/>
            <w:vAlign w:val="center"/>
            <w:hideMark/>
          </w:tcPr>
          <w:p w14:paraId="7BA4A6CD" w14:textId="77777777" w:rsidR="00706365" w:rsidRPr="003136F0" w:rsidRDefault="00706365">
            <w:pPr>
              <w:jc w:val="center"/>
              <w:rPr>
                <w:color w:val="000000"/>
                <w:sz w:val="18"/>
                <w:szCs w:val="18"/>
              </w:rPr>
            </w:pPr>
            <w:r w:rsidRPr="003136F0">
              <w:rPr>
                <w:color w:val="000000"/>
                <w:sz w:val="18"/>
                <w:szCs w:val="18"/>
              </w:rPr>
              <w:t>22.51</w:t>
            </w:r>
          </w:p>
        </w:tc>
        <w:tc>
          <w:tcPr>
            <w:tcW w:w="850" w:type="dxa"/>
            <w:tcBorders>
              <w:top w:val="nil"/>
              <w:left w:val="nil"/>
              <w:bottom w:val="single" w:sz="4" w:space="0" w:color="auto"/>
              <w:right w:val="single" w:sz="4" w:space="0" w:color="auto"/>
            </w:tcBorders>
            <w:noWrap/>
            <w:vAlign w:val="center"/>
            <w:hideMark/>
          </w:tcPr>
          <w:p w14:paraId="769FF896" w14:textId="77777777" w:rsidR="00706365" w:rsidRPr="003136F0" w:rsidRDefault="00706365">
            <w:pPr>
              <w:jc w:val="center"/>
              <w:rPr>
                <w:color w:val="000000"/>
                <w:sz w:val="18"/>
                <w:szCs w:val="18"/>
              </w:rPr>
            </w:pPr>
            <w:r w:rsidRPr="003136F0">
              <w:rPr>
                <w:color w:val="000000"/>
                <w:sz w:val="18"/>
                <w:szCs w:val="18"/>
              </w:rPr>
              <w:t>21.53</w:t>
            </w:r>
          </w:p>
        </w:tc>
        <w:tc>
          <w:tcPr>
            <w:tcW w:w="851" w:type="dxa"/>
            <w:tcBorders>
              <w:top w:val="nil"/>
              <w:left w:val="nil"/>
              <w:bottom w:val="single" w:sz="4" w:space="0" w:color="auto"/>
              <w:right w:val="single" w:sz="4" w:space="0" w:color="auto"/>
            </w:tcBorders>
            <w:noWrap/>
            <w:vAlign w:val="center"/>
            <w:hideMark/>
          </w:tcPr>
          <w:p w14:paraId="721084E8" w14:textId="77777777" w:rsidR="00706365" w:rsidRPr="003136F0" w:rsidRDefault="00706365">
            <w:pPr>
              <w:jc w:val="center"/>
              <w:rPr>
                <w:color w:val="000000"/>
                <w:sz w:val="18"/>
                <w:szCs w:val="18"/>
              </w:rPr>
            </w:pPr>
            <w:r w:rsidRPr="003136F0">
              <w:rPr>
                <w:color w:val="000000"/>
                <w:sz w:val="18"/>
                <w:szCs w:val="18"/>
              </w:rPr>
              <w:t>20.41</w:t>
            </w:r>
          </w:p>
        </w:tc>
        <w:tc>
          <w:tcPr>
            <w:tcW w:w="850" w:type="dxa"/>
            <w:tcBorders>
              <w:top w:val="nil"/>
              <w:left w:val="nil"/>
              <w:bottom w:val="single" w:sz="4" w:space="0" w:color="auto"/>
              <w:right w:val="single" w:sz="4" w:space="0" w:color="auto"/>
            </w:tcBorders>
            <w:noWrap/>
            <w:vAlign w:val="center"/>
            <w:hideMark/>
          </w:tcPr>
          <w:p w14:paraId="7EC7A034" w14:textId="77777777" w:rsidR="00706365" w:rsidRPr="003136F0" w:rsidRDefault="00706365">
            <w:pPr>
              <w:jc w:val="center"/>
              <w:rPr>
                <w:color w:val="000000"/>
                <w:sz w:val="18"/>
                <w:szCs w:val="18"/>
              </w:rPr>
            </w:pPr>
            <w:r w:rsidRPr="003136F0">
              <w:rPr>
                <w:color w:val="000000"/>
                <w:sz w:val="18"/>
                <w:szCs w:val="18"/>
              </w:rPr>
              <w:t>19.08</w:t>
            </w:r>
          </w:p>
        </w:tc>
        <w:tc>
          <w:tcPr>
            <w:tcW w:w="851" w:type="dxa"/>
            <w:tcBorders>
              <w:top w:val="nil"/>
              <w:left w:val="nil"/>
              <w:bottom w:val="single" w:sz="4" w:space="0" w:color="auto"/>
              <w:right w:val="single" w:sz="4" w:space="0" w:color="auto"/>
            </w:tcBorders>
            <w:noWrap/>
            <w:vAlign w:val="center"/>
            <w:hideMark/>
          </w:tcPr>
          <w:p w14:paraId="5340CD9A" w14:textId="77777777" w:rsidR="00706365" w:rsidRPr="003136F0" w:rsidRDefault="00706365">
            <w:pPr>
              <w:jc w:val="center"/>
              <w:rPr>
                <w:color w:val="000000"/>
                <w:sz w:val="18"/>
                <w:szCs w:val="18"/>
              </w:rPr>
            </w:pPr>
            <w:r w:rsidRPr="003136F0">
              <w:rPr>
                <w:color w:val="000000"/>
                <w:sz w:val="18"/>
                <w:szCs w:val="18"/>
              </w:rPr>
              <w:t>17.07</w:t>
            </w:r>
          </w:p>
        </w:tc>
        <w:tc>
          <w:tcPr>
            <w:tcW w:w="873" w:type="dxa"/>
            <w:tcBorders>
              <w:top w:val="nil"/>
              <w:left w:val="nil"/>
              <w:bottom w:val="single" w:sz="4" w:space="0" w:color="auto"/>
              <w:right w:val="single" w:sz="4" w:space="0" w:color="auto"/>
            </w:tcBorders>
            <w:noWrap/>
            <w:vAlign w:val="center"/>
            <w:hideMark/>
          </w:tcPr>
          <w:p w14:paraId="781C7E15" w14:textId="77777777" w:rsidR="00706365" w:rsidRPr="003136F0" w:rsidRDefault="00706365">
            <w:pPr>
              <w:jc w:val="center"/>
              <w:rPr>
                <w:color w:val="000000"/>
                <w:sz w:val="18"/>
                <w:szCs w:val="18"/>
              </w:rPr>
            </w:pPr>
            <w:r w:rsidRPr="003136F0">
              <w:rPr>
                <w:color w:val="000000"/>
                <w:sz w:val="18"/>
                <w:szCs w:val="18"/>
              </w:rPr>
              <w:t>19.45</w:t>
            </w:r>
          </w:p>
        </w:tc>
        <w:tc>
          <w:tcPr>
            <w:tcW w:w="839" w:type="dxa"/>
            <w:tcBorders>
              <w:top w:val="nil"/>
              <w:left w:val="nil"/>
              <w:bottom w:val="single" w:sz="4" w:space="0" w:color="auto"/>
              <w:right w:val="single" w:sz="4" w:space="0" w:color="auto"/>
            </w:tcBorders>
            <w:noWrap/>
            <w:vAlign w:val="center"/>
            <w:hideMark/>
          </w:tcPr>
          <w:p w14:paraId="781DF678" w14:textId="77777777" w:rsidR="00706365" w:rsidRPr="003136F0" w:rsidRDefault="00706365">
            <w:pPr>
              <w:jc w:val="center"/>
              <w:rPr>
                <w:color w:val="000000"/>
                <w:sz w:val="18"/>
                <w:szCs w:val="18"/>
              </w:rPr>
            </w:pPr>
            <w:r w:rsidRPr="003136F0">
              <w:rPr>
                <w:color w:val="000000"/>
                <w:sz w:val="18"/>
                <w:szCs w:val="18"/>
              </w:rPr>
              <w:t>21.32</w:t>
            </w:r>
          </w:p>
        </w:tc>
        <w:tc>
          <w:tcPr>
            <w:tcW w:w="725" w:type="dxa"/>
            <w:gridSpan w:val="2"/>
            <w:tcBorders>
              <w:top w:val="nil"/>
              <w:left w:val="nil"/>
              <w:bottom w:val="single" w:sz="4" w:space="0" w:color="auto"/>
              <w:right w:val="single" w:sz="4" w:space="0" w:color="auto"/>
            </w:tcBorders>
            <w:noWrap/>
            <w:vAlign w:val="center"/>
            <w:hideMark/>
          </w:tcPr>
          <w:p w14:paraId="308549C3" w14:textId="77777777" w:rsidR="00706365" w:rsidRPr="003136F0" w:rsidRDefault="00706365">
            <w:pPr>
              <w:jc w:val="center"/>
              <w:rPr>
                <w:color w:val="000000"/>
                <w:sz w:val="18"/>
                <w:szCs w:val="18"/>
              </w:rPr>
            </w:pPr>
            <w:r w:rsidRPr="003136F0">
              <w:rPr>
                <w:color w:val="000000"/>
                <w:sz w:val="18"/>
                <w:szCs w:val="18"/>
              </w:rPr>
              <w:t>21.78</w:t>
            </w:r>
          </w:p>
        </w:tc>
      </w:tr>
      <w:tr w:rsidR="000431AC" w:rsidRPr="000431AC" w14:paraId="2C076F28" w14:textId="77777777" w:rsidTr="003136F0">
        <w:trPr>
          <w:trHeight w:val="225"/>
        </w:trPr>
        <w:tc>
          <w:tcPr>
            <w:tcW w:w="2830" w:type="dxa"/>
            <w:tcBorders>
              <w:top w:val="nil"/>
              <w:left w:val="single" w:sz="4" w:space="0" w:color="auto"/>
              <w:bottom w:val="single" w:sz="4" w:space="0" w:color="auto"/>
              <w:right w:val="single" w:sz="4" w:space="0" w:color="auto"/>
            </w:tcBorders>
            <w:noWrap/>
            <w:vAlign w:val="bottom"/>
            <w:hideMark/>
          </w:tcPr>
          <w:p w14:paraId="2E2E0551" w14:textId="77777777" w:rsidR="00706365" w:rsidRPr="003136F0" w:rsidRDefault="00706365">
            <w:pPr>
              <w:rPr>
                <w:i/>
                <w:iCs/>
                <w:color w:val="7B7B7B" w:themeColor="accent3" w:themeShade="BF"/>
                <w:sz w:val="16"/>
                <w:szCs w:val="16"/>
              </w:rPr>
            </w:pPr>
            <w:r w:rsidRPr="003136F0">
              <w:rPr>
                <w:i/>
                <w:iCs/>
                <w:color w:val="7B7B7B" w:themeColor="accent3" w:themeShade="BF"/>
                <w:sz w:val="16"/>
                <w:szCs w:val="16"/>
              </w:rPr>
              <w:t>izmaiņas pret iepriekšējo periodu, %</w:t>
            </w:r>
          </w:p>
        </w:tc>
        <w:tc>
          <w:tcPr>
            <w:tcW w:w="851" w:type="dxa"/>
            <w:tcBorders>
              <w:top w:val="nil"/>
              <w:left w:val="nil"/>
              <w:bottom w:val="single" w:sz="4" w:space="0" w:color="auto"/>
              <w:right w:val="single" w:sz="4" w:space="0" w:color="auto"/>
            </w:tcBorders>
            <w:noWrap/>
            <w:vAlign w:val="center"/>
            <w:hideMark/>
          </w:tcPr>
          <w:p w14:paraId="1CABF97C" w14:textId="77777777" w:rsidR="00706365" w:rsidRPr="003136F0" w:rsidRDefault="00706365">
            <w:pPr>
              <w:jc w:val="center"/>
              <w:rPr>
                <w:i/>
                <w:iCs/>
                <w:color w:val="7B7B7B" w:themeColor="accent3" w:themeShade="BF"/>
                <w:sz w:val="16"/>
                <w:szCs w:val="16"/>
              </w:rPr>
            </w:pPr>
            <w:r w:rsidRPr="003136F0">
              <w:rPr>
                <w:i/>
                <w:iCs/>
                <w:color w:val="7B7B7B" w:themeColor="accent3" w:themeShade="BF"/>
                <w:sz w:val="16"/>
                <w:szCs w:val="16"/>
              </w:rPr>
              <w:t>3.83%</w:t>
            </w:r>
          </w:p>
        </w:tc>
        <w:tc>
          <w:tcPr>
            <w:tcW w:w="850" w:type="dxa"/>
            <w:tcBorders>
              <w:top w:val="nil"/>
              <w:left w:val="nil"/>
              <w:bottom w:val="single" w:sz="4" w:space="0" w:color="auto"/>
              <w:right w:val="single" w:sz="4" w:space="0" w:color="auto"/>
            </w:tcBorders>
            <w:noWrap/>
            <w:vAlign w:val="center"/>
            <w:hideMark/>
          </w:tcPr>
          <w:p w14:paraId="0C8ED042" w14:textId="77777777" w:rsidR="00706365" w:rsidRPr="003136F0" w:rsidRDefault="00706365">
            <w:pPr>
              <w:jc w:val="center"/>
              <w:rPr>
                <w:i/>
                <w:iCs/>
                <w:color w:val="7B7B7B" w:themeColor="accent3" w:themeShade="BF"/>
                <w:sz w:val="16"/>
                <w:szCs w:val="16"/>
              </w:rPr>
            </w:pPr>
            <w:r w:rsidRPr="003136F0">
              <w:rPr>
                <w:i/>
                <w:iCs/>
                <w:color w:val="7B7B7B" w:themeColor="accent3" w:themeShade="BF"/>
                <w:sz w:val="16"/>
                <w:szCs w:val="16"/>
              </w:rPr>
              <w:t>-4.35%</w:t>
            </w:r>
          </w:p>
        </w:tc>
        <w:tc>
          <w:tcPr>
            <w:tcW w:w="851" w:type="dxa"/>
            <w:tcBorders>
              <w:top w:val="nil"/>
              <w:left w:val="nil"/>
              <w:bottom w:val="single" w:sz="4" w:space="0" w:color="auto"/>
              <w:right w:val="single" w:sz="4" w:space="0" w:color="auto"/>
            </w:tcBorders>
            <w:noWrap/>
            <w:vAlign w:val="center"/>
            <w:hideMark/>
          </w:tcPr>
          <w:p w14:paraId="5DD82F05" w14:textId="77777777" w:rsidR="00706365" w:rsidRPr="003136F0" w:rsidRDefault="00706365">
            <w:pPr>
              <w:jc w:val="center"/>
              <w:rPr>
                <w:i/>
                <w:iCs/>
                <w:color w:val="7B7B7B" w:themeColor="accent3" w:themeShade="BF"/>
                <w:sz w:val="16"/>
                <w:szCs w:val="16"/>
              </w:rPr>
            </w:pPr>
            <w:r w:rsidRPr="003136F0">
              <w:rPr>
                <w:i/>
                <w:iCs/>
                <w:color w:val="7B7B7B" w:themeColor="accent3" w:themeShade="BF"/>
                <w:sz w:val="16"/>
                <w:szCs w:val="16"/>
              </w:rPr>
              <w:t>-5.20%</w:t>
            </w:r>
          </w:p>
        </w:tc>
        <w:tc>
          <w:tcPr>
            <w:tcW w:w="850" w:type="dxa"/>
            <w:tcBorders>
              <w:top w:val="nil"/>
              <w:left w:val="nil"/>
              <w:bottom w:val="single" w:sz="4" w:space="0" w:color="auto"/>
              <w:right w:val="single" w:sz="4" w:space="0" w:color="auto"/>
            </w:tcBorders>
            <w:noWrap/>
            <w:vAlign w:val="center"/>
            <w:hideMark/>
          </w:tcPr>
          <w:p w14:paraId="4990B1C0" w14:textId="77777777" w:rsidR="00706365" w:rsidRPr="003136F0" w:rsidRDefault="00706365">
            <w:pPr>
              <w:jc w:val="center"/>
              <w:rPr>
                <w:i/>
                <w:iCs/>
                <w:color w:val="7B7B7B" w:themeColor="accent3" w:themeShade="BF"/>
                <w:sz w:val="16"/>
                <w:szCs w:val="16"/>
              </w:rPr>
            </w:pPr>
            <w:r w:rsidRPr="003136F0">
              <w:rPr>
                <w:i/>
                <w:iCs/>
                <w:color w:val="7B7B7B" w:themeColor="accent3" w:themeShade="BF"/>
                <w:sz w:val="16"/>
                <w:szCs w:val="16"/>
              </w:rPr>
              <w:t>-6.52%</w:t>
            </w:r>
          </w:p>
        </w:tc>
        <w:tc>
          <w:tcPr>
            <w:tcW w:w="851" w:type="dxa"/>
            <w:tcBorders>
              <w:top w:val="nil"/>
              <w:left w:val="nil"/>
              <w:bottom w:val="single" w:sz="4" w:space="0" w:color="auto"/>
              <w:right w:val="single" w:sz="4" w:space="0" w:color="auto"/>
            </w:tcBorders>
            <w:noWrap/>
            <w:vAlign w:val="center"/>
            <w:hideMark/>
          </w:tcPr>
          <w:p w14:paraId="4BF04558" w14:textId="77777777" w:rsidR="00706365" w:rsidRPr="003136F0" w:rsidRDefault="00706365">
            <w:pPr>
              <w:jc w:val="center"/>
              <w:rPr>
                <w:i/>
                <w:iCs/>
                <w:color w:val="7B7B7B" w:themeColor="accent3" w:themeShade="BF"/>
                <w:sz w:val="16"/>
                <w:szCs w:val="16"/>
              </w:rPr>
            </w:pPr>
            <w:r w:rsidRPr="003136F0">
              <w:rPr>
                <w:i/>
                <w:iCs/>
                <w:color w:val="7B7B7B" w:themeColor="accent3" w:themeShade="BF"/>
                <w:sz w:val="16"/>
                <w:szCs w:val="16"/>
              </w:rPr>
              <w:t>8.75%</w:t>
            </w:r>
          </w:p>
        </w:tc>
        <w:tc>
          <w:tcPr>
            <w:tcW w:w="873" w:type="dxa"/>
            <w:tcBorders>
              <w:top w:val="nil"/>
              <w:left w:val="nil"/>
              <w:bottom w:val="single" w:sz="4" w:space="0" w:color="auto"/>
              <w:right w:val="single" w:sz="4" w:space="0" w:color="auto"/>
            </w:tcBorders>
            <w:noWrap/>
            <w:vAlign w:val="center"/>
            <w:hideMark/>
          </w:tcPr>
          <w:p w14:paraId="5BA128AB" w14:textId="77777777" w:rsidR="00706365" w:rsidRPr="003136F0" w:rsidRDefault="00706365">
            <w:pPr>
              <w:jc w:val="center"/>
              <w:rPr>
                <w:i/>
                <w:iCs/>
                <w:color w:val="7B7B7B" w:themeColor="accent3" w:themeShade="BF"/>
                <w:sz w:val="16"/>
                <w:szCs w:val="16"/>
              </w:rPr>
            </w:pPr>
            <w:r w:rsidRPr="003136F0">
              <w:rPr>
                <w:i/>
                <w:iCs/>
                <w:color w:val="7B7B7B" w:themeColor="accent3" w:themeShade="BF"/>
                <w:sz w:val="16"/>
                <w:szCs w:val="16"/>
              </w:rPr>
              <w:t>13.94%</w:t>
            </w:r>
          </w:p>
        </w:tc>
        <w:tc>
          <w:tcPr>
            <w:tcW w:w="839" w:type="dxa"/>
            <w:tcBorders>
              <w:top w:val="nil"/>
              <w:left w:val="nil"/>
              <w:bottom w:val="single" w:sz="4" w:space="0" w:color="auto"/>
              <w:right w:val="single" w:sz="4" w:space="0" w:color="auto"/>
            </w:tcBorders>
            <w:noWrap/>
            <w:vAlign w:val="center"/>
            <w:hideMark/>
          </w:tcPr>
          <w:p w14:paraId="50A210F2" w14:textId="77777777" w:rsidR="00706365" w:rsidRPr="003136F0" w:rsidRDefault="00706365">
            <w:pPr>
              <w:jc w:val="center"/>
              <w:rPr>
                <w:i/>
                <w:iCs/>
                <w:color w:val="7B7B7B" w:themeColor="accent3" w:themeShade="BF"/>
                <w:sz w:val="16"/>
                <w:szCs w:val="16"/>
              </w:rPr>
            </w:pPr>
            <w:r w:rsidRPr="003136F0">
              <w:rPr>
                <w:i/>
                <w:iCs/>
                <w:color w:val="7B7B7B" w:themeColor="accent3" w:themeShade="BF"/>
                <w:sz w:val="16"/>
                <w:szCs w:val="16"/>
              </w:rPr>
              <w:t>9.61%</w:t>
            </w:r>
          </w:p>
        </w:tc>
        <w:tc>
          <w:tcPr>
            <w:tcW w:w="725" w:type="dxa"/>
            <w:gridSpan w:val="2"/>
            <w:tcBorders>
              <w:top w:val="nil"/>
              <w:left w:val="nil"/>
              <w:bottom w:val="single" w:sz="4" w:space="0" w:color="auto"/>
              <w:right w:val="single" w:sz="4" w:space="0" w:color="auto"/>
            </w:tcBorders>
            <w:noWrap/>
            <w:vAlign w:val="center"/>
            <w:hideMark/>
          </w:tcPr>
          <w:p w14:paraId="7470F22C" w14:textId="77777777" w:rsidR="00706365" w:rsidRPr="003136F0" w:rsidRDefault="00706365">
            <w:pPr>
              <w:jc w:val="center"/>
              <w:rPr>
                <w:i/>
                <w:iCs/>
                <w:color w:val="7B7B7B" w:themeColor="accent3" w:themeShade="BF"/>
                <w:sz w:val="16"/>
                <w:szCs w:val="16"/>
              </w:rPr>
            </w:pPr>
            <w:r w:rsidRPr="003136F0">
              <w:rPr>
                <w:i/>
                <w:iCs/>
                <w:color w:val="7B7B7B" w:themeColor="accent3" w:themeShade="BF"/>
                <w:sz w:val="16"/>
                <w:szCs w:val="16"/>
              </w:rPr>
              <w:t>2.16%</w:t>
            </w:r>
          </w:p>
        </w:tc>
      </w:tr>
      <w:tr w:rsidR="000431AC" w:rsidRPr="000431AC" w14:paraId="302470E4" w14:textId="77777777" w:rsidTr="003136F0">
        <w:trPr>
          <w:trHeight w:val="300"/>
        </w:trPr>
        <w:tc>
          <w:tcPr>
            <w:tcW w:w="2830" w:type="dxa"/>
            <w:tcBorders>
              <w:top w:val="nil"/>
              <w:left w:val="single" w:sz="4" w:space="0" w:color="auto"/>
              <w:bottom w:val="single" w:sz="4" w:space="0" w:color="auto"/>
              <w:right w:val="single" w:sz="4" w:space="0" w:color="auto"/>
            </w:tcBorders>
            <w:noWrap/>
            <w:vAlign w:val="bottom"/>
            <w:hideMark/>
          </w:tcPr>
          <w:p w14:paraId="34401E09" w14:textId="13121250" w:rsidR="00706365" w:rsidRPr="003136F0" w:rsidRDefault="00706365">
            <w:pPr>
              <w:rPr>
                <w:color w:val="000000"/>
                <w:sz w:val="18"/>
                <w:szCs w:val="18"/>
              </w:rPr>
            </w:pPr>
            <w:r w:rsidRPr="003136F0">
              <w:rPr>
                <w:color w:val="000000"/>
                <w:sz w:val="18"/>
                <w:szCs w:val="18"/>
              </w:rPr>
              <w:t xml:space="preserve">Biļešu ieņēmumi, milj. </w:t>
            </w:r>
            <w:proofErr w:type="spellStart"/>
            <w:r w:rsidR="008E1E23" w:rsidRPr="003136F0">
              <w:rPr>
                <w:i/>
                <w:iCs/>
                <w:color w:val="000000"/>
                <w:sz w:val="18"/>
                <w:szCs w:val="18"/>
              </w:rPr>
              <w:t>euro</w:t>
            </w:r>
            <w:proofErr w:type="spellEnd"/>
          </w:p>
        </w:tc>
        <w:tc>
          <w:tcPr>
            <w:tcW w:w="851" w:type="dxa"/>
            <w:tcBorders>
              <w:top w:val="nil"/>
              <w:left w:val="nil"/>
              <w:bottom w:val="single" w:sz="4" w:space="0" w:color="auto"/>
              <w:right w:val="single" w:sz="4" w:space="0" w:color="auto"/>
            </w:tcBorders>
            <w:noWrap/>
            <w:vAlign w:val="center"/>
            <w:hideMark/>
          </w:tcPr>
          <w:p w14:paraId="46271CED" w14:textId="77777777" w:rsidR="00706365" w:rsidRPr="003136F0" w:rsidRDefault="00706365">
            <w:pPr>
              <w:jc w:val="center"/>
              <w:rPr>
                <w:color w:val="000000"/>
                <w:sz w:val="18"/>
                <w:szCs w:val="18"/>
              </w:rPr>
            </w:pPr>
            <w:r w:rsidRPr="003136F0">
              <w:rPr>
                <w:color w:val="000000"/>
                <w:sz w:val="18"/>
                <w:szCs w:val="18"/>
              </w:rPr>
              <w:t>28.37</w:t>
            </w:r>
          </w:p>
        </w:tc>
        <w:tc>
          <w:tcPr>
            <w:tcW w:w="850" w:type="dxa"/>
            <w:tcBorders>
              <w:top w:val="nil"/>
              <w:left w:val="nil"/>
              <w:bottom w:val="single" w:sz="4" w:space="0" w:color="auto"/>
              <w:right w:val="single" w:sz="4" w:space="0" w:color="auto"/>
            </w:tcBorders>
            <w:noWrap/>
            <w:vAlign w:val="center"/>
            <w:hideMark/>
          </w:tcPr>
          <w:p w14:paraId="658D885C" w14:textId="77777777" w:rsidR="00706365" w:rsidRPr="003136F0" w:rsidRDefault="00706365">
            <w:pPr>
              <w:jc w:val="center"/>
              <w:rPr>
                <w:color w:val="000000"/>
                <w:sz w:val="18"/>
                <w:szCs w:val="18"/>
              </w:rPr>
            </w:pPr>
            <w:r w:rsidRPr="003136F0">
              <w:rPr>
                <w:color w:val="000000"/>
                <w:sz w:val="18"/>
                <w:szCs w:val="18"/>
              </w:rPr>
              <w:t>29.2</w:t>
            </w:r>
          </w:p>
        </w:tc>
        <w:tc>
          <w:tcPr>
            <w:tcW w:w="851" w:type="dxa"/>
            <w:tcBorders>
              <w:top w:val="nil"/>
              <w:left w:val="nil"/>
              <w:bottom w:val="single" w:sz="4" w:space="0" w:color="auto"/>
              <w:right w:val="single" w:sz="4" w:space="0" w:color="auto"/>
            </w:tcBorders>
            <w:noWrap/>
            <w:vAlign w:val="center"/>
            <w:hideMark/>
          </w:tcPr>
          <w:p w14:paraId="01B53094" w14:textId="77777777" w:rsidR="00706365" w:rsidRPr="003136F0" w:rsidRDefault="00706365">
            <w:pPr>
              <w:jc w:val="center"/>
              <w:rPr>
                <w:color w:val="000000"/>
                <w:sz w:val="18"/>
                <w:szCs w:val="18"/>
              </w:rPr>
            </w:pPr>
            <w:r w:rsidRPr="003136F0">
              <w:rPr>
                <w:color w:val="000000"/>
                <w:sz w:val="18"/>
                <w:szCs w:val="18"/>
              </w:rPr>
              <w:t>27.01</w:t>
            </w:r>
          </w:p>
        </w:tc>
        <w:tc>
          <w:tcPr>
            <w:tcW w:w="850" w:type="dxa"/>
            <w:tcBorders>
              <w:top w:val="nil"/>
              <w:left w:val="nil"/>
              <w:bottom w:val="single" w:sz="4" w:space="0" w:color="auto"/>
              <w:right w:val="single" w:sz="4" w:space="0" w:color="auto"/>
            </w:tcBorders>
            <w:noWrap/>
            <w:vAlign w:val="center"/>
            <w:hideMark/>
          </w:tcPr>
          <w:p w14:paraId="1F155A9C" w14:textId="77777777" w:rsidR="00706365" w:rsidRPr="003136F0" w:rsidRDefault="00706365">
            <w:pPr>
              <w:jc w:val="center"/>
              <w:rPr>
                <w:color w:val="000000"/>
                <w:sz w:val="18"/>
                <w:szCs w:val="18"/>
              </w:rPr>
            </w:pPr>
            <w:r w:rsidRPr="003136F0">
              <w:rPr>
                <w:color w:val="000000"/>
                <w:sz w:val="18"/>
                <w:szCs w:val="18"/>
              </w:rPr>
              <w:t>27.5</w:t>
            </w:r>
          </w:p>
        </w:tc>
        <w:tc>
          <w:tcPr>
            <w:tcW w:w="851" w:type="dxa"/>
            <w:tcBorders>
              <w:top w:val="nil"/>
              <w:left w:val="nil"/>
              <w:bottom w:val="single" w:sz="4" w:space="0" w:color="auto"/>
              <w:right w:val="single" w:sz="4" w:space="0" w:color="auto"/>
            </w:tcBorders>
            <w:noWrap/>
            <w:vAlign w:val="center"/>
            <w:hideMark/>
          </w:tcPr>
          <w:p w14:paraId="262FE7E4" w14:textId="77777777" w:rsidR="00706365" w:rsidRPr="003136F0" w:rsidRDefault="00706365">
            <w:pPr>
              <w:jc w:val="center"/>
              <w:rPr>
                <w:color w:val="000000"/>
                <w:sz w:val="18"/>
                <w:szCs w:val="18"/>
              </w:rPr>
            </w:pPr>
            <w:r w:rsidRPr="003136F0">
              <w:rPr>
                <w:color w:val="000000"/>
                <w:sz w:val="18"/>
                <w:szCs w:val="18"/>
              </w:rPr>
              <w:t>20.86</w:t>
            </w:r>
          </w:p>
        </w:tc>
        <w:tc>
          <w:tcPr>
            <w:tcW w:w="873" w:type="dxa"/>
            <w:tcBorders>
              <w:top w:val="nil"/>
              <w:left w:val="nil"/>
              <w:bottom w:val="single" w:sz="4" w:space="0" w:color="auto"/>
              <w:right w:val="single" w:sz="4" w:space="0" w:color="auto"/>
            </w:tcBorders>
            <w:noWrap/>
            <w:vAlign w:val="center"/>
            <w:hideMark/>
          </w:tcPr>
          <w:p w14:paraId="16DFE375" w14:textId="77777777" w:rsidR="00706365" w:rsidRPr="003136F0" w:rsidRDefault="00706365">
            <w:pPr>
              <w:jc w:val="center"/>
              <w:rPr>
                <w:color w:val="000000"/>
                <w:sz w:val="18"/>
                <w:szCs w:val="18"/>
              </w:rPr>
            </w:pPr>
            <w:r w:rsidRPr="003136F0">
              <w:rPr>
                <w:color w:val="000000"/>
                <w:sz w:val="18"/>
                <w:szCs w:val="18"/>
              </w:rPr>
              <w:t>25.78</w:t>
            </w:r>
          </w:p>
        </w:tc>
        <w:tc>
          <w:tcPr>
            <w:tcW w:w="839" w:type="dxa"/>
            <w:tcBorders>
              <w:top w:val="nil"/>
              <w:left w:val="nil"/>
              <w:bottom w:val="single" w:sz="4" w:space="0" w:color="auto"/>
              <w:right w:val="single" w:sz="4" w:space="0" w:color="auto"/>
            </w:tcBorders>
            <w:noWrap/>
            <w:vAlign w:val="center"/>
            <w:hideMark/>
          </w:tcPr>
          <w:p w14:paraId="2625B9E0" w14:textId="77777777" w:rsidR="00706365" w:rsidRPr="003136F0" w:rsidRDefault="00706365">
            <w:pPr>
              <w:jc w:val="center"/>
              <w:rPr>
                <w:color w:val="000000"/>
                <w:sz w:val="18"/>
                <w:szCs w:val="18"/>
              </w:rPr>
            </w:pPr>
            <w:r w:rsidRPr="003136F0">
              <w:rPr>
                <w:color w:val="000000"/>
                <w:sz w:val="18"/>
                <w:szCs w:val="18"/>
              </w:rPr>
              <w:t>26.1</w:t>
            </w:r>
          </w:p>
        </w:tc>
        <w:tc>
          <w:tcPr>
            <w:tcW w:w="725" w:type="dxa"/>
            <w:gridSpan w:val="2"/>
            <w:tcBorders>
              <w:top w:val="nil"/>
              <w:left w:val="nil"/>
              <w:bottom w:val="single" w:sz="4" w:space="0" w:color="auto"/>
              <w:right w:val="single" w:sz="4" w:space="0" w:color="auto"/>
            </w:tcBorders>
            <w:noWrap/>
            <w:vAlign w:val="center"/>
            <w:hideMark/>
          </w:tcPr>
          <w:p w14:paraId="10588CF6" w14:textId="77777777" w:rsidR="00706365" w:rsidRPr="003136F0" w:rsidRDefault="00706365">
            <w:pPr>
              <w:jc w:val="center"/>
              <w:rPr>
                <w:color w:val="000000"/>
                <w:sz w:val="18"/>
                <w:szCs w:val="18"/>
              </w:rPr>
            </w:pPr>
            <w:r w:rsidRPr="003136F0">
              <w:rPr>
                <w:color w:val="000000"/>
                <w:sz w:val="18"/>
                <w:szCs w:val="18"/>
              </w:rPr>
              <w:t>27.87</w:t>
            </w:r>
          </w:p>
        </w:tc>
      </w:tr>
      <w:tr w:rsidR="000431AC" w:rsidRPr="000431AC" w14:paraId="7710F5B4" w14:textId="77777777" w:rsidTr="003136F0">
        <w:trPr>
          <w:trHeight w:val="225"/>
        </w:trPr>
        <w:tc>
          <w:tcPr>
            <w:tcW w:w="2830" w:type="dxa"/>
            <w:tcBorders>
              <w:top w:val="nil"/>
              <w:left w:val="single" w:sz="4" w:space="0" w:color="auto"/>
              <w:bottom w:val="single" w:sz="4" w:space="0" w:color="auto"/>
              <w:right w:val="single" w:sz="4" w:space="0" w:color="auto"/>
            </w:tcBorders>
            <w:noWrap/>
            <w:vAlign w:val="bottom"/>
            <w:hideMark/>
          </w:tcPr>
          <w:p w14:paraId="010BA529" w14:textId="77777777" w:rsidR="00706365" w:rsidRPr="003136F0" w:rsidRDefault="00706365">
            <w:pPr>
              <w:rPr>
                <w:i/>
                <w:iCs/>
                <w:color w:val="7B7B7B" w:themeColor="accent3" w:themeShade="BF"/>
                <w:sz w:val="16"/>
                <w:szCs w:val="16"/>
              </w:rPr>
            </w:pPr>
            <w:r w:rsidRPr="003136F0">
              <w:rPr>
                <w:i/>
                <w:iCs/>
                <w:color w:val="7B7B7B" w:themeColor="accent3" w:themeShade="BF"/>
                <w:sz w:val="16"/>
                <w:szCs w:val="16"/>
              </w:rPr>
              <w:t>izmaiņas pret iepriekšējo periodu, %</w:t>
            </w:r>
          </w:p>
        </w:tc>
        <w:tc>
          <w:tcPr>
            <w:tcW w:w="851" w:type="dxa"/>
            <w:tcBorders>
              <w:top w:val="nil"/>
              <w:left w:val="nil"/>
              <w:bottom w:val="single" w:sz="4" w:space="0" w:color="auto"/>
              <w:right w:val="single" w:sz="4" w:space="0" w:color="auto"/>
            </w:tcBorders>
            <w:noWrap/>
            <w:vAlign w:val="center"/>
            <w:hideMark/>
          </w:tcPr>
          <w:p w14:paraId="440D06C5" w14:textId="77777777" w:rsidR="00706365" w:rsidRPr="003136F0" w:rsidRDefault="00706365">
            <w:pPr>
              <w:jc w:val="center"/>
              <w:rPr>
                <w:i/>
                <w:iCs/>
                <w:color w:val="7B7B7B" w:themeColor="accent3" w:themeShade="BF"/>
                <w:sz w:val="16"/>
                <w:szCs w:val="16"/>
              </w:rPr>
            </w:pPr>
            <w:r w:rsidRPr="003136F0">
              <w:rPr>
                <w:i/>
                <w:iCs/>
                <w:color w:val="7B7B7B" w:themeColor="accent3" w:themeShade="BF"/>
                <w:sz w:val="16"/>
                <w:szCs w:val="16"/>
              </w:rPr>
              <w:t>5.54%</w:t>
            </w:r>
          </w:p>
        </w:tc>
        <w:tc>
          <w:tcPr>
            <w:tcW w:w="850" w:type="dxa"/>
            <w:tcBorders>
              <w:top w:val="nil"/>
              <w:left w:val="nil"/>
              <w:bottom w:val="single" w:sz="4" w:space="0" w:color="auto"/>
              <w:right w:val="single" w:sz="4" w:space="0" w:color="auto"/>
            </w:tcBorders>
            <w:noWrap/>
            <w:vAlign w:val="center"/>
            <w:hideMark/>
          </w:tcPr>
          <w:p w14:paraId="42C98C6E" w14:textId="77777777" w:rsidR="00706365" w:rsidRPr="003136F0" w:rsidRDefault="00706365">
            <w:pPr>
              <w:jc w:val="center"/>
              <w:rPr>
                <w:i/>
                <w:iCs/>
                <w:color w:val="7B7B7B" w:themeColor="accent3" w:themeShade="BF"/>
                <w:sz w:val="16"/>
                <w:szCs w:val="16"/>
              </w:rPr>
            </w:pPr>
            <w:r w:rsidRPr="003136F0">
              <w:rPr>
                <w:i/>
                <w:iCs/>
                <w:color w:val="7B7B7B" w:themeColor="accent3" w:themeShade="BF"/>
                <w:sz w:val="16"/>
                <w:szCs w:val="16"/>
              </w:rPr>
              <w:t>2.93%</w:t>
            </w:r>
          </w:p>
        </w:tc>
        <w:tc>
          <w:tcPr>
            <w:tcW w:w="851" w:type="dxa"/>
            <w:tcBorders>
              <w:top w:val="nil"/>
              <w:left w:val="nil"/>
              <w:bottom w:val="single" w:sz="4" w:space="0" w:color="auto"/>
              <w:right w:val="single" w:sz="4" w:space="0" w:color="auto"/>
            </w:tcBorders>
            <w:noWrap/>
            <w:vAlign w:val="center"/>
            <w:hideMark/>
          </w:tcPr>
          <w:p w14:paraId="491D4222" w14:textId="77777777" w:rsidR="00706365" w:rsidRPr="003136F0" w:rsidRDefault="00706365">
            <w:pPr>
              <w:jc w:val="center"/>
              <w:rPr>
                <w:i/>
                <w:iCs/>
                <w:color w:val="7B7B7B" w:themeColor="accent3" w:themeShade="BF"/>
                <w:sz w:val="16"/>
                <w:szCs w:val="16"/>
              </w:rPr>
            </w:pPr>
            <w:r w:rsidRPr="003136F0">
              <w:rPr>
                <w:i/>
                <w:iCs/>
                <w:color w:val="7B7B7B" w:themeColor="accent3" w:themeShade="BF"/>
                <w:sz w:val="16"/>
                <w:szCs w:val="16"/>
              </w:rPr>
              <w:t>-7.50%</w:t>
            </w:r>
          </w:p>
        </w:tc>
        <w:tc>
          <w:tcPr>
            <w:tcW w:w="850" w:type="dxa"/>
            <w:tcBorders>
              <w:top w:val="nil"/>
              <w:left w:val="nil"/>
              <w:bottom w:val="single" w:sz="4" w:space="0" w:color="auto"/>
              <w:right w:val="single" w:sz="4" w:space="0" w:color="auto"/>
            </w:tcBorders>
            <w:noWrap/>
            <w:vAlign w:val="center"/>
            <w:hideMark/>
          </w:tcPr>
          <w:p w14:paraId="027EFAF5" w14:textId="77777777" w:rsidR="00706365" w:rsidRPr="003136F0" w:rsidRDefault="00706365">
            <w:pPr>
              <w:jc w:val="center"/>
              <w:rPr>
                <w:i/>
                <w:iCs/>
                <w:color w:val="7B7B7B" w:themeColor="accent3" w:themeShade="BF"/>
                <w:sz w:val="16"/>
                <w:szCs w:val="16"/>
              </w:rPr>
            </w:pPr>
            <w:r w:rsidRPr="003136F0">
              <w:rPr>
                <w:i/>
                <w:iCs/>
                <w:color w:val="7B7B7B" w:themeColor="accent3" w:themeShade="BF"/>
                <w:sz w:val="16"/>
                <w:szCs w:val="16"/>
              </w:rPr>
              <w:t>1.81%</w:t>
            </w:r>
          </w:p>
        </w:tc>
        <w:tc>
          <w:tcPr>
            <w:tcW w:w="851" w:type="dxa"/>
            <w:tcBorders>
              <w:top w:val="nil"/>
              <w:left w:val="nil"/>
              <w:bottom w:val="single" w:sz="4" w:space="0" w:color="auto"/>
              <w:right w:val="single" w:sz="4" w:space="0" w:color="auto"/>
            </w:tcBorders>
            <w:noWrap/>
            <w:vAlign w:val="center"/>
            <w:hideMark/>
          </w:tcPr>
          <w:p w14:paraId="099AA8D0" w14:textId="77777777" w:rsidR="00706365" w:rsidRPr="003136F0" w:rsidRDefault="00706365">
            <w:pPr>
              <w:jc w:val="center"/>
              <w:rPr>
                <w:i/>
                <w:iCs/>
                <w:color w:val="7B7B7B" w:themeColor="accent3" w:themeShade="BF"/>
                <w:sz w:val="16"/>
                <w:szCs w:val="16"/>
              </w:rPr>
            </w:pPr>
            <w:r w:rsidRPr="003136F0">
              <w:rPr>
                <w:i/>
                <w:iCs/>
                <w:color w:val="7B7B7B" w:themeColor="accent3" w:themeShade="BF"/>
                <w:sz w:val="16"/>
                <w:szCs w:val="16"/>
              </w:rPr>
              <w:t>11.79%</w:t>
            </w:r>
          </w:p>
        </w:tc>
        <w:tc>
          <w:tcPr>
            <w:tcW w:w="873" w:type="dxa"/>
            <w:tcBorders>
              <w:top w:val="nil"/>
              <w:left w:val="nil"/>
              <w:bottom w:val="single" w:sz="4" w:space="0" w:color="auto"/>
              <w:right w:val="single" w:sz="4" w:space="0" w:color="auto"/>
            </w:tcBorders>
            <w:noWrap/>
            <w:vAlign w:val="center"/>
            <w:hideMark/>
          </w:tcPr>
          <w:p w14:paraId="0D4AEF82" w14:textId="77777777" w:rsidR="00706365" w:rsidRPr="003136F0" w:rsidRDefault="00706365">
            <w:pPr>
              <w:jc w:val="center"/>
              <w:rPr>
                <w:i/>
                <w:iCs/>
                <w:color w:val="7B7B7B" w:themeColor="accent3" w:themeShade="BF"/>
                <w:sz w:val="16"/>
                <w:szCs w:val="16"/>
              </w:rPr>
            </w:pPr>
            <w:r w:rsidRPr="003136F0">
              <w:rPr>
                <w:i/>
                <w:iCs/>
                <w:color w:val="7B7B7B" w:themeColor="accent3" w:themeShade="BF"/>
                <w:sz w:val="16"/>
                <w:szCs w:val="16"/>
              </w:rPr>
              <w:t>23.59%</w:t>
            </w:r>
          </w:p>
        </w:tc>
        <w:tc>
          <w:tcPr>
            <w:tcW w:w="839" w:type="dxa"/>
            <w:tcBorders>
              <w:top w:val="nil"/>
              <w:left w:val="nil"/>
              <w:bottom w:val="single" w:sz="4" w:space="0" w:color="auto"/>
              <w:right w:val="single" w:sz="4" w:space="0" w:color="auto"/>
            </w:tcBorders>
            <w:noWrap/>
            <w:vAlign w:val="center"/>
            <w:hideMark/>
          </w:tcPr>
          <w:p w14:paraId="0ED30DB2" w14:textId="77777777" w:rsidR="00706365" w:rsidRPr="003136F0" w:rsidRDefault="00706365">
            <w:pPr>
              <w:jc w:val="center"/>
              <w:rPr>
                <w:i/>
                <w:iCs/>
                <w:color w:val="7B7B7B" w:themeColor="accent3" w:themeShade="BF"/>
                <w:sz w:val="16"/>
                <w:szCs w:val="16"/>
              </w:rPr>
            </w:pPr>
            <w:r w:rsidRPr="003136F0">
              <w:rPr>
                <w:i/>
                <w:iCs/>
                <w:color w:val="7B7B7B" w:themeColor="accent3" w:themeShade="BF"/>
                <w:sz w:val="16"/>
                <w:szCs w:val="16"/>
              </w:rPr>
              <w:t>1.24%</w:t>
            </w:r>
          </w:p>
        </w:tc>
        <w:tc>
          <w:tcPr>
            <w:tcW w:w="725" w:type="dxa"/>
            <w:gridSpan w:val="2"/>
            <w:tcBorders>
              <w:top w:val="nil"/>
              <w:left w:val="nil"/>
              <w:bottom w:val="single" w:sz="4" w:space="0" w:color="auto"/>
              <w:right w:val="single" w:sz="4" w:space="0" w:color="auto"/>
            </w:tcBorders>
            <w:noWrap/>
            <w:vAlign w:val="center"/>
            <w:hideMark/>
          </w:tcPr>
          <w:p w14:paraId="51C1135F" w14:textId="77777777" w:rsidR="00706365" w:rsidRPr="003136F0" w:rsidRDefault="00706365">
            <w:pPr>
              <w:jc w:val="center"/>
              <w:rPr>
                <w:i/>
                <w:iCs/>
                <w:color w:val="7B7B7B" w:themeColor="accent3" w:themeShade="BF"/>
                <w:sz w:val="16"/>
                <w:szCs w:val="16"/>
              </w:rPr>
            </w:pPr>
            <w:r w:rsidRPr="003136F0">
              <w:rPr>
                <w:i/>
                <w:iCs/>
                <w:color w:val="7B7B7B" w:themeColor="accent3" w:themeShade="BF"/>
                <w:sz w:val="16"/>
                <w:szCs w:val="16"/>
              </w:rPr>
              <w:t>6.78%</w:t>
            </w:r>
          </w:p>
        </w:tc>
      </w:tr>
      <w:tr w:rsidR="000431AC" w:rsidRPr="000431AC" w14:paraId="128152AB" w14:textId="77777777" w:rsidTr="003136F0">
        <w:trPr>
          <w:trHeight w:val="300"/>
        </w:trPr>
        <w:tc>
          <w:tcPr>
            <w:tcW w:w="2830" w:type="dxa"/>
            <w:tcBorders>
              <w:top w:val="nil"/>
              <w:left w:val="single" w:sz="4" w:space="0" w:color="auto"/>
              <w:bottom w:val="single" w:sz="4" w:space="0" w:color="auto"/>
              <w:right w:val="single" w:sz="4" w:space="0" w:color="auto"/>
            </w:tcBorders>
            <w:noWrap/>
            <w:vAlign w:val="bottom"/>
            <w:hideMark/>
          </w:tcPr>
          <w:p w14:paraId="60AF048F" w14:textId="30A88D5F" w:rsidR="00706365" w:rsidRPr="003136F0" w:rsidRDefault="00706365">
            <w:pPr>
              <w:rPr>
                <w:color w:val="000000"/>
                <w:sz w:val="18"/>
                <w:szCs w:val="18"/>
              </w:rPr>
            </w:pPr>
            <w:r w:rsidRPr="003136F0">
              <w:rPr>
                <w:color w:val="000000"/>
                <w:sz w:val="18"/>
                <w:szCs w:val="18"/>
              </w:rPr>
              <w:t xml:space="preserve">Kompensējamie izdevumi, milj. </w:t>
            </w:r>
            <w:proofErr w:type="spellStart"/>
            <w:r w:rsidR="008E1E23" w:rsidRPr="003136F0">
              <w:rPr>
                <w:i/>
                <w:iCs/>
                <w:color w:val="000000"/>
                <w:sz w:val="18"/>
                <w:szCs w:val="18"/>
              </w:rPr>
              <w:t>euro</w:t>
            </w:r>
            <w:proofErr w:type="spellEnd"/>
          </w:p>
        </w:tc>
        <w:tc>
          <w:tcPr>
            <w:tcW w:w="851" w:type="dxa"/>
            <w:tcBorders>
              <w:top w:val="nil"/>
              <w:left w:val="nil"/>
              <w:bottom w:val="single" w:sz="4" w:space="0" w:color="auto"/>
              <w:right w:val="single" w:sz="4" w:space="0" w:color="auto"/>
            </w:tcBorders>
            <w:noWrap/>
            <w:vAlign w:val="center"/>
            <w:hideMark/>
          </w:tcPr>
          <w:p w14:paraId="283689AD" w14:textId="77777777" w:rsidR="00706365" w:rsidRPr="003136F0" w:rsidRDefault="00706365">
            <w:pPr>
              <w:jc w:val="center"/>
              <w:rPr>
                <w:color w:val="000000"/>
                <w:sz w:val="18"/>
                <w:szCs w:val="18"/>
              </w:rPr>
            </w:pPr>
            <w:r w:rsidRPr="003136F0">
              <w:rPr>
                <w:color w:val="000000"/>
                <w:sz w:val="18"/>
                <w:szCs w:val="18"/>
              </w:rPr>
              <w:t>88.64</w:t>
            </w:r>
          </w:p>
        </w:tc>
        <w:tc>
          <w:tcPr>
            <w:tcW w:w="850" w:type="dxa"/>
            <w:tcBorders>
              <w:top w:val="nil"/>
              <w:left w:val="nil"/>
              <w:bottom w:val="single" w:sz="4" w:space="0" w:color="auto"/>
              <w:right w:val="single" w:sz="4" w:space="0" w:color="auto"/>
            </w:tcBorders>
            <w:noWrap/>
            <w:vAlign w:val="center"/>
            <w:hideMark/>
          </w:tcPr>
          <w:p w14:paraId="4F4C8B89" w14:textId="77777777" w:rsidR="00706365" w:rsidRPr="003136F0" w:rsidRDefault="00706365">
            <w:pPr>
              <w:jc w:val="center"/>
              <w:rPr>
                <w:color w:val="000000"/>
                <w:sz w:val="18"/>
                <w:szCs w:val="18"/>
              </w:rPr>
            </w:pPr>
            <w:r w:rsidRPr="003136F0">
              <w:rPr>
                <w:color w:val="000000"/>
                <w:sz w:val="18"/>
                <w:szCs w:val="18"/>
              </w:rPr>
              <w:t>89.75</w:t>
            </w:r>
          </w:p>
        </w:tc>
        <w:tc>
          <w:tcPr>
            <w:tcW w:w="851" w:type="dxa"/>
            <w:tcBorders>
              <w:top w:val="nil"/>
              <w:left w:val="nil"/>
              <w:bottom w:val="single" w:sz="4" w:space="0" w:color="auto"/>
              <w:right w:val="single" w:sz="4" w:space="0" w:color="auto"/>
            </w:tcBorders>
            <w:noWrap/>
            <w:vAlign w:val="center"/>
            <w:hideMark/>
          </w:tcPr>
          <w:p w14:paraId="4691F0DE" w14:textId="77777777" w:rsidR="00706365" w:rsidRPr="003136F0" w:rsidRDefault="00706365">
            <w:pPr>
              <w:jc w:val="center"/>
              <w:rPr>
                <w:color w:val="000000"/>
                <w:sz w:val="18"/>
                <w:szCs w:val="18"/>
              </w:rPr>
            </w:pPr>
            <w:r w:rsidRPr="003136F0">
              <w:rPr>
                <w:color w:val="000000"/>
                <w:sz w:val="18"/>
                <w:szCs w:val="18"/>
              </w:rPr>
              <w:t>84.08</w:t>
            </w:r>
          </w:p>
        </w:tc>
        <w:tc>
          <w:tcPr>
            <w:tcW w:w="850" w:type="dxa"/>
            <w:tcBorders>
              <w:top w:val="nil"/>
              <w:left w:val="nil"/>
              <w:bottom w:val="single" w:sz="4" w:space="0" w:color="auto"/>
              <w:right w:val="single" w:sz="4" w:space="0" w:color="auto"/>
            </w:tcBorders>
            <w:noWrap/>
            <w:vAlign w:val="center"/>
            <w:hideMark/>
          </w:tcPr>
          <w:p w14:paraId="67D25647" w14:textId="77777777" w:rsidR="00706365" w:rsidRPr="003136F0" w:rsidRDefault="00706365">
            <w:pPr>
              <w:jc w:val="center"/>
              <w:rPr>
                <w:color w:val="000000"/>
                <w:sz w:val="18"/>
                <w:szCs w:val="18"/>
              </w:rPr>
            </w:pPr>
            <w:r w:rsidRPr="003136F0">
              <w:rPr>
                <w:color w:val="000000"/>
                <w:sz w:val="18"/>
                <w:szCs w:val="18"/>
              </w:rPr>
              <w:t>87.57</w:t>
            </w:r>
          </w:p>
        </w:tc>
        <w:tc>
          <w:tcPr>
            <w:tcW w:w="851" w:type="dxa"/>
            <w:tcBorders>
              <w:top w:val="nil"/>
              <w:left w:val="nil"/>
              <w:bottom w:val="single" w:sz="4" w:space="0" w:color="auto"/>
              <w:right w:val="single" w:sz="4" w:space="0" w:color="auto"/>
            </w:tcBorders>
            <w:noWrap/>
            <w:vAlign w:val="center"/>
            <w:hideMark/>
          </w:tcPr>
          <w:p w14:paraId="6AC47AA5" w14:textId="77777777" w:rsidR="00706365" w:rsidRPr="003136F0" w:rsidRDefault="00706365">
            <w:pPr>
              <w:jc w:val="center"/>
              <w:rPr>
                <w:color w:val="000000"/>
                <w:sz w:val="18"/>
                <w:szCs w:val="18"/>
              </w:rPr>
            </w:pPr>
            <w:r w:rsidRPr="003136F0">
              <w:rPr>
                <w:color w:val="000000"/>
                <w:sz w:val="18"/>
                <w:szCs w:val="18"/>
              </w:rPr>
              <w:t>49.15</w:t>
            </w:r>
          </w:p>
        </w:tc>
        <w:tc>
          <w:tcPr>
            <w:tcW w:w="873" w:type="dxa"/>
            <w:tcBorders>
              <w:top w:val="nil"/>
              <w:left w:val="nil"/>
              <w:bottom w:val="single" w:sz="4" w:space="0" w:color="auto"/>
              <w:right w:val="single" w:sz="4" w:space="0" w:color="auto"/>
            </w:tcBorders>
            <w:noWrap/>
            <w:vAlign w:val="center"/>
            <w:hideMark/>
          </w:tcPr>
          <w:p w14:paraId="0EA20122" w14:textId="77777777" w:rsidR="00706365" w:rsidRPr="003136F0" w:rsidRDefault="00706365">
            <w:pPr>
              <w:jc w:val="center"/>
              <w:rPr>
                <w:color w:val="000000"/>
                <w:sz w:val="18"/>
                <w:szCs w:val="18"/>
              </w:rPr>
            </w:pPr>
            <w:r w:rsidRPr="003136F0">
              <w:rPr>
                <w:color w:val="000000"/>
                <w:sz w:val="18"/>
                <w:szCs w:val="18"/>
              </w:rPr>
              <w:t>52.25</w:t>
            </w:r>
          </w:p>
        </w:tc>
        <w:tc>
          <w:tcPr>
            <w:tcW w:w="839" w:type="dxa"/>
            <w:tcBorders>
              <w:top w:val="nil"/>
              <w:left w:val="nil"/>
              <w:bottom w:val="single" w:sz="4" w:space="0" w:color="auto"/>
              <w:right w:val="single" w:sz="4" w:space="0" w:color="auto"/>
            </w:tcBorders>
            <w:noWrap/>
            <w:vAlign w:val="center"/>
            <w:hideMark/>
          </w:tcPr>
          <w:p w14:paraId="78122C1F" w14:textId="77777777" w:rsidR="00706365" w:rsidRPr="003136F0" w:rsidRDefault="00706365">
            <w:pPr>
              <w:jc w:val="center"/>
              <w:rPr>
                <w:color w:val="000000"/>
                <w:sz w:val="18"/>
                <w:szCs w:val="18"/>
              </w:rPr>
            </w:pPr>
            <w:r w:rsidRPr="003136F0">
              <w:rPr>
                <w:color w:val="000000"/>
                <w:sz w:val="18"/>
                <w:szCs w:val="18"/>
              </w:rPr>
              <w:t>58.74</w:t>
            </w:r>
          </w:p>
        </w:tc>
        <w:tc>
          <w:tcPr>
            <w:tcW w:w="725" w:type="dxa"/>
            <w:gridSpan w:val="2"/>
            <w:tcBorders>
              <w:top w:val="nil"/>
              <w:left w:val="nil"/>
              <w:bottom w:val="single" w:sz="4" w:space="0" w:color="auto"/>
              <w:right w:val="single" w:sz="4" w:space="0" w:color="auto"/>
            </w:tcBorders>
            <w:noWrap/>
            <w:vAlign w:val="center"/>
            <w:hideMark/>
          </w:tcPr>
          <w:p w14:paraId="6C3398FF" w14:textId="77777777" w:rsidR="00706365" w:rsidRPr="003136F0" w:rsidRDefault="00706365">
            <w:pPr>
              <w:jc w:val="center"/>
              <w:rPr>
                <w:color w:val="000000"/>
                <w:sz w:val="18"/>
                <w:szCs w:val="18"/>
              </w:rPr>
            </w:pPr>
            <w:r w:rsidRPr="003136F0">
              <w:rPr>
                <w:color w:val="000000"/>
                <w:sz w:val="18"/>
                <w:szCs w:val="18"/>
              </w:rPr>
              <w:t>61.00</w:t>
            </w:r>
          </w:p>
        </w:tc>
      </w:tr>
      <w:tr w:rsidR="000431AC" w:rsidRPr="000431AC" w14:paraId="4475F16A" w14:textId="77777777" w:rsidTr="003136F0">
        <w:trPr>
          <w:trHeight w:val="225"/>
        </w:trPr>
        <w:tc>
          <w:tcPr>
            <w:tcW w:w="2830" w:type="dxa"/>
            <w:tcBorders>
              <w:top w:val="nil"/>
              <w:left w:val="single" w:sz="4" w:space="0" w:color="auto"/>
              <w:bottom w:val="single" w:sz="4" w:space="0" w:color="auto"/>
              <w:right w:val="single" w:sz="4" w:space="0" w:color="auto"/>
            </w:tcBorders>
            <w:noWrap/>
            <w:vAlign w:val="bottom"/>
            <w:hideMark/>
          </w:tcPr>
          <w:p w14:paraId="064D307C" w14:textId="77777777" w:rsidR="00706365" w:rsidRPr="003136F0" w:rsidRDefault="00706365">
            <w:pPr>
              <w:rPr>
                <w:i/>
                <w:iCs/>
                <w:color w:val="7B7B7B" w:themeColor="accent3" w:themeShade="BF"/>
                <w:sz w:val="16"/>
                <w:szCs w:val="16"/>
              </w:rPr>
            </w:pPr>
            <w:r w:rsidRPr="003136F0">
              <w:rPr>
                <w:i/>
                <w:iCs/>
                <w:color w:val="7B7B7B" w:themeColor="accent3" w:themeShade="BF"/>
                <w:sz w:val="16"/>
                <w:szCs w:val="16"/>
              </w:rPr>
              <w:t>izmaiņas pret iepriekšējo periodu, %</w:t>
            </w:r>
          </w:p>
        </w:tc>
        <w:tc>
          <w:tcPr>
            <w:tcW w:w="851" w:type="dxa"/>
            <w:tcBorders>
              <w:top w:val="nil"/>
              <w:left w:val="nil"/>
              <w:bottom w:val="single" w:sz="4" w:space="0" w:color="auto"/>
              <w:right w:val="single" w:sz="4" w:space="0" w:color="auto"/>
            </w:tcBorders>
            <w:noWrap/>
            <w:vAlign w:val="center"/>
            <w:hideMark/>
          </w:tcPr>
          <w:p w14:paraId="56B1FB73" w14:textId="77777777" w:rsidR="00706365" w:rsidRPr="003136F0" w:rsidRDefault="00706365">
            <w:pPr>
              <w:jc w:val="center"/>
              <w:rPr>
                <w:i/>
                <w:iCs/>
                <w:color w:val="7B7B7B" w:themeColor="accent3" w:themeShade="BF"/>
                <w:sz w:val="16"/>
                <w:szCs w:val="16"/>
              </w:rPr>
            </w:pPr>
            <w:r w:rsidRPr="003136F0">
              <w:rPr>
                <w:i/>
                <w:iCs/>
                <w:color w:val="7B7B7B" w:themeColor="accent3" w:themeShade="BF"/>
                <w:sz w:val="16"/>
                <w:szCs w:val="16"/>
              </w:rPr>
              <w:t>4.28%</w:t>
            </w:r>
          </w:p>
        </w:tc>
        <w:tc>
          <w:tcPr>
            <w:tcW w:w="850" w:type="dxa"/>
            <w:tcBorders>
              <w:top w:val="nil"/>
              <w:left w:val="nil"/>
              <w:bottom w:val="single" w:sz="4" w:space="0" w:color="auto"/>
              <w:right w:val="single" w:sz="4" w:space="0" w:color="auto"/>
            </w:tcBorders>
            <w:noWrap/>
            <w:vAlign w:val="center"/>
            <w:hideMark/>
          </w:tcPr>
          <w:p w14:paraId="05084AB1" w14:textId="77777777" w:rsidR="00706365" w:rsidRPr="003136F0" w:rsidRDefault="00706365">
            <w:pPr>
              <w:jc w:val="center"/>
              <w:rPr>
                <w:i/>
                <w:iCs/>
                <w:color w:val="7B7B7B" w:themeColor="accent3" w:themeShade="BF"/>
                <w:sz w:val="16"/>
                <w:szCs w:val="16"/>
              </w:rPr>
            </w:pPr>
            <w:r w:rsidRPr="003136F0">
              <w:rPr>
                <w:i/>
                <w:iCs/>
                <w:color w:val="7B7B7B" w:themeColor="accent3" w:themeShade="BF"/>
                <w:sz w:val="16"/>
                <w:szCs w:val="16"/>
              </w:rPr>
              <w:t>1.25%</w:t>
            </w:r>
          </w:p>
        </w:tc>
        <w:tc>
          <w:tcPr>
            <w:tcW w:w="851" w:type="dxa"/>
            <w:tcBorders>
              <w:top w:val="nil"/>
              <w:left w:val="nil"/>
              <w:bottom w:val="single" w:sz="4" w:space="0" w:color="auto"/>
              <w:right w:val="single" w:sz="4" w:space="0" w:color="auto"/>
            </w:tcBorders>
            <w:noWrap/>
            <w:vAlign w:val="center"/>
            <w:hideMark/>
          </w:tcPr>
          <w:p w14:paraId="2A260899" w14:textId="77777777" w:rsidR="00706365" w:rsidRPr="003136F0" w:rsidRDefault="00706365">
            <w:pPr>
              <w:jc w:val="center"/>
              <w:rPr>
                <w:i/>
                <w:iCs/>
                <w:color w:val="7B7B7B" w:themeColor="accent3" w:themeShade="BF"/>
                <w:sz w:val="16"/>
                <w:szCs w:val="16"/>
              </w:rPr>
            </w:pPr>
            <w:r w:rsidRPr="003136F0">
              <w:rPr>
                <w:i/>
                <w:iCs/>
                <w:color w:val="7B7B7B" w:themeColor="accent3" w:themeShade="BF"/>
                <w:sz w:val="16"/>
                <w:szCs w:val="16"/>
              </w:rPr>
              <w:t>-6.32%</w:t>
            </w:r>
          </w:p>
        </w:tc>
        <w:tc>
          <w:tcPr>
            <w:tcW w:w="850" w:type="dxa"/>
            <w:tcBorders>
              <w:top w:val="nil"/>
              <w:left w:val="nil"/>
              <w:bottom w:val="single" w:sz="4" w:space="0" w:color="auto"/>
              <w:right w:val="single" w:sz="4" w:space="0" w:color="auto"/>
            </w:tcBorders>
            <w:noWrap/>
            <w:vAlign w:val="center"/>
            <w:hideMark/>
          </w:tcPr>
          <w:p w14:paraId="10249413" w14:textId="77777777" w:rsidR="00706365" w:rsidRPr="003136F0" w:rsidRDefault="00706365">
            <w:pPr>
              <w:jc w:val="center"/>
              <w:rPr>
                <w:i/>
                <w:iCs/>
                <w:color w:val="7B7B7B" w:themeColor="accent3" w:themeShade="BF"/>
                <w:sz w:val="16"/>
                <w:szCs w:val="16"/>
              </w:rPr>
            </w:pPr>
            <w:r w:rsidRPr="003136F0">
              <w:rPr>
                <w:i/>
                <w:iCs/>
                <w:color w:val="7B7B7B" w:themeColor="accent3" w:themeShade="BF"/>
                <w:sz w:val="16"/>
                <w:szCs w:val="16"/>
              </w:rPr>
              <w:t>4.15%</w:t>
            </w:r>
          </w:p>
        </w:tc>
        <w:tc>
          <w:tcPr>
            <w:tcW w:w="851" w:type="dxa"/>
            <w:tcBorders>
              <w:top w:val="nil"/>
              <w:left w:val="nil"/>
              <w:bottom w:val="single" w:sz="4" w:space="0" w:color="auto"/>
              <w:right w:val="single" w:sz="4" w:space="0" w:color="auto"/>
            </w:tcBorders>
            <w:noWrap/>
            <w:vAlign w:val="center"/>
            <w:hideMark/>
          </w:tcPr>
          <w:p w14:paraId="5B540A94" w14:textId="77777777" w:rsidR="00706365" w:rsidRPr="003136F0" w:rsidRDefault="00706365">
            <w:pPr>
              <w:jc w:val="center"/>
              <w:rPr>
                <w:i/>
                <w:iCs/>
                <w:color w:val="7B7B7B" w:themeColor="accent3" w:themeShade="BF"/>
                <w:sz w:val="16"/>
                <w:szCs w:val="16"/>
              </w:rPr>
            </w:pPr>
            <w:r w:rsidRPr="003136F0">
              <w:rPr>
                <w:i/>
                <w:iCs/>
                <w:color w:val="7B7B7B" w:themeColor="accent3" w:themeShade="BF"/>
                <w:sz w:val="16"/>
                <w:szCs w:val="16"/>
              </w:rPr>
              <w:t>14.30%</w:t>
            </w:r>
          </w:p>
        </w:tc>
        <w:tc>
          <w:tcPr>
            <w:tcW w:w="873" w:type="dxa"/>
            <w:tcBorders>
              <w:top w:val="nil"/>
              <w:left w:val="nil"/>
              <w:bottom w:val="single" w:sz="4" w:space="0" w:color="auto"/>
              <w:right w:val="single" w:sz="4" w:space="0" w:color="auto"/>
            </w:tcBorders>
            <w:noWrap/>
            <w:vAlign w:val="center"/>
            <w:hideMark/>
          </w:tcPr>
          <w:p w14:paraId="4226AEB3" w14:textId="77777777" w:rsidR="00706365" w:rsidRPr="003136F0" w:rsidRDefault="00706365">
            <w:pPr>
              <w:jc w:val="center"/>
              <w:rPr>
                <w:i/>
                <w:iCs/>
                <w:color w:val="7B7B7B" w:themeColor="accent3" w:themeShade="BF"/>
                <w:sz w:val="16"/>
                <w:szCs w:val="16"/>
              </w:rPr>
            </w:pPr>
            <w:r w:rsidRPr="003136F0">
              <w:rPr>
                <w:i/>
                <w:iCs/>
                <w:color w:val="7B7B7B" w:themeColor="accent3" w:themeShade="BF"/>
                <w:sz w:val="16"/>
                <w:szCs w:val="16"/>
              </w:rPr>
              <w:t>6.31%</w:t>
            </w:r>
          </w:p>
        </w:tc>
        <w:tc>
          <w:tcPr>
            <w:tcW w:w="839" w:type="dxa"/>
            <w:tcBorders>
              <w:top w:val="nil"/>
              <w:left w:val="nil"/>
              <w:bottom w:val="single" w:sz="4" w:space="0" w:color="auto"/>
              <w:right w:val="single" w:sz="4" w:space="0" w:color="auto"/>
            </w:tcBorders>
            <w:noWrap/>
            <w:vAlign w:val="center"/>
            <w:hideMark/>
          </w:tcPr>
          <w:p w14:paraId="6108E82F" w14:textId="77777777" w:rsidR="00706365" w:rsidRPr="003136F0" w:rsidRDefault="00706365">
            <w:pPr>
              <w:jc w:val="center"/>
              <w:rPr>
                <w:i/>
                <w:iCs/>
                <w:color w:val="7B7B7B" w:themeColor="accent3" w:themeShade="BF"/>
                <w:sz w:val="16"/>
                <w:szCs w:val="16"/>
              </w:rPr>
            </w:pPr>
            <w:r w:rsidRPr="003136F0">
              <w:rPr>
                <w:i/>
                <w:iCs/>
                <w:color w:val="7B7B7B" w:themeColor="accent3" w:themeShade="BF"/>
                <w:sz w:val="16"/>
                <w:szCs w:val="16"/>
              </w:rPr>
              <w:t>12.42%</w:t>
            </w:r>
          </w:p>
        </w:tc>
        <w:tc>
          <w:tcPr>
            <w:tcW w:w="725" w:type="dxa"/>
            <w:gridSpan w:val="2"/>
            <w:tcBorders>
              <w:top w:val="nil"/>
              <w:left w:val="nil"/>
              <w:bottom w:val="single" w:sz="4" w:space="0" w:color="auto"/>
              <w:right w:val="single" w:sz="4" w:space="0" w:color="auto"/>
            </w:tcBorders>
            <w:noWrap/>
            <w:vAlign w:val="center"/>
            <w:hideMark/>
          </w:tcPr>
          <w:p w14:paraId="2DC04724" w14:textId="77777777" w:rsidR="00706365" w:rsidRPr="003136F0" w:rsidRDefault="00706365">
            <w:pPr>
              <w:jc w:val="center"/>
              <w:rPr>
                <w:i/>
                <w:iCs/>
                <w:color w:val="7B7B7B" w:themeColor="accent3" w:themeShade="BF"/>
                <w:sz w:val="16"/>
                <w:szCs w:val="16"/>
              </w:rPr>
            </w:pPr>
            <w:r w:rsidRPr="003136F0">
              <w:rPr>
                <w:i/>
                <w:iCs/>
                <w:color w:val="7B7B7B" w:themeColor="accent3" w:themeShade="BF"/>
                <w:sz w:val="16"/>
                <w:szCs w:val="16"/>
              </w:rPr>
              <w:t>3.85%</w:t>
            </w:r>
          </w:p>
        </w:tc>
      </w:tr>
      <w:tr w:rsidR="000431AC" w:rsidRPr="000431AC" w14:paraId="414943C5" w14:textId="77777777" w:rsidTr="003136F0">
        <w:trPr>
          <w:trHeight w:val="300"/>
        </w:trPr>
        <w:tc>
          <w:tcPr>
            <w:tcW w:w="2830" w:type="dxa"/>
            <w:tcBorders>
              <w:top w:val="nil"/>
              <w:left w:val="single" w:sz="4" w:space="0" w:color="auto"/>
              <w:bottom w:val="single" w:sz="4" w:space="0" w:color="auto"/>
              <w:right w:val="single" w:sz="4" w:space="0" w:color="auto"/>
            </w:tcBorders>
            <w:noWrap/>
            <w:vAlign w:val="bottom"/>
            <w:hideMark/>
          </w:tcPr>
          <w:p w14:paraId="7BBB5854" w14:textId="1E8588E9" w:rsidR="00706365" w:rsidRPr="003136F0" w:rsidRDefault="00706365">
            <w:pPr>
              <w:rPr>
                <w:color w:val="000000"/>
                <w:sz w:val="18"/>
                <w:szCs w:val="18"/>
              </w:rPr>
            </w:pPr>
            <w:r w:rsidRPr="003136F0">
              <w:rPr>
                <w:color w:val="000000"/>
                <w:sz w:val="18"/>
                <w:szCs w:val="18"/>
              </w:rPr>
              <w:t xml:space="preserve">Zaudējumu kompensācija*, milj. </w:t>
            </w:r>
            <w:proofErr w:type="spellStart"/>
            <w:r w:rsidR="008E1E23" w:rsidRPr="003136F0">
              <w:rPr>
                <w:i/>
                <w:iCs/>
                <w:color w:val="000000"/>
                <w:sz w:val="18"/>
                <w:szCs w:val="18"/>
              </w:rPr>
              <w:t>euro</w:t>
            </w:r>
            <w:proofErr w:type="spellEnd"/>
          </w:p>
        </w:tc>
        <w:tc>
          <w:tcPr>
            <w:tcW w:w="851" w:type="dxa"/>
            <w:tcBorders>
              <w:top w:val="nil"/>
              <w:left w:val="nil"/>
              <w:bottom w:val="single" w:sz="4" w:space="0" w:color="auto"/>
              <w:right w:val="single" w:sz="4" w:space="0" w:color="auto"/>
            </w:tcBorders>
            <w:noWrap/>
            <w:vAlign w:val="center"/>
            <w:hideMark/>
          </w:tcPr>
          <w:p w14:paraId="5E719309" w14:textId="77777777" w:rsidR="00706365" w:rsidRPr="003136F0" w:rsidRDefault="00706365">
            <w:pPr>
              <w:jc w:val="center"/>
              <w:rPr>
                <w:color w:val="000000"/>
                <w:sz w:val="18"/>
                <w:szCs w:val="18"/>
              </w:rPr>
            </w:pPr>
            <w:r w:rsidRPr="003136F0">
              <w:rPr>
                <w:color w:val="000000"/>
                <w:sz w:val="18"/>
                <w:szCs w:val="18"/>
              </w:rPr>
              <w:t>62.82</w:t>
            </w:r>
          </w:p>
        </w:tc>
        <w:tc>
          <w:tcPr>
            <w:tcW w:w="850" w:type="dxa"/>
            <w:tcBorders>
              <w:top w:val="nil"/>
              <w:left w:val="nil"/>
              <w:bottom w:val="single" w:sz="4" w:space="0" w:color="auto"/>
              <w:right w:val="single" w:sz="4" w:space="0" w:color="auto"/>
            </w:tcBorders>
            <w:noWrap/>
            <w:vAlign w:val="center"/>
            <w:hideMark/>
          </w:tcPr>
          <w:p w14:paraId="46229AA2" w14:textId="77777777" w:rsidR="00706365" w:rsidRPr="003136F0" w:rsidRDefault="00706365">
            <w:pPr>
              <w:jc w:val="center"/>
              <w:rPr>
                <w:color w:val="000000"/>
                <w:sz w:val="18"/>
                <w:szCs w:val="18"/>
              </w:rPr>
            </w:pPr>
            <w:r w:rsidRPr="003136F0">
              <w:rPr>
                <w:color w:val="000000"/>
                <w:sz w:val="18"/>
                <w:szCs w:val="18"/>
              </w:rPr>
              <w:t>63.08</w:t>
            </w:r>
          </w:p>
        </w:tc>
        <w:tc>
          <w:tcPr>
            <w:tcW w:w="851" w:type="dxa"/>
            <w:tcBorders>
              <w:top w:val="nil"/>
              <w:left w:val="nil"/>
              <w:bottom w:val="single" w:sz="4" w:space="0" w:color="auto"/>
              <w:right w:val="single" w:sz="4" w:space="0" w:color="auto"/>
            </w:tcBorders>
            <w:noWrap/>
            <w:vAlign w:val="center"/>
            <w:hideMark/>
          </w:tcPr>
          <w:p w14:paraId="389314F0" w14:textId="77777777" w:rsidR="00706365" w:rsidRPr="003136F0" w:rsidRDefault="00706365">
            <w:pPr>
              <w:jc w:val="center"/>
              <w:rPr>
                <w:color w:val="000000"/>
                <w:sz w:val="18"/>
                <w:szCs w:val="18"/>
              </w:rPr>
            </w:pPr>
            <w:r w:rsidRPr="003136F0">
              <w:rPr>
                <w:color w:val="000000"/>
                <w:sz w:val="18"/>
                <w:szCs w:val="18"/>
              </w:rPr>
              <w:t>59.30</w:t>
            </w:r>
          </w:p>
        </w:tc>
        <w:tc>
          <w:tcPr>
            <w:tcW w:w="850" w:type="dxa"/>
            <w:tcBorders>
              <w:top w:val="nil"/>
              <w:left w:val="nil"/>
              <w:bottom w:val="single" w:sz="4" w:space="0" w:color="auto"/>
              <w:right w:val="single" w:sz="4" w:space="0" w:color="auto"/>
            </w:tcBorders>
            <w:noWrap/>
            <w:vAlign w:val="center"/>
            <w:hideMark/>
          </w:tcPr>
          <w:p w14:paraId="7D971E17" w14:textId="77777777" w:rsidR="00706365" w:rsidRPr="003136F0" w:rsidRDefault="00706365">
            <w:pPr>
              <w:jc w:val="center"/>
              <w:rPr>
                <w:color w:val="000000"/>
                <w:sz w:val="18"/>
                <w:szCs w:val="18"/>
              </w:rPr>
            </w:pPr>
            <w:r w:rsidRPr="003136F0">
              <w:rPr>
                <w:color w:val="000000"/>
                <w:sz w:val="18"/>
                <w:szCs w:val="18"/>
              </w:rPr>
              <w:t>62.09</w:t>
            </w:r>
          </w:p>
        </w:tc>
        <w:tc>
          <w:tcPr>
            <w:tcW w:w="851" w:type="dxa"/>
            <w:tcBorders>
              <w:top w:val="nil"/>
              <w:left w:val="nil"/>
              <w:bottom w:val="single" w:sz="4" w:space="0" w:color="auto"/>
              <w:right w:val="single" w:sz="4" w:space="0" w:color="auto"/>
            </w:tcBorders>
            <w:noWrap/>
            <w:vAlign w:val="center"/>
            <w:hideMark/>
          </w:tcPr>
          <w:p w14:paraId="6E7B4736" w14:textId="77777777" w:rsidR="00706365" w:rsidRPr="003136F0" w:rsidRDefault="00706365">
            <w:pPr>
              <w:jc w:val="center"/>
              <w:rPr>
                <w:color w:val="000000"/>
                <w:sz w:val="18"/>
                <w:szCs w:val="18"/>
              </w:rPr>
            </w:pPr>
            <w:r w:rsidRPr="003136F0">
              <w:rPr>
                <w:color w:val="000000"/>
                <w:sz w:val="18"/>
                <w:szCs w:val="18"/>
              </w:rPr>
              <w:t>29.18</w:t>
            </w:r>
          </w:p>
        </w:tc>
        <w:tc>
          <w:tcPr>
            <w:tcW w:w="873" w:type="dxa"/>
            <w:tcBorders>
              <w:top w:val="nil"/>
              <w:left w:val="nil"/>
              <w:bottom w:val="single" w:sz="4" w:space="0" w:color="auto"/>
              <w:right w:val="single" w:sz="4" w:space="0" w:color="auto"/>
            </w:tcBorders>
            <w:noWrap/>
            <w:vAlign w:val="center"/>
            <w:hideMark/>
          </w:tcPr>
          <w:p w14:paraId="0A67E525" w14:textId="77777777" w:rsidR="00706365" w:rsidRPr="003136F0" w:rsidRDefault="00706365">
            <w:pPr>
              <w:jc w:val="center"/>
              <w:rPr>
                <w:color w:val="000000"/>
                <w:sz w:val="18"/>
                <w:szCs w:val="18"/>
              </w:rPr>
            </w:pPr>
            <w:r w:rsidRPr="003136F0">
              <w:rPr>
                <w:color w:val="000000"/>
                <w:sz w:val="18"/>
                <w:szCs w:val="18"/>
              </w:rPr>
              <w:t>24.13</w:t>
            </w:r>
          </w:p>
        </w:tc>
        <w:tc>
          <w:tcPr>
            <w:tcW w:w="839" w:type="dxa"/>
            <w:tcBorders>
              <w:top w:val="nil"/>
              <w:left w:val="nil"/>
              <w:bottom w:val="single" w:sz="4" w:space="0" w:color="auto"/>
              <w:right w:val="single" w:sz="4" w:space="0" w:color="auto"/>
            </w:tcBorders>
            <w:noWrap/>
            <w:vAlign w:val="center"/>
            <w:hideMark/>
          </w:tcPr>
          <w:p w14:paraId="4ECE801A" w14:textId="77777777" w:rsidR="00706365" w:rsidRPr="003136F0" w:rsidRDefault="00706365">
            <w:pPr>
              <w:jc w:val="center"/>
              <w:rPr>
                <w:color w:val="000000"/>
                <w:sz w:val="18"/>
                <w:szCs w:val="18"/>
              </w:rPr>
            </w:pPr>
            <w:r w:rsidRPr="003136F0">
              <w:rPr>
                <w:color w:val="000000"/>
                <w:sz w:val="18"/>
                <w:szCs w:val="18"/>
              </w:rPr>
              <w:t>29.88</w:t>
            </w:r>
          </w:p>
        </w:tc>
        <w:tc>
          <w:tcPr>
            <w:tcW w:w="725" w:type="dxa"/>
            <w:gridSpan w:val="2"/>
            <w:tcBorders>
              <w:top w:val="nil"/>
              <w:left w:val="nil"/>
              <w:bottom w:val="single" w:sz="4" w:space="0" w:color="auto"/>
              <w:right w:val="single" w:sz="4" w:space="0" w:color="auto"/>
            </w:tcBorders>
            <w:noWrap/>
            <w:vAlign w:val="center"/>
            <w:hideMark/>
          </w:tcPr>
          <w:p w14:paraId="6315401B" w14:textId="77777777" w:rsidR="00706365" w:rsidRPr="003136F0" w:rsidRDefault="00706365">
            <w:pPr>
              <w:jc w:val="center"/>
              <w:rPr>
                <w:color w:val="000000"/>
                <w:sz w:val="18"/>
                <w:szCs w:val="18"/>
              </w:rPr>
            </w:pPr>
            <w:r w:rsidRPr="003136F0">
              <w:rPr>
                <w:color w:val="000000"/>
                <w:sz w:val="18"/>
                <w:szCs w:val="18"/>
              </w:rPr>
              <w:t>28.55</w:t>
            </w:r>
          </w:p>
        </w:tc>
      </w:tr>
      <w:tr w:rsidR="000431AC" w:rsidRPr="000431AC" w14:paraId="247C78E1" w14:textId="77777777" w:rsidTr="003136F0">
        <w:trPr>
          <w:trHeight w:val="225"/>
        </w:trPr>
        <w:tc>
          <w:tcPr>
            <w:tcW w:w="2830" w:type="dxa"/>
            <w:tcBorders>
              <w:top w:val="nil"/>
              <w:left w:val="single" w:sz="4" w:space="0" w:color="auto"/>
              <w:bottom w:val="single" w:sz="4" w:space="0" w:color="auto"/>
              <w:right w:val="single" w:sz="4" w:space="0" w:color="auto"/>
            </w:tcBorders>
            <w:noWrap/>
            <w:vAlign w:val="bottom"/>
            <w:hideMark/>
          </w:tcPr>
          <w:p w14:paraId="32B9AEFD" w14:textId="77777777" w:rsidR="00706365" w:rsidRPr="003136F0" w:rsidRDefault="00706365">
            <w:pPr>
              <w:rPr>
                <w:i/>
                <w:iCs/>
                <w:color w:val="7B7B7B" w:themeColor="accent3" w:themeShade="BF"/>
                <w:sz w:val="16"/>
                <w:szCs w:val="16"/>
              </w:rPr>
            </w:pPr>
            <w:r w:rsidRPr="003136F0">
              <w:rPr>
                <w:i/>
                <w:iCs/>
                <w:color w:val="7B7B7B" w:themeColor="accent3" w:themeShade="BF"/>
                <w:sz w:val="16"/>
                <w:szCs w:val="16"/>
              </w:rPr>
              <w:t>izmaiņas pret iepriekšējo periodu, %</w:t>
            </w:r>
          </w:p>
        </w:tc>
        <w:tc>
          <w:tcPr>
            <w:tcW w:w="851" w:type="dxa"/>
            <w:tcBorders>
              <w:top w:val="nil"/>
              <w:left w:val="nil"/>
              <w:bottom w:val="single" w:sz="4" w:space="0" w:color="auto"/>
              <w:right w:val="single" w:sz="4" w:space="0" w:color="auto"/>
            </w:tcBorders>
            <w:noWrap/>
            <w:vAlign w:val="center"/>
            <w:hideMark/>
          </w:tcPr>
          <w:p w14:paraId="3FAC995B" w14:textId="77777777" w:rsidR="00706365" w:rsidRPr="003136F0" w:rsidRDefault="00706365">
            <w:pPr>
              <w:jc w:val="center"/>
              <w:rPr>
                <w:i/>
                <w:iCs/>
                <w:color w:val="7B7B7B" w:themeColor="accent3" w:themeShade="BF"/>
                <w:sz w:val="16"/>
                <w:szCs w:val="16"/>
              </w:rPr>
            </w:pPr>
            <w:r w:rsidRPr="003136F0">
              <w:rPr>
                <w:i/>
                <w:iCs/>
                <w:color w:val="7B7B7B" w:themeColor="accent3" w:themeShade="BF"/>
                <w:sz w:val="16"/>
                <w:szCs w:val="16"/>
              </w:rPr>
              <w:t>3.44%</w:t>
            </w:r>
          </w:p>
        </w:tc>
        <w:tc>
          <w:tcPr>
            <w:tcW w:w="850" w:type="dxa"/>
            <w:tcBorders>
              <w:top w:val="nil"/>
              <w:left w:val="nil"/>
              <w:bottom w:val="single" w:sz="4" w:space="0" w:color="auto"/>
              <w:right w:val="single" w:sz="4" w:space="0" w:color="auto"/>
            </w:tcBorders>
            <w:noWrap/>
            <w:vAlign w:val="center"/>
            <w:hideMark/>
          </w:tcPr>
          <w:p w14:paraId="5B84078E" w14:textId="77777777" w:rsidR="00706365" w:rsidRPr="003136F0" w:rsidRDefault="00706365">
            <w:pPr>
              <w:jc w:val="center"/>
              <w:rPr>
                <w:i/>
                <w:iCs/>
                <w:color w:val="7B7B7B" w:themeColor="accent3" w:themeShade="BF"/>
                <w:sz w:val="16"/>
                <w:szCs w:val="16"/>
              </w:rPr>
            </w:pPr>
            <w:r w:rsidRPr="003136F0">
              <w:rPr>
                <w:i/>
                <w:iCs/>
                <w:color w:val="7B7B7B" w:themeColor="accent3" w:themeShade="BF"/>
                <w:sz w:val="16"/>
                <w:szCs w:val="16"/>
              </w:rPr>
              <w:t>0.41%</w:t>
            </w:r>
          </w:p>
        </w:tc>
        <w:tc>
          <w:tcPr>
            <w:tcW w:w="851" w:type="dxa"/>
            <w:tcBorders>
              <w:top w:val="nil"/>
              <w:left w:val="nil"/>
              <w:bottom w:val="single" w:sz="4" w:space="0" w:color="auto"/>
              <w:right w:val="single" w:sz="4" w:space="0" w:color="auto"/>
            </w:tcBorders>
            <w:noWrap/>
            <w:vAlign w:val="center"/>
            <w:hideMark/>
          </w:tcPr>
          <w:p w14:paraId="7322C812" w14:textId="77777777" w:rsidR="00706365" w:rsidRPr="003136F0" w:rsidRDefault="00706365">
            <w:pPr>
              <w:jc w:val="center"/>
              <w:rPr>
                <w:i/>
                <w:iCs/>
                <w:color w:val="7B7B7B" w:themeColor="accent3" w:themeShade="BF"/>
                <w:sz w:val="16"/>
                <w:szCs w:val="16"/>
              </w:rPr>
            </w:pPr>
            <w:r w:rsidRPr="003136F0">
              <w:rPr>
                <w:i/>
                <w:iCs/>
                <w:color w:val="7B7B7B" w:themeColor="accent3" w:themeShade="BF"/>
                <w:sz w:val="16"/>
                <w:szCs w:val="16"/>
              </w:rPr>
              <w:t>-5.99%</w:t>
            </w:r>
          </w:p>
        </w:tc>
        <w:tc>
          <w:tcPr>
            <w:tcW w:w="850" w:type="dxa"/>
            <w:tcBorders>
              <w:top w:val="nil"/>
              <w:left w:val="nil"/>
              <w:bottom w:val="single" w:sz="4" w:space="0" w:color="auto"/>
              <w:right w:val="single" w:sz="4" w:space="0" w:color="auto"/>
            </w:tcBorders>
            <w:noWrap/>
            <w:vAlign w:val="center"/>
            <w:hideMark/>
          </w:tcPr>
          <w:p w14:paraId="1862538D" w14:textId="77777777" w:rsidR="00706365" w:rsidRPr="003136F0" w:rsidRDefault="00706365">
            <w:pPr>
              <w:jc w:val="center"/>
              <w:rPr>
                <w:i/>
                <w:iCs/>
                <w:color w:val="7B7B7B" w:themeColor="accent3" w:themeShade="BF"/>
                <w:sz w:val="16"/>
                <w:szCs w:val="16"/>
              </w:rPr>
            </w:pPr>
            <w:r w:rsidRPr="003136F0">
              <w:rPr>
                <w:i/>
                <w:iCs/>
                <w:color w:val="7B7B7B" w:themeColor="accent3" w:themeShade="BF"/>
                <w:sz w:val="16"/>
                <w:szCs w:val="16"/>
              </w:rPr>
              <w:t>4.70%</w:t>
            </w:r>
          </w:p>
        </w:tc>
        <w:tc>
          <w:tcPr>
            <w:tcW w:w="851" w:type="dxa"/>
            <w:tcBorders>
              <w:top w:val="nil"/>
              <w:left w:val="nil"/>
              <w:bottom w:val="single" w:sz="4" w:space="0" w:color="auto"/>
              <w:right w:val="single" w:sz="4" w:space="0" w:color="auto"/>
            </w:tcBorders>
            <w:noWrap/>
            <w:vAlign w:val="center"/>
            <w:hideMark/>
          </w:tcPr>
          <w:p w14:paraId="27693C6C" w14:textId="77777777" w:rsidR="00706365" w:rsidRPr="003136F0" w:rsidRDefault="00706365">
            <w:pPr>
              <w:jc w:val="center"/>
              <w:rPr>
                <w:i/>
                <w:iCs/>
                <w:color w:val="7B7B7B" w:themeColor="accent3" w:themeShade="BF"/>
                <w:sz w:val="16"/>
                <w:szCs w:val="16"/>
              </w:rPr>
            </w:pPr>
            <w:r w:rsidRPr="003136F0">
              <w:rPr>
                <w:i/>
                <w:iCs/>
                <w:color w:val="7B7B7B" w:themeColor="accent3" w:themeShade="BF"/>
                <w:sz w:val="16"/>
                <w:szCs w:val="16"/>
              </w:rPr>
              <w:t>26.32%</w:t>
            </w:r>
          </w:p>
        </w:tc>
        <w:tc>
          <w:tcPr>
            <w:tcW w:w="873" w:type="dxa"/>
            <w:tcBorders>
              <w:top w:val="nil"/>
              <w:left w:val="nil"/>
              <w:bottom w:val="single" w:sz="4" w:space="0" w:color="auto"/>
              <w:right w:val="single" w:sz="4" w:space="0" w:color="auto"/>
            </w:tcBorders>
            <w:noWrap/>
            <w:vAlign w:val="center"/>
            <w:hideMark/>
          </w:tcPr>
          <w:p w14:paraId="0B3FC7BD" w14:textId="77777777" w:rsidR="00706365" w:rsidRPr="003136F0" w:rsidRDefault="00706365">
            <w:pPr>
              <w:jc w:val="center"/>
              <w:rPr>
                <w:i/>
                <w:iCs/>
                <w:color w:val="7B7B7B" w:themeColor="accent3" w:themeShade="BF"/>
                <w:sz w:val="16"/>
                <w:szCs w:val="16"/>
              </w:rPr>
            </w:pPr>
            <w:r w:rsidRPr="003136F0">
              <w:rPr>
                <w:i/>
                <w:iCs/>
                <w:color w:val="7B7B7B" w:themeColor="accent3" w:themeShade="BF"/>
                <w:sz w:val="16"/>
                <w:szCs w:val="16"/>
              </w:rPr>
              <w:t>-17.31%</w:t>
            </w:r>
          </w:p>
        </w:tc>
        <w:tc>
          <w:tcPr>
            <w:tcW w:w="839" w:type="dxa"/>
            <w:tcBorders>
              <w:top w:val="nil"/>
              <w:left w:val="nil"/>
              <w:bottom w:val="single" w:sz="4" w:space="0" w:color="auto"/>
              <w:right w:val="single" w:sz="4" w:space="0" w:color="auto"/>
            </w:tcBorders>
            <w:noWrap/>
            <w:vAlign w:val="center"/>
            <w:hideMark/>
          </w:tcPr>
          <w:p w14:paraId="28DE6299" w14:textId="77777777" w:rsidR="00706365" w:rsidRPr="003136F0" w:rsidRDefault="00706365">
            <w:pPr>
              <w:jc w:val="center"/>
              <w:rPr>
                <w:i/>
                <w:iCs/>
                <w:color w:val="7B7B7B" w:themeColor="accent3" w:themeShade="BF"/>
                <w:sz w:val="16"/>
                <w:szCs w:val="16"/>
              </w:rPr>
            </w:pPr>
            <w:r w:rsidRPr="003136F0">
              <w:rPr>
                <w:i/>
                <w:iCs/>
                <w:color w:val="7B7B7B" w:themeColor="accent3" w:themeShade="BF"/>
                <w:sz w:val="16"/>
                <w:szCs w:val="16"/>
              </w:rPr>
              <w:t>23.83%</w:t>
            </w:r>
          </w:p>
        </w:tc>
        <w:tc>
          <w:tcPr>
            <w:tcW w:w="725" w:type="dxa"/>
            <w:gridSpan w:val="2"/>
            <w:tcBorders>
              <w:top w:val="nil"/>
              <w:left w:val="nil"/>
              <w:bottom w:val="single" w:sz="4" w:space="0" w:color="auto"/>
              <w:right w:val="single" w:sz="4" w:space="0" w:color="auto"/>
            </w:tcBorders>
            <w:noWrap/>
            <w:vAlign w:val="center"/>
            <w:hideMark/>
          </w:tcPr>
          <w:p w14:paraId="76793F40" w14:textId="77777777" w:rsidR="00706365" w:rsidRPr="003136F0" w:rsidRDefault="00706365">
            <w:pPr>
              <w:jc w:val="center"/>
              <w:rPr>
                <w:i/>
                <w:iCs/>
                <w:color w:val="7B7B7B" w:themeColor="accent3" w:themeShade="BF"/>
                <w:sz w:val="16"/>
                <w:szCs w:val="16"/>
              </w:rPr>
            </w:pPr>
            <w:r w:rsidRPr="003136F0">
              <w:rPr>
                <w:i/>
                <w:iCs/>
                <w:color w:val="7B7B7B" w:themeColor="accent3" w:themeShade="BF"/>
                <w:sz w:val="16"/>
                <w:szCs w:val="16"/>
              </w:rPr>
              <w:t>-4.45%</w:t>
            </w:r>
          </w:p>
        </w:tc>
      </w:tr>
      <w:tr w:rsidR="000431AC" w:rsidRPr="000431AC" w14:paraId="36ADA7BC" w14:textId="77777777" w:rsidTr="003136F0">
        <w:trPr>
          <w:trHeight w:val="300"/>
        </w:trPr>
        <w:tc>
          <w:tcPr>
            <w:tcW w:w="2830" w:type="dxa"/>
            <w:tcBorders>
              <w:top w:val="nil"/>
              <w:left w:val="single" w:sz="4" w:space="0" w:color="auto"/>
              <w:bottom w:val="single" w:sz="4" w:space="0" w:color="auto"/>
              <w:right w:val="single" w:sz="4" w:space="0" w:color="auto"/>
            </w:tcBorders>
            <w:vAlign w:val="bottom"/>
            <w:hideMark/>
          </w:tcPr>
          <w:p w14:paraId="563628AD" w14:textId="6CD4814A" w:rsidR="00706365" w:rsidRPr="003136F0" w:rsidRDefault="00706365">
            <w:pPr>
              <w:rPr>
                <w:color w:val="000000"/>
                <w:sz w:val="18"/>
                <w:szCs w:val="18"/>
              </w:rPr>
            </w:pPr>
            <w:r w:rsidRPr="003136F0">
              <w:rPr>
                <w:color w:val="000000"/>
                <w:sz w:val="18"/>
                <w:szCs w:val="18"/>
              </w:rPr>
              <w:t xml:space="preserve">Izmaksātais finansējums par konkrētā gada zaudējumiem**, milj. </w:t>
            </w:r>
            <w:proofErr w:type="spellStart"/>
            <w:r w:rsidR="008E1E23" w:rsidRPr="003136F0">
              <w:rPr>
                <w:i/>
                <w:iCs/>
                <w:color w:val="000000"/>
                <w:sz w:val="18"/>
                <w:szCs w:val="18"/>
              </w:rPr>
              <w:t>euro</w:t>
            </w:r>
            <w:proofErr w:type="spellEnd"/>
          </w:p>
        </w:tc>
        <w:tc>
          <w:tcPr>
            <w:tcW w:w="851" w:type="dxa"/>
            <w:tcBorders>
              <w:top w:val="nil"/>
              <w:left w:val="nil"/>
              <w:bottom w:val="single" w:sz="4" w:space="0" w:color="auto"/>
              <w:right w:val="single" w:sz="4" w:space="0" w:color="auto"/>
            </w:tcBorders>
            <w:noWrap/>
            <w:vAlign w:val="center"/>
            <w:hideMark/>
          </w:tcPr>
          <w:p w14:paraId="412C7F64" w14:textId="77777777" w:rsidR="00706365" w:rsidRPr="003136F0" w:rsidRDefault="00706365">
            <w:pPr>
              <w:jc w:val="center"/>
              <w:rPr>
                <w:color w:val="000000"/>
                <w:sz w:val="18"/>
                <w:szCs w:val="18"/>
              </w:rPr>
            </w:pPr>
            <w:r w:rsidRPr="003136F0">
              <w:rPr>
                <w:color w:val="000000"/>
                <w:sz w:val="18"/>
                <w:szCs w:val="18"/>
              </w:rPr>
              <w:t>65.51</w:t>
            </w:r>
          </w:p>
        </w:tc>
        <w:tc>
          <w:tcPr>
            <w:tcW w:w="850" w:type="dxa"/>
            <w:tcBorders>
              <w:top w:val="nil"/>
              <w:left w:val="nil"/>
              <w:bottom w:val="single" w:sz="4" w:space="0" w:color="auto"/>
              <w:right w:val="single" w:sz="4" w:space="0" w:color="auto"/>
            </w:tcBorders>
            <w:noWrap/>
            <w:vAlign w:val="center"/>
            <w:hideMark/>
          </w:tcPr>
          <w:p w14:paraId="631FE921" w14:textId="77777777" w:rsidR="00706365" w:rsidRPr="003136F0" w:rsidRDefault="00706365">
            <w:pPr>
              <w:jc w:val="center"/>
              <w:rPr>
                <w:color w:val="000000"/>
                <w:sz w:val="18"/>
                <w:szCs w:val="18"/>
              </w:rPr>
            </w:pPr>
            <w:r w:rsidRPr="003136F0">
              <w:rPr>
                <w:color w:val="000000"/>
                <w:sz w:val="18"/>
                <w:szCs w:val="18"/>
              </w:rPr>
              <w:t>63.87</w:t>
            </w:r>
          </w:p>
        </w:tc>
        <w:tc>
          <w:tcPr>
            <w:tcW w:w="851" w:type="dxa"/>
            <w:tcBorders>
              <w:top w:val="nil"/>
              <w:left w:val="nil"/>
              <w:bottom w:val="single" w:sz="4" w:space="0" w:color="auto"/>
              <w:right w:val="single" w:sz="4" w:space="0" w:color="auto"/>
            </w:tcBorders>
            <w:noWrap/>
            <w:vAlign w:val="center"/>
            <w:hideMark/>
          </w:tcPr>
          <w:p w14:paraId="5A3F93F8" w14:textId="77777777" w:rsidR="00706365" w:rsidRPr="003136F0" w:rsidRDefault="00706365">
            <w:pPr>
              <w:jc w:val="center"/>
              <w:rPr>
                <w:color w:val="000000"/>
                <w:sz w:val="18"/>
                <w:szCs w:val="18"/>
              </w:rPr>
            </w:pPr>
            <w:r w:rsidRPr="003136F0">
              <w:rPr>
                <w:color w:val="000000"/>
                <w:sz w:val="18"/>
                <w:szCs w:val="18"/>
              </w:rPr>
              <w:t>56.29</w:t>
            </w:r>
          </w:p>
        </w:tc>
        <w:tc>
          <w:tcPr>
            <w:tcW w:w="850" w:type="dxa"/>
            <w:tcBorders>
              <w:top w:val="nil"/>
              <w:left w:val="nil"/>
              <w:bottom w:val="single" w:sz="4" w:space="0" w:color="auto"/>
              <w:right w:val="single" w:sz="4" w:space="0" w:color="auto"/>
            </w:tcBorders>
            <w:noWrap/>
            <w:vAlign w:val="center"/>
            <w:hideMark/>
          </w:tcPr>
          <w:p w14:paraId="541C6A08" w14:textId="77777777" w:rsidR="00706365" w:rsidRPr="003136F0" w:rsidRDefault="00706365">
            <w:pPr>
              <w:jc w:val="center"/>
              <w:rPr>
                <w:color w:val="000000"/>
                <w:sz w:val="18"/>
                <w:szCs w:val="18"/>
              </w:rPr>
            </w:pPr>
            <w:r w:rsidRPr="003136F0">
              <w:rPr>
                <w:color w:val="000000"/>
                <w:sz w:val="18"/>
                <w:szCs w:val="18"/>
              </w:rPr>
              <w:t>52.9</w:t>
            </w:r>
          </w:p>
        </w:tc>
        <w:tc>
          <w:tcPr>
            <w:tcW w:w="851" w:type="dxa"/>
            <w:tcBorders>
              <w:top w:val="nil"/>
              <w:left w:val="nil"/>
              <w:bottom w:val="single" w:sz="4" w:space="0" w:color="auto"/>
              <w:right w:val="single" w:sz="4" w:space="0" w:color="auto"/>
            </w:tcBorders>
            <w:noWrap/>
            <w:vAlign w:val="center"/>
            <w:hideMark/>
          </w:tcPr>
          <w:p w14:paraId="231AFED7" w14:textId="77777777" w:rsidR="00706365" w:rsidRPr="003136F0" w:rsidRDefault="00706365">
            <w:pPr>
              <w:jc w:val="center"/>
              <w:rPr>
                <w:color w:val="000000"/>
                <w:sz w:val="18"/>
                <w:szCs w:val="18"/>
              </w:rPr>
            </w:pPr>
            <w:r w:rsidRPr="003136F0">
              <w:rPr>
                <w:color w:val="000000"/>
                <w:sz w:val="18"/>
                <w:szCs w:val="18"/>
              </w:rPr>
              <w:t>27.29</w:t>
            </w:r>
          </w:p>
        </w:tc>
        <w:tc>
          <w:tcPr>
            <w:tcW w:w="873" w:type="dxa"/>
            <w:tcBorders>
              <w:top w:val="nil"/>
              <w:left w:val="nil"/>
              <w:bottom w:val="single" w:sz="4" w:space="0" w:color="auto"/>
              <w:right w:val="single" w:sz="4" w:space="0" w:color="auto"/>
            </w:tcBorders>
            <w:noWrap/>
            <w:vAlign w:val="center"/>
            <w:hideMark/>
          </w:tcPr>
          <w:p w14:paraId="5DAF47D5" w14:textId="77777777" w:rsidR="00706365" w:rsidRPr="003136F0" w:rsidRDefault="00706365">
            <w:pPr>
              <w:jc w:val="center"/>
              <w:rPr>
                <w:color w:val="000000"/>
                <w:sz w:val="18"/>
                <w:szCs w:val="18"/>
              </w:rPr>
            </w:pPr>
            <w:r w:rsidRPr="003136F0">
              <w:rPr>
                <w:color w:val="000000"/>
                <w:sz w:val="18"/>
                <w:szCs w:val="18"/>
              </w:rPr>
              <w:t>27.36</w:t>
            </w:r>
          </w:p>
        </w:tc>
        <w:tc>
          <w:tcPr>
            <w:tcW w:w="839" w:type="dxa"/>
            <w:tcBorders>
              <w:top w:val="nil"/>
              <w:left w:val="nil"/>
              <w:bottom w:val="single" w:sz="4" w:space="0" w:color="auto"/>
              <w:right w:val="single" w:sz="4" w:space="0" w:color="auto"/>
            </w:tcBorders>
            <w:noWrap/>
            <w:vAlign w:val="center"/>
            <w:hideMark/>
          </w:tcPr>
          <w:p w14:paraId="2863AC65" w14:textId="77777777" w:rsidR="00706365" w:rsidRPr="003136F0" w:rsidRDefault="00706365">
            <w:pPr>
              <w:jc w:val="center"/>
              <w:rPr>
                <w:color w:val="000000"/>
                <w:sz w:val="18"/>
                <w:szCs w:val="18"/>
              </w:rPr>
            </w:pPr>
            <w:r w:rsidRPr="003136F0">
              <w:rPr>
                <w:color w:val="000000"/>
                <w:sz w:val="18"/>
                <w:szCs w:val="18"/>
              </w:rPr>
              <w:t>26.64</w:t>
            </w:r>
          </w:p>
        </w:tc>
        <w:tc>
          <w:tcPr>
            <w:tcW w:w="725" w:type="dxa"/>
            <w:gridSpan w:val="2"/>
            <w:tcBorders>
              <w:top w:val="nil"/>
              <w:left w:val="nil"/>
              <w:bottom w:val="single" w:sz="4" w:space="0" w:color="auto"/>
              <w:right w:val="single" w:sz="4" w:space="0" w:color="auto"/>
            </w:tcBorders>
            <w:noWrap/>
            <w:vAlign w:val="center"/>
            <w:hideMark/>
          </w:tcPr>
          <w:p w14:paraId="12D95564" w14:textId="77777777" w:rsidR="00706365" w:rsidRPr="003136F0" w:rsidRDefault="00706365">
            <w:pPr>
              <w:jc w:val="center"/>
              <w:rPr>
                <w:color w:val="000000"/>
                <w:sz w:val="18"/>
                <w:szCs w:val="18"/>
              </w:rPr>
            </w:pPr>
            <w:r w:rsidRPr="003136F0">
              <w:rPr>
                <w:color w:val="000000"/>
                <w:sz w:val="18"/>
                <w:szCs w:val="18"/>
              </w:rPr>
              <w:t>25.34</w:t>
            </w:r>
          </w:p>
        </w:tc>
      </w:tr>
      <w:tr w:rsidR="000431AC" w:rsidRPr="000431AC" w14:paraId="783FCA42" w14:textId="77777777" w:rsidTr="003136F0">
        <w:trPr>
          <w:trHeight w:val="225"/>
        </w:trPr>
        <w:tc>
          <w:tcPr>
            <w:tcW w:w="2830" w:type="dxa"/>
            <w:tcBorders>
              <w:top w:val="nil"/>
              <w:left w:val="single" w:sz="4" w:space="0" w:color="auto"/>
              <w:bottom w:val="single" w:sz="4" w:space="0" w:color="auto"/>
              <w:right w:val="single" w:sz="4" w:space="0" w:color="auto"/>
            </w:tcBorders>
            <w:noWrap/>
            <w:vAlign w:val="bottom"/>
            <w:hideMark/>
          </w:tcPr>
          <w:p w14:paraId="3F0898EF" w14:textId="77777777" w:rsidR="00706365" w:rsidRPr="003136F0" w:rsidRDefault="00706365">
            <w:pPr>
              <w:rPr>
                <w:i/>
                <w:iCs/>
                <w:color w:val="7B7B7B" w:themeColor="accent3" w:themeShade="BF"/>
                <w:sz w:val="16"/>
                <w:szCs w:val="16"/>
              </w:rPr>
            </w:pPr>
            <w:r w:rsidRPr="003136F0">
              <w:rPr>
                <w:i/>
                <w:iCs/>
                <w:color w:val="7B7B7B" w:themeColor="accent3" w:themeShade="BF"/>
                <w:sz w:val="16"/>
                <w:szCs w:val="16"/>
              </w:rPr>
              <w:t>izmaiņas pret iepriekšējo periodu, %</w:t>
            </w:r>
          </w:p>
        </w:tc>
        <w:tc>
          <w:tcPr>
            <w:tcW w:w="851" w:type="dxa"/>
            <w:tcBorders>
              <w:top w:val="nil"/>
              <w:left w:val="nil"/>
              <w:bottom w:val="single" w:sz="4" w:space="0" w:color="auto"/>
              <w:right w:val="single" w:sz="4" w:space="0" w:color="auto"/>
            </w:tcBorders>
            <w:noWrap/>
            <w:vAlign w:val="center"/>
            <w:hideMark/>
          </w:tcPr>
          <w:p w14:paraId="73B3DDAB" w14:textId="77777777" w:rsidR="00706365" w:rsidRPr="003136F0" w:rsidRDefault="00706365">
            <w:pPr>
              <w:jc w:val="center"/>
              <w:rPr>
                <w:i/>
                <w:iCs/>
                <w:color w:val="7B7B7B" w:themeColor="accent3" w:themeShade="BF"/>
                <w:sz w:val="16"/>
                <w:szCs w:val="16"/>
              </w:rPr>
            </w:pPr>
            <w:r w:rsidRPr="003136F0">
              <w:rPr>
                <w:i/>
                <w:iCs/>
                <w:color w:val="7B7B7B" w:themeColor="accent3" w:themeShade="BF"/>
                <w:sz w:val="16"/>
                <w:szCs w:val="16"/>
              </w:rPr>
              <w:t>7.25%</w:t>
            </w:r>
          </w:p>
        </w:tc>
        <w:tc>
          <w:tcPr>
            <w:tcW w:w="850" w:type="dxa"/>
            <w:tcBorders>
              <w:top w:val="nil"/>
              <w:left w:val="nil"/>
              <w:bottom w:val="single" w:sz="4" w:space="0" w:color="auto"/>
              <w:right w:val="single" w:sz="4" w:space="0" w:color="auto"/>
            </w:tcBorders>
            <w:noWrap/>
            <w:vAlign w:val="center"/>
            <w:hideMark/>
          </w:tcPr>
          <w:p w14:paraId="564BD7CA" w14:textId="77777777" w:rsidR="00706365" w:rsidRPr="003136F0" w:rsidRDefault="00706365">
            <w:pPr>
              <w:jc w:val="center"/>
              <w:rPr>
                <w:i/>
                <w:iCs/>
                <w:color w:val="7B7B7B" w:themeColor="accent3" w:themeShade="BF"/>
                <w:sz w:val="16"/>
                <w:szCs w:val="16"/>
              </w:rPr>
            </w:pPr>
            <w:r w:rsidRPr="003136F0">
              <w:rPr>
                <w:i/>
                <w:iCs/>
                <w:color w:val="7B7B7B" w:themeColor="accent3" w:themeShade="BF"/>
                <w:sz w:val="16"/>
                <w:szCs w:val="16"/>
              </w:rPr>
              <w:t>-2.50%</w:t>
            </w:r>
          </w:p>
        </w:tc>
        <w:tc>
          <w:tcPr>
            <w:tcW w:w="851" w:type="dxa"/>
            <w:tcBorders>
              <w:top w:val="nil"/>
              <w:left w:val="nil"/>
              <w:bottom w:val="single" w:sz="4" w:space="0" w:color="auto"/>
              <w:right w:val="single" w:sz="4" w:space="0" w:color="auto"/>
            </w:tcBorders>
            <w:noWrap/>
            <w:vAlign w:val="center"/>
            <w:hideMark/>
          </w:tcPr>
          <w:p w14:paraId="36A2452A" w14:textId="77777777" w:rsidR="00706365" w:rsidRPr="003136F0" w:rsidRDefault="00706365">
            <w:pPr>
              <w:jc w:val="center"/>
              <w:rPr>
                <w:i/>
                <w:iCs/>
                <w:color w:val="7B7B7B" w:themeColor="accent3" w:themeShade="BF"/>
                <w:sz w:val="16"/>
                <w:szCs w:val="16"/>
              </w:rPr>
            </w:pPr>
            <w:r w:rsidRPr="003136F0">
              <w:rPr>
                <w:i/>
                <w:iCs/>
                <w:color w:val="7B7B7B" w:themeColor="accent3" w:themeShade="BF"/>
                <w:sz w:val="16"/>
                <w:szCs w:val="16"/>
              </w:rPr>
              <w:t>-11.87%</w:t>
            </w:r>
          </w:p>
        </w:tc>
        <w:tc>
          <w:tcPr>
            <w:tcW w:w="850" w:type="dxa"/>
            <w:tcBorders>
              <w:top w:val="nil"/>
              <w:left w:val="nil"/>
              <w:bottom w:val="single" w:sz="4" w:space="0" w:color="auto"/>
              <w:right w:val="single" w:sz="4" w:space="0" w:color="auto"/>
            </w:tcBorders>
            <w:noWrap/>
            <w:vAlign w:val="center"/>
            <w:hideMark/>
          </w:tcPr>
          <w:p w14:paraId="0A441B80" w14:textId="77777777" w:rsidR="00706365" w:rsidRPr="003136F0" w:rsidRDefault="00706365">
            <w:pPr>
              <w:jc w:val="center"/>
              <w:rPr>
                <w:i/>
                <w:iCs/>
                <w:color w:val="7B7B7B" w:themeColor="accent3" w:themeShade="BF"/>
                <w:sz w:val="16"/>
                <w:szCs w:val="16"/>
              </w:rPr>
            </w:pPr>
            <w:r w:rsidRPr="003136F0">
              <w:rPr>
                <w:i/>
                <w:iCs/>
                <w:color w:val="7B7B7B" w:themeColor="accent3" w:themeShade="BF"/>
                <w:sz w:val="16"/>
                <w:szCs w:val="16"/>
              </w:rPr>
              <w:t>-6.02%</w:t>
            </w:r>
          </w:p>
        </w:tc>
        <w:tc>
          <w:tcPr>
            <w:tcW w:w="851" w:type="dxa"/>
            <w:tcBorders>
              <w:top w:val="nil"/>
              <w:left w:val="nil"/>
              <w:bottom w:val="single" w:sz="4" w:space="0" w:color="auto"/>
              <w:right w:val="single" w:sz="4" w:space="0" w:color="auto"/>
            </w:tcBorders>
            <w:noWrap/>
            <w:vAlign w:val="center"/>
            <w:hideMark/>
          </w:tcPr>
          <w:p w14:paraId="2F55A452" w14:textId="77777777" w:rsidR="00706365" w:rsidRPr="003136F0" w:rsidRDefault="00706365">
            <w:pPr>
              <w:jc w:val="center"/>
              <w:rPr>
                <w:i/>
                <w:iCs/>
                <w:color w:val="7B7B7B" w:themeColor="accent3" w:themeShade="BF"/>
                <w:sz w:val="16"/>
                <w:szCs w:val="16"/>
              </w:rPr>
            </w:pPr>
            <w:r w:rsidRPr="003136F0">
              <w:rPr>
                <w:i/>
                <w:iCs/>
                <w:color w:val="7B7B7B" w:themeColor="accent3" w:themeShade="BF"/>
                <w:sz w:val="16"/>
                <w:szCs w:val="16"/>
              </w:rPr>
              <w:t>4.70%</w:t>
            </w:r>
          </w:p>
        </w:tc>
        <w:tc>
          <w:tcPr>
            <w:tcW w:w="873" w:type="dxa"/>
            <w:tcBorders>
              <w:top w:val="nil"/>
              <w:left w:val="nil"/>
              <w:bottom w:val="single" w:sz="4" w:space="0" w:color="auto"/>
              <w:right w:val="single" w:sz="4" w:space="0" w:color="auto"/>
            </w:tcBorders>
            <w:noWrap/>
            <w:vAlign w:val="center"/>
            <w:hideMark/>
          </w:tcPr>
          <w:p w14:paraId="038D9A43" w14:textId="77777777" w:rsidR="00706365" w:rsidRPr="003136F0" w:rsidRDefault="00706365">
            <w:pPr>
              <w:jc w:val="center"/>
              <w:rPr>
                <w:i/>
                <w:iCs/>
                <w:color w:val="7B7B7B" w:themeColor="accent3" w:themeShade="BF"/>
                <w:sz w:val="16"/>
                <w:szCs w:val="16"/>
              </w:rPr>
            </w:pPr>
            <w:r w:rsidRPr="003136F0">
              <w:rPr>
                <w:i/>
                <w:iCs/>
                <w:color w:val="7B7B7B" w:themeColor="accent3" w:themeShade="BF"/>
                <w:sz w:val="16"/>
                <w:szCs w:val="16"/>
              </w:rPr>
              <w:t>0.26%</w:t>
            </w:r>
          </w:p>
        </w:tc>
        <w:tc>
          <w:tcPr>
            <w:tcW w:w="839" w:type="dxa"/>
            <w:tcBorders>
              <w:top w:val="nil"/>
              <w:left w:val="nil"/>
              <w:bottom w:val="single" w:sz="4" w:space="0" w:color="auto"/>
              <w:right w:val="single" w:sz="4" w:space="0" w:color="auto"/>
            </w:tcBorders>
            <w:noWrap/>
            <w:vAlign w:val="center"/>
            <w:hideMark/>
          </w:tcPr>
          <w:p w14:paraId="6A639FDB" w14:textId="77777777" w:rsidR="00706365" w:rsidRPr="003136F0" w:rsidRDefault="00706365">
            <w:pPr>
              <w:jc w:val="center"/>
              <w:rPr>
                <w:i/>
                <w:iCs/>
                <w:color w:val="7B7B7B" w:themeColor="accent3" w:themeShade="BF"/>
                <w:sz w:val="16"/>
                <w:szCs w:val="16"/>
              </w:rPr>
            </w:pPr>
            <w:r w:rsidRPr="003136F0">
              <w:rPr>
                <w:i/>
                <w:iCs/>
                <w:color w:val="7B7B7B" w:themeColor="accent3" w:themeShade="BF"/>
                <w:sz w:val="16"/>
                <w:szCs w:val="16"/>
              </w:rPr>
              <w:t>-2.63%</w:t>
            </w:r>
          </w:p>
        </w:tc>
        <w:tc>
          <w:tcPr>
            <w:tcW w:w="725" w:type="dxa"/>
            <w:gridSpan w:val="2"/>
            <w:tcBorders>
              <w:top w:val="nil"/>
              <w:left w:val="nil"/>
              <w:bottom w:val="single" w:sz="4" w:space="0" w:color="auto"/>
              <w:right w:val="single" w:sz="4" w:space="0" w:color="auto"/>
            </w:tcBorders>
            <w:noWrap/>
            <w:vAlign w:val="center"/>
            <w:hideMark/>
          </w:tcPr>
          <w:p w14:paraId="0AF87226" w14:textId="77777777" w:rsidR="00706365" w:rsidRPr="003136F0" w:rsidRDefault="00706365">
            <w:pPr>
              <w:jc w:val="center"/>
              <w:rPr>
                <w:i/>
                <w:iCs/>
                <w:color w:val="7B7B7B" w:themeColor="accent3" w:themeShade="BF"/>
                <w:sz w:val="16"/>
                <w:szCs w:val="16"/>
              </w:rPr>
            </w:pPr>
            <w:r w:rsidRPr="003136F0">
              <w:rPr>
                <w:i/>
                <w:iCs/>
                <w:color w:val="7B7B7B" w:themeColor="accent3" w:themeShade="BF"/>
                <w:sz w:val="16"/>
                <w:szCs w:val="16"/>
              </w:rPr>
              <w:t>-4.88%</w:t>
            </w:r>
          </w:p>
        </w:tc>
      </w:tr>
      <w:tr w:rsidR="00B002A8" w14:paraId="2806FDC7" w14:textId="77777777" w:rsidTr="003136F0">
        <w:trPr>
          <w:gridAfter w:val="1"/>
          <w:wAfter w:w="22" w:type="dxa"/>
          <w:trHeight w:val="300"/>
        </w:trPr>
        <w:tc>
          <w:tcPr>
            <w:tcW w:w="9498" w:type="dxa"/>
            <w:gridSpan w:val="9"/>
            <w:tcBorders>
              <w:top w:val="nil"/>
              <w:left w:val="nil"/>
              <w:bottom w:val="nil"/>
              <w:right w:val="nil"/>
            </w:tcBorders>
            <w:noWrap/>
            <w:vAlign w:val="bottom"/>
            <w:hideMark/>
          </w:tcPr>
          <w:p w14:paraId="28F3B22C" w14:textId="77777777" w:rsidR="00B002A8" w:rsidRPr="003136F0" w:rsidRDefault="00B002A8">
            <w:pPr>
              <w:rPr>
                <w:color w:val="000000"/>
                <w:sz w:val="18"/>
                <w:szCs w:val="18"/>
              </w:rPr>
            </w:pPr>
            <w:r w:rsidRPr="003136F0">
              <w:rPr>
                <w:color w:val="000000"/>
                <w:sz w:val="18"/>
                <w:szCs w:val="18"/>
              </w:rPr>
              <w:t>* tai skaitā valsts garantētā peļņa un kompensējamais pievienotās vērtības nodoklis par personu ar braukšanas maksas atvieglojumiem pārvadāšanu</w:t>
            </w:r>
          </w:p>
        </w:tc>
      </w:tr>
      <w:tr w:rsidR="00B002A8" w14:paraId="28154E63" w14:textId="77777777" w:rsidTr="003136F0">
        <w:trPr>
          <w:gridAfter w:val="1"/>
          <w:wAfter w:w="22" w:type="dxa"/>
          <w:trHeight w:val="300"/>
        </w:trPr>
        <w:tc>
          <w:tcPr>
            <w:tcW w:w="9498" w:type="dxa"/>
            <w:gridSpan w:val="9"/>
            <w:tcBorders>
              <w:top w:val="nil"/>
              <w:left w:val="nil"/>
              <w:bottom w:val="nil"/>
              <w:right w:val="nil"/>
            </w:tcBorders>
            <w:noWrap/>
            <w:vAlign w:val="bottom"/>
            <w:hideMark/>
          </w:tcPr>
          <w:p w14:paraId="2F42932F" w14:textId="20027FD2" w:rsidR="00B002A8" w:rsidRPr="003136F0" w:rsidRDefault="00B002A8">
            <w:pPr>
              <w:rPr>
                <w:color w:val="000000"/>
                <w:sz w:val="18"/>
                <w:szCs w:val="18"/>
              </w:rPr>
            </w:pPr>
            <w:r w:rsidRPr="003136F0">
              <w:rPr>
                <w:color w:val="000000"/>
                <w:sz w:val="18"/>
                <w:szCs w:val="18"/>
              </w:rPr>
              <w:t>** tai skaitā apropriācijas pārdalē piešķirtais papildu finansējums un finansējums no Līdzekļiem neparedzētiem gadījumiem</w:t>
            </w:r>
          </w:p>
        </w:tc>
      </w:tr>
    </w:tbl>
    <w:p w14:paraId="6AFE0087" w14:textId="77777777" w:rsidR="00706365" w:rsidRPr="00311348" w:rsidRDefault="00706365" w:rsidP="003136F0">
      <w:pPr>
        <w:jc w:val="both"/>
      </w:pPr>
    </w:p>
    <w:p w14:paraId="44F1F0FC" w14:textId="27BC534E" w:rsidR="000431AC" w:rsidRDefault="00AE6710" w:rsidP="003136F0">
      <w:pPr>
        <w:ind w:firstLine="720"/>
        <w:jc w:val="both"/>
      </w:pPr>
      <w:r w:rsidRPr="00AE6710">
        <w:rPr>
          <w:rFonts w:eastAsiaTheme="minorHAnsi"/>
          <w:lang w:eastAsia="en-US"/>
        </w:rPr>
        <w:t>Kopumā 2025.</w:t>
      </w:r>
      <w:r w:rsidR="00855DB0">
        <w:rPr>
          <w:rFonts w:eastAsiaTheme="minorHAnsi"/>
          <w:lang w:eastAsia="en-US"/>
        </w:rPr>
        <w:t xml:space="preserve"> </w:t>
      </w:r>
      <w:r w:rsidRPr="00AE6710">
        <w:rPr>
          <w:rFonts w:eastAsiaTheme="minorHAnsi"/>
          <w:lang w:eastAsia="en-US"/>
        </w:rPr>
        <w:t xml:space="preserve">gadā faktiskie izdevumi sabiedriskā transporta pakalpojumu nodrošināšanā ir palielinājušies un turpina palielināties. Piemēram, reģionālās nozīmes pārvadājumos ar vilcieniem faktiskās izmaksas (2025.gada </w:t>
      </w:r>
      <w:r w:rsidR="00993FE2">
        <w:rPr>
          <w:rFonts w:eastAsiaTheme="minorHAnsi"/>
          <w:lang w:eastAsia="en-US"/>
        </w:rPr>
        <w:t>vienpadsmit</w:t>
      </w:r>
      <w:r w:rsidR="00993FE2" w:rsidRPr="00AE6710">
        <w:rPr>
          <w:rFonts w:eastAsiaTheme="minorHAnsi"/>
          <w:lang w:eastAsia="en-US"/>
        </w:rPr>
        <w:t xml:space="preserve"> </w:t>
      </w:r>
      <w:r w:rsidRPr="00AE6710">
        <w:rPr>
          <w:rFonts w:eastAsiaTheme="minorHAnsi"/>
          <w:lang w:eastAsia="en-US"/>
        </w:rPr>
        <w:t>mēnešos salīdzinājumā ar to pašu periodu 2024.</w:t>
      </w:r>
      <w:r w:rsidR="00674636">
        <w:rPr>
          <w:rFonts w:eastAsiaTheme="minorHAnsi"/>
          <w:lang w:eastAsia="en-US"/>
        </w:rPr>
        <w:t xml:space="preserve"> </w:t>
      </w:r>
      <w:r w:rsidRPr="00AE6710">
        <w:rPr>
          <w:rFonts w:eastAsiaTheme="minorHAnsi"/>
          <w:lang w:eastAsia="en-US"/>
        </w:rPr>
        <w:t xml:space="preserve">gadā) palielinājušās par </w:t>
      </w:r>
      <w:r w:rsidR="00993FE2">
        <w:rPr>
          <w:rFonts w:eastAsiaTheme="minorHAnsi"/>
          <w:lang w:eastAsia="en-US"/>
        </w:rPr>
        <w:t>15,86</w:t>
      </w:r>
      <w:r w:rsidRPr="00AE6710">
        <w:rPr>
          <w:rFonts w:eastAsiaTheme="minorHAnsi"/>
          <w:lang w:eastAsia="en-US"/>
        </w:rPr>
        <w:t xml:space="preserve">%, kur pamatā izmaksu pieaugumu noteica </w:t>
      </w:r>
      <w:proofErr w:type="spellStart"/>
      <w:r w:rsidRPr="00AE6710">
        <w:rPr>
          <w:rFonts w:eastAsiaTheme="minorHAnsi"/>
          <w:lang w:eastAsia="en-US"/>
        </w:rPr>
        <w:t>personālizmaksu</w:t>
      </w:r>
      <w:proofErr w:type="spellEnd"/>
      <w:r w:rsidRPr="00AE6710">
        <w:rPr>
          <w:rFonts w:eastAsiaTheme="minorHAnsi"/>
          <w:lang w:eastAsia="en-US"/>
        </w:rPr>
        <w:t xml:space="preserve"> </w:t>
      </w:r>
      <w:r w:rsidR="00993FE2">
        <w:rPr>
          <w:rFonts w:eastAsiaTheme="minorHAnsi"/>
          <w:lang w:eastAsia="en-US"/>
        </w:rPr>
        <w:t xml:space="preserve">un administrācijas izmaksu </w:t>
      </w:r>
      <w:r w:rsidRPr="00AE6710">
        <w:rPr>
          <w:rFonts w:eastAsiaTheme="minorHAnsi"/>
          <w:lang w:eastAsia="en-US"/>
        </w:rPr>
        <w:t>pieaugums</w:t>
      </w:r>
      <w:r w:rsidR="00993FE2">
        <w:rPr>
          <w:rFonts w:eastAsiaTheme="minorHAnsi"/>
          <w:lang w:eastAsia="en-US"/>
        </w:rPr>
        <w:t xml:space="preserve"> 13% apmērā katra pozīcija, </w:t>
      </w:r>
      <w:r w:rsidRPr="00AE6710">
        <w:rPr>
          <w:rFonts w:eastAsiaTheme="minorHAnsi"/>
          <w:lang w:eastAsia="en-US"/>
        </w:rPr>
        <w:t>remonta izdevumi</w:t>
      </w:r>
      <w:r w:rsidR="00993FE2">
        <w:rPr>
          <w:rFonts w:eastAsiaTheme="minorHAnsi"/>
          <w:lang w:eastAsia="en-US"/>
        </w:rPr>
        <w:t xml:space="preserve"> – 24,3%, transporta apkopes nodrošināšanas izmaksas – 21,8%</w:t>
      </w:r>
      <w:r w:rsidRPr="00AE6710">
        <w:rPr>
          <w:rFonts w:eastAsiaTheme="minorHAnsi"/>
          <w:lang w:eastAsia="en-US"/>
        </w:rPr>
        <w:t>.</w:t>
      </w:r>
      <w:r w:rsidR="000431AC">
        <w:rPr>
          <w:rFonts w:eastAsiaTheme="minorHAnsi"/>
          <w:lang w:eastAsia="en-US"/>
        </w:rPr>
        <w:t xml:space="preserve"> </w:t>
      </w:r>
      <w:r w:rsidR="000431AC">
        <w:t>Tā kā reģionālās nozīmes pārvadājumos ar vilcieniem kopš 2023. gada būtiski palielināts pārvadājumu apjomu, tad attiecīgi palielinās arī faktisko tiešo izmaksu apmērs, kas saistīts ar pārvadājumu apmēru, t.</w:t>
      </w:r>
      <w:r w:rsidR="00D6316B">
        <w:t> </w:t>
      </w:r>
      <w:r w:rsidR="000431AC">
        <w:t xml:space="preserve">i. darbaspēka izmaksas, remonta izdevumi, energoresursi. Līdz ar to arī nākamajos periodos – 2026. gadā un turpmāk – palielinoties pasūtījuma apjomam, prognozējams, ka pakalpojuma sniegšanai nepieciešamās izmaksas palielināsies, turklāt nav precīzi prognozējams atsevišķu izmaksu pieaugums, bet to var ietekmēt pieņemtās izmaiņas normatīvajos aktos, kā arī tirgus un ekonomiskā situācija. Piemēram, izmaiņas, kas attiecas uz akcīzes nodokļa degvielai palielināšanu vai minimālās mēneša darba algas palielinājumu, kā arī piegāžu ķēdes, kas kopš sankciju ieviešanas attiecībā uz Krieviju un Baltkrieviju ir būtiski palielinājis rezerves daļu piegādes izmaksas. </w:t>
      </w:r>
    </w:p>
    <w:p w14:paraId="10B6BFAD" w14:textId="2601BE3D" w:rsidR="000431AC" w:rsidRDefault="000431AC" w:rsidP="000431AC">
      <w:pPr>
        <w:jc w:val="both"/>
      </w:pPr>
      <w:r>
        <w:tab/>
        <w:t xml:space="preserve">Līdz ar to attiecībā uz reģionālās nozīmes pārvadājumiem ar vilcieniem augstākie riski zaudējumu kompensācijas palielinājumam ir saistāmi tieši ar nepieciešamo izmaksu pieaugumu, un tā līdzsvarošana ar pieejamo valsts budžeta ietvaru ir iespējama tikai ar pasažieru skaita pieaugumu vai palielinot braukšanas maksu (tarifus). </w:t>
      </w:r>
      <w:r w:rsidR="00B77271">
        <w:t>No Tabulas nr.1 informācijas ir redzams, ka arī vilcienu pārvadājumos kopējie kompensējamie zaudējumi pārsniedz piešķirtā finansējuma apjomu, un 2025. un 2026.gadā minēto pārsniegumu plānots kompensēt ar iepriekš</w:t>
      </w:r>
      <w:r w:rsidR="003947CC">
        <w:t>ē</w:t>
      </w:r>
      <w:r w:rsidR="00B77271">
        <w:t xml:space="preserve">jos gados uzkrāto valsts budžeta dotācijas atlikumu (pārmaksu). </w:t>
      </w:r>
    </w:p>
    <w:p w14:paraId="6F65CC51" w14:textId="6BC33FCA" w:rsidR="00993FE2" w:rsidRDefault="00AE6710" w:rsidP="00AE6710">
      <w:pPr>
        <w:ind w:firstLine="709"/>
        <w:jc w:val="both"/>
        <w:rPr>
          <w:rFonts w:eastAsiaTheme="minorHAnsi"/>
          <w:lang w:eastAsia="en-US"/>
        </w:rPr>
      </w:pPr>
      <w:r w:rsidRPr="00AE6710">
        <w:rPr>
          <w:rFonts w:eastAsiaTheme="minorHAnsi"/>
          <w:lang w:eastAsia="en-US"/>
        </w:rPr>
        <w:t>Attiecībā uz reģionālās nozīmes pārvadājumiem</w:t>
      </w:r>
      <w:r w:rsidR="00707CFD">
        <w:rPr>
          <w:rFonts w:eastAsiaTheme="minorHAnsi"/>
          <w:lang w:eastAsia="en-US"/>
        </w:rPr>
        <w:t>,</w:t>
      </w:r>
      <w:r w:rsidRPr="00AE6710">
        <w:rPr>
          <w:rFonts w:eastAsiaTheme="minorHAnsi"/>
          <w:lang w:eastAsia="en-US"/>
        </w:rPr>
        <w:t xml:space="preserve"> situācija ir </w:t>
      </w:r>
      <w:r w:rsidR="008E1E23">
        <w:rPr>
          <w:rFonts w:eastAsiaTheme="minorHAnsi"/>
          <w:lang w:eastAsia="en-US"/>
        </w:rPr>
        <w:t>atšķirīga</w:t>
      </w:r>
      <w:r w:rsidRPr="00AE6710">
        <w:rPr>
          <w:rFonts w:eastAsiaTheme="minorHAnsi"/>
          <w:lang w:eastAsia="en-US"/>
        </w:rPr>
        <w:t xml:space="preserve">, jo </w:t>
      </w:r>
      <w:r w:rsidR="008E1E23">
        <w:rPr>
          <w:rFonts w:eastAsiaTheme="minorHAnsi"/>
          <w:lang w:eastAsia="en-US"/>
        </w:rPr>
        <w:t xml:space="preserve">2025.gadā kopējos izdevumus veido atklātā konkursā noslēgtajos līgumos noteiktā pakalpojumu cena. </w:t>
      </w:r>
      <w:r w:rsidR="00535A1E">
        <w:rPr>
          <w:rFonts w:eastAsiaTheme="minorHAnsi"/>
          <w:lang w:eastAsia="en-US"/>
        </w:rPr>
        <w:t xml:space="preserve">Piemēram, 2023.gadā noslēgtajos līgumos piedāvātās pakalpojumu cenas ir zemākas nekā pašreizējā ekonomiskajā situācijā faktiskie izdevumi, līdz ar to arī 2025.gadā plānotās </w:t>
      </w:r>
      <w:r w:rsidR="00535A1E">
        <w:rPr>
          <w:rFonts w:eastAsiaTheme="minorHAnsi"/>
          <w:lang w:eastAsia="en-US"/>
        </w:rPr>
        <w:lastRenderedPageBreak/>
        <w:t>izmaksājamās dotācijas (kompensācijas) ir zemākas nekā 2024.gadā, kad pakalpojumu sniegšana tika nodrošināta pamatā uz īstermiņa (pagaidu) līgumos noteikto pakalpojumu cenu, kas atspoguļoja reālo izdevumu apmēru. Š</w:t>
      </w:r>
      <w:r w:rsidRPr="00AE6710">
        <w:rPr>
          <w:rFonts w:eastAsiaTheme="minorHAnsi"/>
          <w:lang w:eastAsia="en-US"/>
        </w:rPr>
        <w:t>odienas ekonomiskā situācija būtiski atšķiras no brīža, kad tika organizēti iepirkumi un iesniegti piedāvājumi, jo mainījušās sabiedriskā transporta pakalpojumu izmaksas, ko pamatā ir izsaukusi ģeopolitiskā situācija (Krievijas uzsāktais karš Ukrainas teritorijā), no tās izrietošā ietekme uz ekonomikas procesiem (preču, pakalpojumu pieejamību, izmaksu pieaugumu un tml.). Vērtējot atsevišķu izmaksu izmaiņas pret laika periodu, kad tika sagatavoti un iesniegti piedāvājumi</w:t>
      </w:r>
      <w:r w:rsidR="00993FE2">
        <w:rPr>
          <w:rFonts w:eastAsiaTheme="minorHAnsi"/>
          <w:lang w:eastAsia="en-US"/>
        </w:rPr>
        <w:t>, t.i. salīdzinājumā ar 2021.gadu</w:t>
      </w:r>
      <w:r w:rsidRPr="00AE6710">
        <w:rPr>
          <w:rFonts w:eastAsiaTheme="minorHAnsi"/>
          <w:lang w:eastAsia="en-US"/>
        </w:rPr>
        <w:t xml:space="preserve">, </w:t>
      </w:r>
      <w:r w:rsidR="0016393D">
        <w:rPr>
          <w:rFonts w:eastAsiaTheme="minorHAnsi"/>
          <w:lang w:eastAsia="en-US"/>
        </w:rPr>
        <w:t xml:space="preserve">ir </w:t>
      </w:r>
      <w:r w:rsidR="0016393D" w:rsidRPr="0016393D">
        <w:rPr>
          <w:rFonts w:eastAsiaTheme="minorHAnsi"/>
          <w:lang w:eastAsia="en-US"/>
        </w:rPr>
        <w:t xml:space="preserve">novērojams </w:t>
      </w:r>
      <w:r w:rsidRPr="0016393D">
        <w:rPr>
          <w:rFonts w:eastAsiaTheme="minorHAnsi"/>
          <w:lang w:eastAsia="en-US"/>
        </w:rPr>
        <w:t>to pieaugums, un šīs izmaksas, kā piemēram, darbinieku atalgojums, degvielas izdevumi</w:t>
      </w:r>
      <w:r w:rsidRPr="00AE6710">
        <w:rPr>
          <w:rFonts w:eastAsiaTheme="minorHAnsi"/>
          <w:lang w:eastAsia="en-US"/>
        </w:rPr>
        <w:t xml:space="preserve"> un autobusu amortizācijas atskaitījumi veido aptuveni 50</w:t>
      </w:r>
      <w:r w:rsidR="00674636">
        <w:rPr>
          <w:rFonts w:eastAsiaTheme="minorHAnsi"/>
          <w:lang w:eastAsia="en-US"/>
        </w:rPr>
        <w:t xml:space="preserve"> </w:t>
      </w:r>
      <w:r w:rsidRPr="00AE6710">
        <w:rPr>
          <w:rFonts w:eastAsiaTheme="minorHAnsi"/>
          <w:lang w:eastAsia="en-US"/>
        </w:rPr>
        <w:t xml:space="preserve">% no kopējām izmaksām, līdz ar to šāds izmaksu pieaugums būtiski ietekmē spēju sniegt pakalpojumu, jo šādas izmaksas nav optimizējamas uz citu pakalpojuma cenā ievērtēto izmaksu apjoma vai peļņas rēķina. </w:t>
      </w:r>
      <w:r w:rsidR="00993FE2">
        <w:rPr>
          <w:rFonts w:eastAsiaTheme="minorHAnsi"/>
          <w:lang w:eastAsia="en-US"/>
        </w:rPr>
        <w:t>Līdz ar to sabiedriskā transporta pakalpojumu iepirkumi, kas tiek organizēti 2025.gadā un turpmāk jau paredz, ka piedāvātā pakalpojuma cena ir būtiski lielāka nekā iepriekš (laika posmā no 2020.-2023.gadam) noslēgtajos sabiedriskā transporta pakalpojumu pasūtījuma līgumos.</w:t>
      </w:r>
    </w:p>
    <w:p w14:paraId="03544A99" w14:textId="3BC32ABC" w:rsidR="00AE6710" w:rsidRPr="00AE6710" w:rsidRDefault="00993FE2" w:rsidP="00AE6710">
      <w:pPr>
        <w:ind w:firstLine="709"/>
        <w:jc w:val="both"/>
        <w:rPr>
          <w:rFonts w:eastAsia="Calibri"/>
          <w:lang w:eastAsia="en-US"/>
        </w:rPr>
      </w:pPr>
      <w:r>
        <w:rPr>
          <w:rFonts w:eastAsiaTheme="minorHAnsi"/>
          <w:lang w:eastAsia="en-US"/>
        </w:rPr>
        <w:t xml:space="preserve">Ņemot vērā </w:t>
      </w:r>
      <w:r w:rsidR="00535A1E">
        <w:rPr>
          <w:rFonts w:eastAsiaTheme="minorHAnsi"/>
          <w:lang w:eastAsia="en-US"/>
        </w:rPr>
        <w:t xml:space="preserve">iepriekšminēto, jāatzīmē, </w:t>
      </w:r>
      <w:r w:rsidR="00AE6710" w:rsidRPr="00AE6710">
        <w:rPr>
          <w:rFonts w:eastAsiaTheme="minorHAnsi"/>
          <w:lang w:eastAsia="en-US"/>
        </w:rPr>
        <w:t>ka noslēgtajos līgumos par reģionālās nozīmes dotēto pārvadājumu ar autobusiem nodrošināšanu, ir paredzēta pakalpojumu cenas indeksēšana jeb pārskatīšana atbilstoši notikušajām ekonomiskajām izmaiņām, to starpā atalgojumam</w:t>
      </w:r>
      <w:r w:rsidR="00535A1E">
        <w:rPr>
          <w:rStyle w:val="FootnoteReference"/>
          <w:rFonts w:eastAsiaTheme="minorHAnsi"/>
          <w:lang w:eastAsia="en-US"/>
        </w:rPr>
        <w:footnoteReference w:id="11"/>
      </w:r>
      <w:r w:rsidR="00AE6710" w:rsidRPr="00AE6710">
        <w:rPr>
          <w:rFonts w:eastAsiaTheme="minorHAnsi"/>
          <w:lang w:eastAsia="en-US"/>
        </w:rPr>
        <w:t xml:space="preserve">. Ņemot vērā to, ka līgumu izpildes uzsākšana notika dažādos termiņos, 2025. gada augustā pakalpojumu cenas pārskatīšana (indeksēšana) tika veikta līgumos, kas noslēgti pamatojoties uz atklāta konkursa rezultātiem iepirkumā </w:t>
      </w:r>
      <w:r w:rsidR="00AE6710" w:rsidRPr="00AE6710">
        <w:rPr>
          <w:rFonts w:eastAsia="Calibri"/>
          <w:lang w:eastAsia="en-US"/>
        </w:rPr>
        <w:t xml:space="preserve">ar identifikācijas Nr. AD 2019/7. Savukārt, pārējos atklāta konkursa iepirkumos pakalpojumu cenas pārskatīšana paredzēta attiecīgi – iepirkumā ar identifikācijas Nr. AD 2020/5 – 2026. gada jūlijā, bet iepirkumā ar identifikācijas Nr. AD 2021/9 – atšķirīgos termiņos, bet kā pirmie – 2028. gada vidū. Provizoriskā ietekme uz valsts budžeta izdevumiem, ko var radīt pakalpojumu cenas pārskatīšana </w:t>
      </w:r>
      <w:r w:rsidR="00AE6710" w:rsidRPr="006A3423">
        <w:rPr>
          <w:rFonts w:eastAsia="Calibri"/>
          <w:lang w:eastAsia="en-US"/>
        </w:rPr>
        <w:t xml:space="preserve">(līgumā paredzētā indeksācija) atbilstoši līguma noteikumiem lēšama 1,2 milj. </w:t>
      </w:r>
      <w:proofErr w:type="spellStart"/>
      <w:r w:rsidR="00F53FCE" w:rsidRPr="006A3423">
        <w:rPr>
          <w:rFonts w:eastAsia="Calibri"/>
          <w:i/>
          <w:iCs/>
          <w:lang w:eastAsia="en-US"/>
        </w:rPr>
        <w:t>euro</w:t>
      </w:r>
      <w:proofErr w:type="spellEnd"/>
      <w:r w:rsidR="00AE6710" w:rsidRPr="006A3423">
        <w:rPr>
          <w:rFonts w:eastAsia="Calibri"/>
          <w:lang w:eastAsia="en-US"/>
        </w:rPr>
        <w:t xml:space="preserve"> 2025.gadā, 3,3 milj. </w:t>
      </w:r>
      <w:proofErr w:type="spellStart"/>
      <w:r w:rsidR="00F53FCE" w:rsidRPr="006A3423">
        <w:rPr>
          <w:rFonts w:eastAsia="Calibri"/>
          <w:i/>
          <w:iCs/>
          <w:lang w:eastAsia="en-US"/>
        </w:rPr>
        <w:t>euro</w:t>
      </w:r>
      <w:proofErr w:type="spellEnd"/>
      <w:r w:rsidR="00AE6710" w:rsidRPr="006A3423">
        <w:rPr>
          <w:rFonts w:eastAsia="Calibri"/>
          <w:lang w:eastAsia="en-US"/>
        </w:rPr>
        <w:t xml:space="preserve"> – 2026.gadā un 3,8 milj.</w:t>
      </w:r>
      <w:r w:rsidR="00674636" w:rsidRPr="006A3423">
        <w:t xml:space="preserve"> </w:t>
      </w:r>
      <w:proofErr w:type="spellStart"/>
      <w:r w:rsidR="00674636" w:rsidRPr="006A3423">
        <w:rPr>
          <w:rFonts w:eastAsia="Calibri"/>
          <w:i/>
          <w:iCs/>
          <w:lang w:eastAsia="en-US"/>
        </w:rPr>
        <w:t>euro</w:t>
      </w:r>
      <w:proofErr w:type="spellEnd"/>
      <w:r w:rsidR="00AE6710" w:rsidRPr="006A3423">
        <w:rPr>
          <w:rFonts w:eastAsia="Calibri"/>
          <w:lang w:eastAsia="en-US"/>
        </w:rPr>
        <w:t xml:space="preserve"> – 2027.gadā. Turklāt šāds pakalpojumu cenas indeksācijas rezultātā iespējamais pieaugums nav iekļauts valsts budžeta izdevumu bāzē.</w:t>
      </w:r>
      <w:r w:rsidR="00AE6710" w:rsidRPr="00AE6710">
        <w:rPr>
          <w:rFonts w:eastAsia="Calibri"/>
          <w:lang w:eastAsia="en-US"/>
        </w:rPr>
        <w:t xml:space="preserve"> </w:t>
      </w:r>
      <w:r w:rsidR="00535A1E">
        <w:rPr>
          <w:rFonts w:eastAsia="Calibri"/>
          <w:lang w:eastAsia="en-US"/>
        </w:rPr>
        <w:t xml:space="preserve">Līdz ar faktiski, sākot ar 2026.gadu kopējais izdevumu apmērs par sniegtā </w:t>
      </w:r>
      <w:r w:rsidR="00AE570C">
        <w:rPr>
          <w:rFonts w:eastAsia="Calibri"/>
          <w:lang w:eastAsia="en-US"/>
        </w:rPr>
        <w:t xml:space="preserve">sabiedriskā transporta </w:t>
      </w:r>
      <w:r w:rsidR="00535A1E">
        <w:rPr>
          <w:rFonts w:eastAsia="Calibri"/>
          <w:lang w:eastAsia="en-US"/>
        </w:rPr>
        <w:t xml:space="preserve">pakalpojuma apjomu, pieaugs, un šo izdevumu pieaugumu nav iespējams kompensēt ar braukšanas maksas (tarifu) izmaiņu pieaugumu. </w:t>
      </w:r>
      <w:r w:rsidR="00AE570C" w:rsidRPr="00D422DB">
        <w:rPr>
          <w:rFonts w:eastAsia="Calibri"/>
          <w:lang w:eastAsia="en-US"/>
        </w:rPr>
        <w:t xml:space="preserve">Risinājums attiecībā uz maršrutu tīkla apjoma </w:t>
      </w:r>
      <w:r w:rsidR="006A3423" w:rsidRPr="00D422DB">
        <w:rPr>
          <w:rFonts w:eastAsia="Calibri"/>
          <w:lang w:eastAsia="en-US"/>
        </w:rPr>
        <w:t>optimizēšanu</w:t>
      </w:r>
      <w:r w:rsidR="00AE570C" w:rsidRPr="00D422DB">
        <w:rPr>
          <w:rFonts w:eastAsia="Calibri"/>
          <w:lang w:eastAsia="en-US"/>
        </w:rPr>
        <w:t xml:space="preserve"> varētu tikt realizēts, tādējādi mazinot no valsts budžeta nepieciešamo finansējumu, bet vienlaikus minētais risinājums </w:t>
      </w:r>
      <w:r w:rsidR="006A3423" w:rsidRPr="00D422DB">
        <w:rPr>
          <w:rFonts w:eastAsia="Calibri"/>
          <w:lang w:eastAsia="en-US"/>
        </w:rPr>
        <w:t xml:space="preserve">var </w:t>
      </w:r>
      <w:r w:rsidR="00AE570C" w:rsidRPr="00D422DB">
        <w:rPr>
          <w:rFonts w:eastAsia="Calibri"/>
          <w:lang w:eastAsia="en-US"/>
        </w:rPr>
        <w:t>ietekmē</w:t>
      </w:r>
      <w:r w:rsidR="006A3423" w:rsidRPr="00D422DB">
        <w:rPr>
          <w:rFonts w:eastAsia="Calibri"/>
          <w:lang w:eastAsia="en-US"/>
        </w:rPr>
        <w:t>t</w:t>
      </w:r>
      <w:r w:rsidR="00AE570C" w:rsidRPr="00D422DB">
        <w:rPr>
          <w:rFonts w:eastAsia="Calibri"/>
          <w:lang w:eastAsia="en-US"/>
        </w:rPr>
        <w:t xml:space="preserve"> iedzīvotāju mobilitāti</w:t>
      </w:r>
      <w:r w:rsidR="006C2BE4" w:rsidRPr="00D422DB">
        <w:rPr>
          <w:rFonts w:eastAsia="Calibri"/>
          <w:lang w:eastAsia="en-US"/>
        </w:rPr>
        <w:t xml:space="preserve">. </w:t>
      </w:r>
      <w:r w:rsidR="006A3423" w:rsidRPr="00D422DB">
        <w:rPr>
          <w:rFonts w:eastAsia="Calibri"/>
          <w:lang w:eastAsia="en-US"/>
        </w:rPr>
        <w:t>Vērtējot maršruta tīkla optimizācijas iespējas, jāievēro Sabiedriskā transporta pakalpojumu likumā noteiktie kritēriji</w:t>
      </w:r>
      <w:r w:rsidR="00AE570C" w:rsidRPr="00D422DB">
        <w:rPr>
          <w:rFonts w:eastAsia="Calibri"/>
          <w:lang w:eastAsia="en-US"/>
        </w:rPr>
        <w:t>.</w:t>
      </w:r>
      <w:r w:rsidR="00AE570C">
        <w:rPr>
          <w:rFonts w:eastAsia="Calibri"/>
          <w:lang w:eastAsia="en-US"/>
        </w:rPr>
        <w:t xml:space="preserve"> </w:t>
      </w:r>
    </w:p>
    <w:p w14:paraId="46495B50" w14:textId="67F5FBEC" w:rsidR="00AE570C" w:rsidRPr="00FF1803" w:rsidRDefault="00AE570C" w:rsidP="00AE570C">
      <w:pPr>
        <w:pStyle w:val="BodyText"/>
        <w:tabs>
          <w:tab w:val="left" w:pos="709"/>
        </w:tabs>
        <w:ind w:firstLine="709"/>
        <w:jc w:val="both"/>
        <w:rPr>
          <w:b/>
          <w:bCs/>
        </w:rPr>
      </w:pPr>
      <w:r w:rsidRPr="00FF1803">
        <w:t xml:space="preserve">Attiecībā uz valstspilsētu pašvaldību organizētajos pilsētas pārvadājumos piešķirtā valsts budžeta finansējuma izlietojumu un aprēķinātajiem no valsts budžeta kompensējamiem zaudējumiem </w:t>
      </w:r>
      <w:r>
        <w:t>laika posmā no 2023.gada ir bijuši mainīgi</w:t>
      </w:r>
      <w:r w:rsidRPr="00FF1803">
        <w:t>, jo atsevišķas valstspilsētu pašvaldības ir mainījušas braukšanas maksu (tarifu)</w:t>
      </w:r>
      <w:r>
        <w:t xml:space="preserve">, kas ietekmē arī kompensācijas apmēru par pārvadājumiem ārpus pilsētas administratīvās teritorijas. </w:t>
      </w:r>
      <w:r w:rsidRPr="00FF1803">
        <w:t>Ievērojot to, ka saskaņā ar Ministru kabineta noteikumu Nr</w:t>
      </w:r>
      <w:r>
        <w:t xml:space="preserve">. </w:t>
      </w:r>
      <w:r w:rsidRPr="00FF1803">
        <w:t xml:space="preserve">435 </w:t>
      </w:r>
      <w:r w:rsidRPr="00FF1803">
        <w:rPr>
          <w:shd w:val="clear" w:color="auto" w:fill="FFFFFF"/>
        </w:rPr>
        <w:t>3</w:t>
      </w:r>
      <w:r>
        <w:rPr>
          <w:shd w:val="clear" w:color="auto" w:fill="FFFFFF"/>
        </w:rPr>
        <w:t xml:space="preserve">. </w:t>
      </w:r>
      <w:r w:rsidRPr="00FF1803">
        <w:rPr>
          <w:shd w:val="clear" w:color="auto" w:fill="FFFFFF"/>
        </w:rPr>
        <w:t xml:space="preserve">punktu par zaudējumiem par tādu pasažieru pārvadāšanu, kuriem braukšanas maksas atvieglojumi (tai skaitā aprēķinātais pievienotās vērtības nodoklis) noteikti saskaņā ar normatīvajiem aktiem vai tos noteikusi pašvaldība, uzskata no pasažiera nesaņemto braukšanas maksu par sniegtajiem sabiedriskā transporta pakalpojumiem, tādējādi valstspilsētām autonomi nosakot pilsētas administratīvajā teritorijā braukšanas maksu (tarifu), no valsts budžeta izdevumiem par personu ar invaliditāti </w:t>
      </w:r>
      <w:r>
        <w:rPr>
          <w:shd w:val="clear" w:color="auto" w:fill="FFFFFF"/>
        </w:rPr>
        <w:t xml:space="preserve">un bērnu bāreņu </w:t>
      </w:r>
      <w:r w:rsidRPr="00FF1803">
        <w:rPr>
          <w:shd w:val="clear" w:color="auto" w:fill="FFFFFF"/>
        </w:rPr>
        <w:t>pārvadāšanu ir kompensējami zaudējumi šī braukšanas maksas (tarifa) apmērā</w:t>
      </w:r>
      <w:r>
        <w:rPr>
          <w:shd w:val="clear" w:color="auto" w:fill="FFFFFF"/>
        </w:rPr>
        <w:t xml:space="preserve">. </w:t>
      </w:r>
    </w:p>
    <w:p w14:paraId="0740E60E" w14:textId="77777777" w:rsidR="00AE570C" w:rsidRDefault="00AE570C" w:rsidP="00AE570C">
      <w:pPr>
        <w:pStyle w:val="BodyText"/>
        <w:tabs>
          <w:tab w:val="left" w:pos="7655"/>
        </w:tabs>
        <w:ind w:firstLine="709"/>
        <w:jc w:val="both"/>
      </w:pPr>
      <w:r w:rsidRPr="00F77FDA">
        <w:t>Līdztekus valstspilsētu pašvaldību pārskatītajai braukšanas maksai (tarifam) un braukšanas biļešu klāstam un politikai sabiedriskā transporta pakalpojumu sniedzēji ir uzlabojuši biļešu ieņēmumu apjomu</w:t>
      </w:r>
      <w:r>
        <w:t xml:space="preserve">, tomēr aprēķināto apmēru ietekmē arī pašvaldību noteiktie braukšanas </w:t>
      </w:r>
      <w:r>
        <w:lastRenderedPageBreak/>
        <w:t>maksas atvieglojumi, kurus kompensē pati pašvaldība noteiktā tarifa apmērā, līdz ar to tas</w:t>
      </w:r>
      <w:r w:rsidRPr="00F77FDA">
        <w:t xml:space="preserve"> </w:t>
      </w:r>
      <w:r>
        <w:t>maina</w:t>
      </w:r>
      <w:r w:rsidRPr="00F77FDA">
        <w:t xml:space="preserve"> no valsts budžeta kompensācijas apjomu attiecībā uz pilsētas nozīmes maršrutiem, kuriem vairāk nekā 30 % no kopējā maršruta garuma ir ārpus pilsētas administratīvās teritorijas</w:t>
      </w:r>
      <w:r>
        <w:t xml:space="preserve">. </w:t>
      </w:r>
    </w:p>
    <w:p w14:paraId="310142F7" w14:textId="77777777" w:rsidR="00316188" w:rsidRDefault="00316188" w:rsidP="00AE570C">
      <w:pPr>
        <w:pStyle w:val="BodyText"/>
        <w:tabs>
          <w:tab w:val="left" w:pos="7655"/>
        </w:tabs>
        <w:ind w:firstLine="709"/>
        <w:jc w:val="both"/>
      </w:pPr>
    </w:p>
    <w:p w14:paraId="49175EEC" w14:textId="6DF6176B" w:rsidR="00316188" w:rsidRPr="00466F1D" w:rsidRDefault="00316188" w:rsidP="00316188">
      <w:pPr>
        <w:ind w:firstLine="709"/>
        <w:jc w:val="right"/>
        <w:rPr>
          <w:rFonts w:eastAsia="Calibri"/>
          <w:sz w:val="22"/>
          <w:szCs w:val="22"/>
        </w:rPr>
      </w:pPr>
      <w:r w:rsidRPr="00466F1D">
        <w:rPr>
          <w:rFonts w:eastAsia="Calibri"/>
          <w:sz w:val="22"/>
          <w:szCs w:val="22"/>
        </w:rPr>
        <w:t>Tabula Nr</w:t>
      </w:r>
      <w:r>
        <w:rPr>
          <w:rFonts w:eastAsia="Calibri"/>
          <w:sz w:val="22"/>
          <w:szCs w:val="22"/>
        </w:rPr>
        <w:t>. 2</w:t>
      </w:r>
    </w:p>
    <w:p w14:paraId="20A15363" w14:textId="77777777" w:rsidR="00316188" w:rsidRDefault="00316188" w:rsidP="00316188">
      <w:pPr>
        <w:ind w:firstLine="709"/>
        <w:jc w:val="right"/>
        <w:rPr>
          <w:rFonts w:eastAsia="Calibri"/>
          <w:b/>
          <w:bCs/>
          <w:sz w:val="22"/>
          <w:szCs w:val="22"/>
        </w:rPr>
      </w:pPr>
      <w:r>
        <w:rPr>
          <w:rFonts w:eastAsia="Calibri"/>
          <w:b/>
          <w:bCs/>
          <w:sz w:val="22"/>
          <w:szCs w:val="22"/>
        </w:rPr>
        <w:t>Zaudējumu kompensācija valstspilsētu pašvaldību</w:t>
      </w:r>
    </w:p>
    <w:p w14:paraId="6808B3A9" w14:textId="54ED7EBD" w:rsidR="00316188" w:rsidRPr="00466F1D" w:rsidRDefault="00316188" w:rsidP="00316188">
      <w:pPr>
        <w:ind w:firstLine="709"/>
        <w:jc w:val="right"/>
        <w:rPr>
          <w:rFonts w:eastAsia="Calibri"/>
          <w:b/>
          <w:bCs/>
          <w:sz w:val="22"/>
          <w:szCs w:val="22"/>
        </w:rPr>
      </w:pPr>
      <w:r>
        <w:rPr>
          <w:rFonts w:eastAsia="Calibri"/>
          <w:b/>
          <w:bCs/>
          <w:sz w:val="22"/>
          <w:szCs w:val="22"/>
        </w:rPr>
        <w:t>pārvadājumos 2023. - 2024. gadā un plāns 2025.-2026.gadam</w:t>
      </w:r>
    </w:p>
    <w:tbl>
      <w:tblPr>
        <w:tblW w:w="9032" w:type="dxa"/>
        <w:tblLook w:val="04A0" w:firstRow="1" w:lastRow="0" w:firstColumn="1" w:lastColumn="0" w:noHBand="0" w:noVBand="1"/>
      </w:tblPr>
      <w:tblGrid>
        <w:gridCol w:w="5382"/>
        <w:gridCol w:w="850"/>
        <w:gridCol w:w="993"/>
        <w:gridCol w:w="850"/>
        <w:gridCol w:w="587"/>
        <w:gridCol w:w="370"/>
      </w:tblGrid>
      <w:tr w:rsidR="00316188" w:rsidRPr="00316188" w14:paraId="35FCA502" w14:textId="77777777" w:rsidTr="0025301A">
        <w:trPr>
          <w:trHeight w:val="300"/>
        </w:trPr>
        <w:tc>
          <w:tcPr>
            <w:tcW w:w="5382" w:type="dxa"/>
            <w:tcBorders>
              <w:top w:val="single" w:sz="4" w:space="0" w:color="auto"/>
              <w:left w:val="single" w:sz="4" w:space="0" w:color="auto"/>
              <w:bottom w:val="single" w:sz="4" w:space="0" w:color="auto"/>
              <w:right w:val="single" w:sz="4" w:space="0" w:color="auto"/>
            </w:tcBorders>
            <w:noWrap/>
            <w:vAlign w:val="bottom"/>
            <w:hideMark/>
          </w:tcPr>
          <w:p w14:paraId="0DF39374" w14:textId="77777777" w:rsidR="00316188" w:rsidRPr="0025301A" w:rsidRDefault="00316188">
            <w:pPr>
              <w:rPr>
                <w:color w:val="000000"/>
                <w:sz w:val="18"/>
                <w:szCs w:val="18"/>
              </w:rPr>
            </w:pPr>
            <w:r w:rsidRPr="0025301A">
              <w:rPr>
                <w:color w:val="000000"/>
                <w:sz w:val="18"/>
                <w:szCs w:val="18"/>
              </w:rPr>
              <w:t> </w:t>
            </w:r>
          </w:p>
        </w:tc>
        <w:tc>
          <w:tcPr>
            <w:tcW w:w="850" w:type="dxa"/>
            <w:tcBorders>
              <w:top w:val="single" w:sz="4" w:space="0" w:color="auto"/>
              <w:left w:val="nil"/>
              <w:bottom w:val="single" w:sz="4" w:space="0" w:color="auto"/>
              <w:right w:val="single" w:sz="4" w:space="0" w:color="auto"/>
            </w:tcBorders>
            <w:noWrap/>
            <w:vAlign w:val="center"/>
            <w:hideMark/>
          </w:tcPr>
          <w:p w14:paraId="64510466" w14:textId="77777777" w:rsidR="00316188" w:rsidRPr="0025301A" w:rsidRDefault="00316188" w:rsidP="0025301A">
            <w:pPr>
              <w:jc w:val="center"/>
              <w:rPr>
                <w:color w:val="000000"/>
                <w:sz w:val="18"/>
                <w:szCs w:val="18"/>
              </w:rPr>
            </w:pPr>
            <w:r w:rsidRPr="0025301A">
              <w:rPr>
                <w:color w:val="000000"/>
                <w:sz w:val="18"/>
                <w:szCs w:val="18"/>
              </w:rPr>
              <w:t>2023</w:t>
            </w:r>
          </w:p>
        </w:tc>
        <w:tc>
          <w:tcPr>
            <w:tcW w:w="993" w:type="dxa"/>
            <w:tcBorders>
              <w:top w:val="single" w:sz="4" w:space="0" w:color="auto"/>
              <w:left w:val="nil"/>
              <w:bottom w:val="single" w:sz="4" w:space="0" w:color="auto"/>
              <w:right w:val="single" w:sz="4" w:space="0" w:color="auto"/>
            </w:tcBorders>
            <w:noWrap/>
            <w:vAlign w:val="center"/>
            <w:hideMark/>
          </w:tcPr>
          <w:p w14:paraId="1322B83D" w14:textId="77777777" w:rsidR="00316188" w:rsidRPr="0025301A" w:rsidRDefault="00316188" w:rsidP="0025301A">
            <w:pPr>
              <w:jc w:val="center"/>
              <w:rPr>
                <w:color w:val="000000"/>
                <w:sz w:val="18"/>
                <w:szCs w:val="18"/>
              </w:rPr>
            </w:pPr>
            <w:r w:rsidRPr="0025301A">
              <w:rPr>
                <w:color w:val="000000"/>
                <w:sz w:val="18"/>
                <w:szCs w:val="18"/>
              </w:rPr>
              <w:t>2024</w:t>
            </w:r>
          </w:p>
        </w:tc>
        <w:tc>
          <w:tcPr>
            <w:tcW w:w="850" w:type="dxa"/>
            <w:tcBorders>
              <w:top w:val="single" w:sz="4" w:space="0" w:color="auto"/>
              <w:left w:val="nil"/>
              <w:bottom w:val="single" w:sz="4" w:space="0" w:color="auto"/>
              <w:right w:val="single" w:sz="4" w:space="0" w:color="auto"/>
            </w:tcBorders>
            <w:noWrap/>
            <w:vAlign w:val="center"/>
            <w:hideMark/>
          </w:tcPr>
          <w:p w14:paraId="3602C750" w14:textId="77777777" w:rsidR="00316188" w:rsidRPr="0025301A" w:rsidRDefault="00316188" w:rsidP="0025301A">
            <w:pPr>
              <w:jc w:val="center"/>
              <w:rPr>
                <w:color w:val="000000"/>
                <w:sz w:val="18"/>
                <w:szCs w:val="18"/>
              </w:rPr>
            </w:pPr>
            <w:r w:rsidRPr="0025301A">
              <w:rPr>
                <w:color w:val="000000"/>
                <w:sz w:val="18"/>
                <w:szCs w:val="18"/>
              </w:rPr>
              <w:t>2025 plāns</w:t>
            </w:r>
          </w:p>
        </w:tc>
        <w:tc>
          <w:tcPr>
            <w:tcW w:w="957" w:type="dxa"/>
            <w:gridSpan w:val="2"/>
            <w:tcBorders>
              <w:top w:val="single" w:sz="4" w:space="0" w:color="auto"/>
              <w:left w:val="nil"/>
              <w:bottom w:val="single" w:sz="4" w:space="0" w:color="auto"/>
              <w:right w:val="single" w:sz="4" w:space="0" w:color="auto"/>
            </w:tcBorders>
            <w:noWrap/>
            <w:vAlign w:val="center"/>
            <w:hideMark/>
          </w:tcPr>
          <w:p w14:paraId="23A52906" w14:textId="77777777" w:rsidR="00316188" w:rsidRPr="0025301A" w:rsidRDefault="00316188" w:rsidP="0025301A">
            <w:pPr>
              <w:jc w:val="center"/>
              <w:rPr>
                <w:color w:val="000000"/>
                <w:sz w:val="18"/>
                <w:szCs w:val="18"/>
              </w:rPr>
            </w:pPr>
            <w:r w:rsidRPr="0025301A">
              <w:rPr>
                <w:color w:val="000000"/>
                <w:sz w:val="18"/>
                <w:szCs w:val="18"/>
              </w:rPr>
              <w:t>2026 plāns</w:t>
            </w:r>
          </w:p>
        </w:tc>
      </w:tr>
      <w:tr w:rsidR="00316188" w:rsidRPr="00316188" w14:paraId="060ABCE6" w14:textId="77777777" w:rsidTr="0025301A">
        <w:trPr>
          <w:trHeight w:val="283"/>
        </w:trPr>
        <w:tc>
          <w:tcPr>
            <w:tcW w:w="5382" w:type="dxa"/>
            <w:tcBorders>
              <w:top w:val="nil"/>
              <w:left w:val="single" w:sz="4" w:space="0" w:color="auto"/>
              <w:bottom w:val="single" w:sz="4" w:space="0" w:color="auto"/>
              <w:right w:val="single" w:sz="4" w:space="0" w:color="auto"/>
            </w:tcBorders>
            <w:vAlign w:val="bottom"/>
            <w:hideMark/>
          </w:tcPr>
          <w:p w14:paraId="76FE01DB" w14:textId="77777777" w:rsidR="00316188" w:rsidRPr="0025301A" w:rsidRDefault="00316188">
            <w:pPr>
              <w:rPr>
                <w:color w:val="000000"/>
                <w:sz w:val="18"/>
                <w:szCs w:val="18"/>
              </w:rPr>
            </w:pPr>
            <w:r w:rsidRPr="0025301A">
              <w:rPr>
                <w:color w:val="000000"/>
                <w:sz w:val="18"/>
                <w:szCs w:val="18"/>
              </w:rPr>
              <w:t>Kompensācija ārpus pilsētas teritorijas, milj. EUR</w:t>
            </w:r>
          </w:p>
        </w:tc>
        <w:tc>
          <w:tcPr>
            <w:tcW w:w="850" w:type="dxa"/>
            <w:tcBorders>
              <w:top w:val="nil"/>
              <w:left w:val="nil"/>
              <w:bottom w:val="single" w:sz="4" w:space="0" w:color="auto"/>
              <w:right w:val="single" w:sz="4" w:space="0" w:color="auto"/>
            </w:tcBorders>
            <w:noWrap/>
            <w:vAlign w:val="bottom"/>
            <w:hideMark/>
          </w:tcPr>
          <w:p w14:paraId="78D8D96A" w14:textId="77777777" w:rsidR="00316188" w:rsidRPr="0025301A" w:rsidRDefault="00316188">
            <w:pPr>
              <w:jc w:val="right"/>
              <w:rPr>
                <w:color w:val="000000"/>
                <w:sz w:val="18"/>
                <w:szCs w:val="18"/>
              </w:rPr>
            </w:pPr>
            <w:r w:rsidRPr="0025301A">
              <w:rPr>
                <w:color w:val="000000"/>
                <w:sz w:val="18"/>
                <w:szCs w:val="18"/>
              </w:rPr>
              <w:t>2.26</w:t>
            </w:r>
          </w:p>
        </w:tc>
        <w:tc>
          <w:tcPr>
            <w:tcW w:w="993" w:type="dxa"/>
            <w:tcBorders>
              <w:top w:val="nil"/>
              <w:left w:val="nil"/>
              <w:bottom w:val="single" w:sz="4" w:space="0" w:color="auto"/>
              <w:right w:val="single" w:sz="4" w:space="0" w:color="auto"/>
            </w:tcBorders>
            <w:noWrap/>
            <w:vAlign w:val="bottom"/>
            <w:hideMark/>
          </w:tcPr>
          <w:p w14:paraId="3219AFD8" w14:textId="77777777" w:rsidR="00316188" w:rsidRPr="0025301A" w:rsidRDefault="00316188">
            <w:pPr>
              <w:jc w:val="right"/>
              <w:rPr>
                <w:color w:val="000000"/>
                <w:sz w:val="18"/>
                <w:szCs w:val="18"/>
              </w:rPr>
            </w:pPr>
            <w:r w:rsidRPr="0025301A">
              <w:rPr>
                <w:color w:val="000000"/>
                <w:sz w:val="18"/>
                <w:szCs w:val="18"/>
              </w:rPr>
              <w:t>2.58</w:t>
            </w:r>
          </w:p>
        </w:tc>
        <w:tc>
          <w:tcPr>
            <w:tcW w:w="850" w:type="dxa"/>
            <w:tcBorders>
              <w:top w:val="nil"/>
              <w:left w:val="nil"/>
              <w:bottom w:val="single" w:sz="4" w:space="0" w:color="auto"/>
              <w:right w:val="single" w:sz="4" w:space="0" w:color="auto"/>
            </w:tcBorders>
            <w:noWrap/>
            <w:vAlign w:val="bottom"/>
            <w:hideMark/>
          </w:tcPr>
          <w:p w14:paraId="1E7BC085" w14:textId="77777777" w:rsidR="00316188" w:rsidRPr="0025301A" w:rsidRDefault="00316188">
            <w:pPr>
              <w:jc w:val="right"/>
              <w:rPr>
                <w:color w:val="000000"/>
                <w:sz w:val="18"/>
                <w:szCs w:val="18"/>
              </w:rPr>
            </w:pPr>
            <w:r w:rsidRPr="0025301A">
              <w:rPr>
                <w:color w:val="000000"/>
                <w:sz w:val="18"/>
                <w:szCs w:val="18"/>
              </w:rPr>
              <w:t>2.35</w:t>
            </w:r>
          </w:p>
        </w:tc>
        <w:tc>
          <w:tcPr>
            <w:tcW w:w="957" w:type="dxa"/>
            <w:gridSpan w:val="2"/>
            <w:tcBorders>
              <w:top w:val="nil"/>
              <w:left w:val="nil"/>
              <w:bottom w:val="single" w:sz="4" w:space="0" w:color="auto"/>
              <w:right w:val="single" w:sz="4" w:space="0" w:color="auto"/>
            </w:tcBorders>
            <w:noWrap/>
            <w:vAlign w:val="bottom"/>
            <w:hideMark/>
          </w:tcPr>
          <w:p w14:paraId="0C9579FF" w14:textId="77777777" w:rsidR="00316188" w:rsidRPr="0025301A" w:rsidRDefault="00316188">
            <w:pPr>
              <w:jc w:val="right"/>
              <w:rPr>
                <w:color w:val="000000"/>
                <w:sz w:val="18"/>
                <w:szCs w:val="18"/>
              </w:rPr>
            </w:pPr>
            <w:r w:rsidRPr="0025301A">
              <w:rPr>
                <w:color w:val="000000"/>
                <w:sz w:val="18"/>
                <w:szCs w:val="18"/>
              </w:rPr>
              <w:t>3.04</w:t>
            </w:r>
          </w:p>
        </w:tc>
      </w:tr>
      <w:tr w:rsidR="00316188" w:rsidRPr="00316188" w14:paraId="21CD4DBA" w14:textId="77777777" w:rsidTr="00316188">
        <w:trPr>
          <w:trHeight w:val="283"/>
        </w:trPr>
        <w:tc>
          <w:tcPr>
            <w:tcW w:w="5382" w:type="dxa"/>
            <w:tcBorders>
              <w:top w:val="nil"/>
              <w:left w:val="single" w:sz="4" w:space="0" w:color="auto"/>
              <w:bottom w:val="single" w:sz="4" w:space="0" w:color="auto"/>
              <w:right w:val="single" w:sz="4" w:space="0" w:color="auto"/>
            </w:tcBorders>
            <w:noWrap/>
            <w:vAlign w:val="bottom"/>
            <w:hideMark/>
          </w:tcPr>
          <w:p w14:paraId="109DCEF3" w14:textId="77777777" w:rsidR="00316188" w:rsidRPr="0025301A" w:rsidRDefault="00316188">
            <w:pPr>
              <w:rPr>
                <w:i/>
                <w:iCs/>
                <w:color w:val="7B7B7B" w:themeColor="accent3" w:themeShade="BF"/>
                <w:sz w:val="16"/>
                <w:szCs w:val="16"/>
              </w:rPr>
            </w:pPr>
            <w:r w:rsidRPr="0025301A">
              <w:rPr>
                <w:i/>
                <w:iCs/>
                <w:color w:val="7B7B7B" w:themeColor="accent3" w:themeShade="BF"/>
                <w:sz w:val="16"/>
                <w:szCs w:val="16"/>
              </w:rPr>
              <w:t>izmaiņas pret iepriekšējo periodu, %</w:t>
            </w:r>
          </w:p>
        </w:tc>
        <w:tc>
          <w:tcPr>
            <w:tcW w:w="850" w:type="dxa"/>
            <w:tcBorders>
              <w:top w:val="nil"/>
              <w:left w:val="nil"/>
              <w:bottom w:val="single" w:sz="4" w:space="0" w:color="auto"/>
              <w:right w:val="single" w:sz="4" w:space="0" w:color="auto"/>
            </w:tcBorders>
            <w:noWrap/>
            <w:vAlign w:val="bottom"/>
            <w:hideMark/>
          </w:tcPr>
          <w:p w14:paraId="04718E9E" w14:textId="77777777" w:rsidR="00316188" w:rsidRPr="0025301A" w:rsidRDefault="00316188">
            <w:pPr>
              <w:jc w:val="right"/>
              <w:rPr>
                <w:color w:val="7B7B7B" w:themeColor="accent3" w:themeShade="BF"/>
                <w:sz w:val="16"/>
                <w:szCs w:val="16"/>
              </w:rPr>
            </w:pPr>
            <w:r w:rsidRPr="0025301A">
              <w:rPr>
                <w:color w:val="7B7B7B" w:themeColor="accent3" w:themeShade="BF"/>
                <w:sz w:val="16"/>
                <w:szCs w:val="16"/>
              </w:rPr>
              <w:t>-19%</w:t>
            </w:r>
          </w:p>
        </w:tc>
        <w:tc>
          <w:tcPr>
            <w:tcW w:w="993" w:type="dxa"/>
            <w:tcBorders>
              <w:top w:val="nil"/>
              <w:left w:val="nil"/>
              <w:bottom w:val="single" w:sz="4" w:space="0" w:color="auto"/>
              <w:right w:val="single" w:sz="4" w:space="0" w:color="auto"/>
            </w:tcBorders>
            <w:noWrap/>
            <w:vAlign w:val="bottom"/>
            <w:hideMark/>
          </w:tcPr>
          <w:p w14:paraId="1378FCB9" w14:textId="77777777" w:rsidR="00316188" w:rsidRPr="0025301A" w:rsidRDefault="00316188">
            <w:pPr>
              <w:jc w:val="right"/>
              <w:rPr>
                <w:color w:val="7B7B7B" w:themeColor="accent3" w:themeShade="BF"/>
                <w:sz w:val="16"/>
                <w:szCs w:val="16"/>
              </w:rPr>
            </w:pPr>
            <w:r w:rsidRPr="0025301A">
              <w:rPr>
                <w:color w:val="7B7B7B" w:themeColor="accent3" w:themeShade="BF"/>
                <w:sz w:val="16"/>
                <w:szCs w:val="16"/>
              </w:rPr>
              <w:t>14%</w:t>
            </w:r>
          </w:p>
        </w:tc>
        <w:tc>
          <w:tcPr>
            <w:tcW w:w="850" w:type="dxa"/>
            <w:tcBorders>
              <w:top w:val="nil"/>
              <w:left w:val="nil"/>
              <w:bottom w:val="single" w:sz="4" w:space="0" w:color="auto"/>
              <w:right w:val="single" w:sz="4" w:space="0" w:color="auto"/>
            </w:tcBorders>
            <w:noWrap/>
            <w:vAlign w:val="bottom"/>
            <w:hideMark/>
          </w:tcPr>
          <w:p w14:paraId="2383F6F6" w14:textId="77777777" w:rsidR="00316188" w:rsidRPr="0025301A" w:rsidRDefault="00316188">
            <w:pPr>
              <w:jc w:val="right"/>
              <w:rPr>
                <w:color w:val="7B7B7B" w:themeColor="accent3" w:themeShade="BF"/>
                <w:sz w:val="16"/>
                <w:szCs w:val="16"/>
              </w:rPr>
            </w:pPr>
            <w:r w:rsidRPr="0025301A">
              <w:rPr>
                <w:color w:val="7B7B7B" w:themeColor="accent3" w:themeShade="BF"/>
                <w:sz w:val="16"/>
                <w:szCs w:val="16"/>
              </w:rPr>
              <w:t>-9%</w:t>
            </w:r>
          </w:p>
        </w:tc>
        <w:tc>
          <w:tcPr>
            <w:tcW w:w="957" w:type="dxa"/>
            <w:gridSpan w:val="2"/>
            <w:tcBorders>
              <w:top w:val="nil"/>
              <w:left w:val="nil"/>
              <w:bottom w:val="single" w:sz="4" w:space="0" w:color="auto"/>
              <w:right w:val="single" w:sz="4" w:space="0" w:color="auto"/>
            </w:tcBorders>
            <w:noWrap/>
            <w:vAlign w:val="bottom"/>
            <w:hideMark/>
          </w:tcPr>
          <w:p w14:paraId="18A60639" w14:textId="77777777" w:rsidR="00316188" w:rsidRPr="0025301A" w:rsidRDefault="00316188">
            <w:pPr>
              <w:jc w:val="right"/>
              <w:rPr>
                <w:color w:val="7B7B7B" w:themeColor="accent3" w:themeShade="BF"/>
                <w:sz w:val="16"/>
                <w:szCs w:val="16"/>
              </w:rPr>
            </w:pPr>
            <w:r w:rsidRPr="0025301A">
              <w:rPr>
                <w:color w:val="7B7B7B" w:themeColor="accent3" w:themeShade="BF"/>
                <w:sz w:val="16"/>
                <w:szCs w:val="16"/>
              </w:rPr>
              <w:t>29%</w:t>
            </w:r>
          </w:p>
        </w:tc>
      </w:tr>
      <w:tr w:rsidR="00316188" w:rsidRPr="00316188" w14:paraId="068CF135" w14:textId="77777777" w:rsidTr="0025301A">
        <w:trPr>
          <w:trHeight w:val="283"/>
        </w:trPr>
        <w:tc>
          <w:tcPr>
            <w:tcW w:w="5382" w:type="dxa"/>
            <w:tcBorders>
              <w:top w:val="nil"/>
              <w:left w:val="single" w:sz="4" w:space="0" w:color="auto"/>
              <w:bottom w:val="single" w:sz="4" w:space="0" w:color="auto"/>
              <w:right w:val="single" w:sz="4" w:space="0" w:color="auto"/>
            </w:tcBorders>
            <w:vAlign w:val="bottom"/>
            <w:hideMark/>
          </w:tcPr>
          <w:p w14:paraId="026B9A5C" w14:textId="77777777" w:rsidR="00316188" w:rsidRPr="0025301A" w:rsidRDefault="00316188">
            <w:pPr>
              <w:rPr>
                <w:color w:val="000000"/>
                <w:sz w:val="18"/>
                <w:szCs w:val="18"/>
              </w:rPr>
            </w:pPr>
            <w:r w:rsidRPr="0025301A">
              <w:rPr>
                <w:color w:val="000000"/>
                <w:sz w:val="18"/>
                <w:szCs w:val="18"/>
              </w:rPr>
              <w:t>Izmaksātais finansējums par konkrētā gada zaudējumiem*, milj. EUR</w:t>
            </w:r>
          </w:p>
        </w:tc>
        <w:tc>
          <w:tcPr>
            <w:tcW w:w="850" w:type="dxa"/>
            <w:tcBorders>
              <w:top w:val="nil"/>
              <w:left w:val="nil"/>
              <w:bottom w:val="single" w:sz="4" w:space="0" w:color="auto"/>
              <w:right w:val="single" w:sz="4" w:space="0" w:color="auto"/>
            </w:tcBorders>
            <w:noWrap/>
            <w:vAlign w:val="bottom"/>
            <w:hideMark/>
          </w:tcPr>
          <w:p w14:paraId="1DEBB02C" w14:textId="77777777" w:rsidR="00316188" w:rsidRPr="0025301A" w:rsidRDefault="00316188">
            <w:pPr>
              <w:jc w:val="right"/>
              <w:rPr>
                <w:color w:val="000000"/>
                <w:sz w:val="18"/>
                <w:szCs w:val="18"/>
              </w:rPr>
            </w:pPr>
            <w:r w:rsidRPr="0025301A">
              <w:rPr>
                <w:color w:val="000000"/>
                <w:sz w:val="18"/>
                <w:szCs w:val="18"/>
              </w:rPr>
              <w:t>1.62</w:t>
            </w:r>
          </w:p>
        </w:tc>
        <w:tc>
          <w:tcPr>
            <w:tcW w:w="993" w:type="dxa"/>
            <w:tcBorders>
              <w:top w:val="nil"/>
              <w:left w:val="nil"/>
              <w:bottom w:val="single" w:sz="4" w:space="0" w:color="auto"/>
              <w:right w:val="single" w:sz="4" w:space="0" w:color="auto"/>
            </w:tcBorders>
            <w:noWrap/>
            <w:vAlign w:val="bottom"/>
            <w:hideMark/>
          </w:tcPr>
          <w:p w14:paraId="75D254C8" w14:textId="77777777" w:rsidR="00316188" w:rsidRPr="0025301A" w:rsidRDefault="00316188">
            <w:pPr>
              <w:jc w:val="right"/>
              <w:rPr>
                <w:color w:val="000000"/>
                <w:sz w:val="18"/>
                <w:szCs w:val="18"/>
              </w:rPr>
            </w:pPr>
            <w:r w:rsidRPr="0025301A">
              <w:rPr>
                <w:color w:val="000000"/>
                <w:sz w:val="18"/>
                <w:szCs w:val="18"/>
              </w:rPr>
              <w:t>2.78</w:t>
            </w:r>
          </w:p>
        </w:tc>
        <w:tc>
          <w:tcPr>
            <w:tcW w:w="850" w:type="dxa"/>
            <w:tcBorders>
              <w:top w:val="nil"/>
              <w:left w:val="nil"/>
              <w:bottom w:val="single" w:sz="4" w:space="0" w:color="auto"/>
              <w:right w:val="single" w:sz="4" w:space="0" w:color="auto"/>
            </w:tcBorders>
            <w:noWrap/>
            <w:vAlign w:val="bottom"/>
            <w:hideMark/>
          </w:tcPr>
          <w:p w14:paraId="210B83D4" w14:textId="77777777" w:rsidR="00316188" w:rsidRPr="0025301A" w:rsidRDefault="00316188">
            <w:pPr>
              <w:jc w:val="right"/>
              <w:rPr>
                <w:color w:val="000000"/>
                <w:sz w:val="18"/>
                <w:szCs w:val="18"/>
              </w:rPr>
            </w:pPr>
            <w:r w:rsidRPr="0025301A">
              <w:rPr>
                <w:color w:val="000000"/>
                <w:sz w:val="18"/>
                <w:szCs w:val="18"/>
              </w:rPr>
              <w:t>2.21</w:t>
            </w:r>
          </w:p>
        </w:tc>
        <w:tc>
          <w:tcPr>
            <w:tcW w:w="957" w:type="dxa"/>
            <w:gridSpan w:val="2"/>
            <w:tcBorders>
              <w:top w:val="nil"/>
              <w:left w:val="nil"/>
              <w:bottom w:val="single" w:sz="4" w:space="0" w:color="auto"/>
              <w:right w:val="single" w:sz="4" w:space="0" w:color="auto"/>
            </w:tcBorders>
            <w:noWrap/>
            <w:vAlign w:val="bottom"/>
            <w:hideMark/>
          </w:tcPr>
          <w:p w14:paraId="51CD2991" w14:textId="77777777" w:rsidR="00316188" w:rsidRPr="0025301A" w:rsidRDefault="00316188">
            <w:pPr>
              <w:jc w:val="right"/>
              <w:rPr>
                <w:color w:val="000000"/>
                <w:sz w:val="18"/>
                <w:szCs w:val="18"/>
              </w:rPr>
            </w:pPr>
            <w:r w:rsidRPr="0025301A">
              <w:rPr>
                <w:color w:val="000000"/>
                <w:sz w:val="18"/>
                <w:szCs w:val="18"/>
              </w:rPr>
              <w:t>2.8</w:t>
            </w:r>
          </w:p>
        </w:tc>
      </w:tr>
      <w:tr w:rsidR="00316188" w:rsidRPr="00316188" w14:paraId="470CDA5D" w14:textId="77777777" w:rsidTr="00316188">
        <w:trPr>
          <w:trHeight w:val="283"/>
        </w:trPr>
        <w:tc>
          <w:tcPr>
            <w:tcW w:w="5382" w:type="dxa"/>
            <w:tcBorders>
              <w:top w:val="nil"/>
              <w:left w:val="single" w:sz="4" w:space="0" w:color="auto"/>
              <w:bottom w:val="single" w:sz="4" w:space="0" w:color="auto"/>
              <w:right w:val="single" w:sz="4" w:space="0" w:color="auto"/>
            </w:tcBorders>
            <w:noWrap/>
            <w:vAlign w:val="bottom"/>
            <w:hideMark/>
          </w:tcPr>
          <w:p w14:paraId="60FFAEC1" w14:textId="77777777" w:rsidR="00316188" w:rsidRPr="0025301A" w:rsidRDefault="00316188">
            <w:pPr>
              <w:rPr>
                <w:i/>
                <w:iCs/>
                <w:color w:val="7B7B7B" w:themeColor="accent3" w:themeShade="BF"/>
                <w:sz w:val="16"/>
                <w:szCs w:val="16"/>
              </w:rPr>
            </w:pPr>
            <w:r w:rsidRPr="0025301A">
              <w:rPr>
                <w:i/>
                <w:iCs/>
                <w:color w:val="7B7B7B" w:themeColor="accent3" w:themeShade="BF"/>
                <w:sz w:val="16"/>
                <w:szCs w:val="16"/>
              </w:rPr>
              <w:t>izmaiņas pret iepriekšējo periodu, %</w:t>
            </w:r>
          </w:p>
        </w:tc>
        <w:tc>
          <w:tcPr>
            <w:tcW w:w="850" w:type="dxa"/>
            <w:tcBorders>
              <w:top w:val="nil"/>
              <w:left w:val="nil"/>
              <w:bottom w:val="single" w:sz="4" w:space="0" w:color="auto"/>
              <w:right w:val="single" w:sz="4" w:space="0" w:color="auto"/>
            </w:tcBorders>
            <w:noWrap/>
            <w:vAlign w:val="bottom"/>
            <w:hideMark/>
          </w:tcPr>
          <w:p w14:paraId="6B5E6AF9" w14:textId="77777777" w:rsidR="00316188" w:rsidRPr="0025301A" w:rsidRDefault="00316188">
            <w:pPr>
              <w:jc w:val="right"/>
              <w:rPr>
                <w:color w:val="7B7B7B" w:themeColor="accent3" w:themeShade="BF"/>
                <w:sz w:val="16"/>
                <w:szCs w:val="16"/>
              </w:rPr>
            </w:pPr>
            <w:r w:rsidRPr="0025301A">
              <w:rPr>
                <w:color w:val="7B7B7B" w:themeColor="accent3" w:themeShade="BF"/>
                <w:sz w:val="16"/>
                <w:szCs w:val="16"/>
              </w:rPr>
              <w:t>-52%</w:t>
            </w:r>
          </w:p>
        </w:tc>
        <w:tc>
          <w:tcPr>
            <w:tcW w:w="993" w:type="dxa"/>
            <w:tcBorders>
              <w:top w:val="nil"/>
              <w:left w:val="nil"/>
              <w:bottom w:val="single" w:sz="4" w:space="0" w:color="auto"/>
              <w:right w:val="single" w:sz="4" w:space="0" w:color="auto"/>
            </w:tcBorders>
            <w:noWrap/>
            <w:vAlign w:val="bottom"/>
            <w:hideMark/>
          </w:tcPr>
          <w:p w14:paraId="203AC819" w14:textId="77777777" w:rsidR="00316188" w:rsidRPr="0025301A" w:rsidRDefault="00316188">
            <w:pPr>
              <w:jc w:val="right"/>
              <w:rPr>
                <w:color w:val="7B7B7B" w:themeColor="accent3" w:themeShade="BF"/>
                <w:sz w:val="16"/>
                <w:szCs w:val="16"/>
              </w:rPr>
            </w:pPr>
            <w:r w:rsidRPr="0025301A">
              <w:rPr>
                <w:color w:val="7B7B7B" w:themeColor="accent3" w:themeShade="BF"/>
                <w:sz w:val="16"/>
                <w:szCs w:val="16"/>
              </w:rPr>
              <w:t>72%</w:t>
            </w:r>
          </w:p>
        </w:tc>
        <w:tc>
          <w:tcPr>
            <w:tcW w:w="850" w:type="dxa"/>
            <w:tcBorders>
              <w:top w:val="nil"/>
              <w:left w:val="nil"/>
              <w:bottom w:val="single" w:sz="4" w:space="0" w:color="auto"/>
              <w:right w:val="single" w:sz="4" w:space="0" w:color="auto"/>
            </w:tcBorders>
            <w:noWrap/>
            <w:vAlign w:val="bottom"/>
            <w:hideMark/>
          </w:tcPr>
          <w:p w14:paraId="0A1B2174" w14:textId="77777777" w:rsidR="00316188" w:rsidRPr="0025301A" w:rsidRDefault="00316188">
            <w:pPr>
              <w:jc w:val="right"/>
              <w:rPr>
                <w:color w:val="7B7B7B" w:themeColor="accent3" w:themeShade="BF"/>
                <w:sz w:val="16"/>
                <w:szCs w:val="16"/>
              </w:rPr>
            </w:pPr>
            <w:r w:rsidRPr="0025301A">
              <w:rPr>
                <w:color w:val="7B7B7B" w:themeColor="accent3" w:themeShade="BF"/>
                <w:sz w:val="16"/>
                <w:szCs w:val="16"/>
              </w:rPr>
              <w:t>-21%</w:t>
            </w:r>
          </w:p>
        </w:tc>
        <w:tc>
          <w:tcPr>
            <w:tcW w:w="957" w:type="dxa"/>
            <w:gridSpan w:val="2"/>
            <w:tcBorders>
              <w:top w:val="nil"/>
              <w:left w:val="nil"/>
              <w:bottom w:val="single" w:sz="4" w:space="0" w:color="auto"/>
              <w:right w:val="single" w:sz="4" w:space="0" w:color="auto"/>
            </w:tcBorders>
            <w:noWrap/>
            <w:vAlign w:val="bottom"/>
            <w:hideMark/>
          </w:tcPr>
          <w:p w14:paraId="4DDF25B9" w14:textId="77777777" w:rsidR="00316188" w:rsidRPr="0025301A" w:rsidRDefault="00316188">
            <w:pPr>
              <w:jc w:val="right"/>
              <w:rPr>
                <w:color w:val="7B7B7B" w:themeColor="accent3" w:themeShade="BF"/>
                <w:sz w:val="16"/>
                <w:szCs w:val="16"/>
              </w:rPr>
            </w:pPr>
            <w:r w:rsidRPr="0025301A">
              <w:rPr>
                <w:color w:val="7B7B7B" w:themeColor="accent3" w:themeShade="BF"/>
                <w:sz w:val="16"/>
                <w:szCs w:val="16"/>
              </w:rPr>
              <w:t>27%</w:t>
            </w:r>
          </w:p>
        </w:tc>
      </w:tr>
      <w:tr w:rsidR="00316188" w:rsidRPr="00316188" w14:paraId="40F9FF93" w14:textId="77777777" w:rsidTr="0025301A">
        <w:trPr>
          <w:trHeight w:val="283"/>
        </w:trPr>
        <w:tc>
          <w:tcPr>
            <w:tcW w:w="5382" w:type="dxa"/>
            <w:tcBorders>
              <w:top w:val="nil"/>
              <w:left w:val="single" w:sz="4" w:space="0" w:color="auto"/>
              <w:bottom w:val="single" w:sz="4" w:space="0" w:color="auto"/>
              <w:right w:val="single" w:sz="4" w:space="0" w:color="auto"/>
            </w:tcBorders>
            <w:vAlign w:val="bottom"/>
            <w:hideMark/>
          </w:tcPr>
          <w:p w14:paraId="7CBE4B0B" w14:textId="77777777" w:rsidR="00316188" w:rsidRPr="0025301A" w:rsidRDefault="00316188">
            <w:pPr>
              <w:rPr>
                <w:color w:val="000000"/>
                <w:sz w:val="18"/>
                <w:szCs w:val="18"/>
              </w:rPr>
            </w:pPr>
            <w:r w:rsidRPr="0025301A">
              <w:rPr>
                <w:color w:val="000000"/>
                <w:sz w:val="18"/>
                <w:szCs w:val="18"/>
              </w:rPr>
              <w:t>Pārvadāto pasažieru ar braukšanas maksas atvieglojumiem skaits, milj.</w:t>
            </w:r>
          </w:p>
        </w:tc>
        <w:tc>
          <w:tcPr>
            <w:tcW w:w="850" w:type="dxa"/>
            <w:tcBorders>
              <w:top w:val="nil"/>
              <w:left w:val="nil"/>
              <w:bottom w:val="single" w:sz="4" w:space="0" w:color="auto"/>
              <w:right w:val="single" w:sz="4" w:space="0" w:color="auto"/>
            </w:tcBorders>
            <w:noWrap/>
            <w:vAlign w:val="bottom"/>
            <w:hideMark/>
          </w:tcPr>
          <w:p w14:paraId="00E69ADD" w14:textId="77777777" w:rsidR="00316188" w:rsidRPr="0025301A" w:rsidRDefault="00316188">
            <w:pPr>
              <w:jc w:val="right"/>
              <w:rPr>
                <w:color w:val="000000"/>
                <w:sz w:val="18"/>
                <w:szCs w:val="18"/>
              </w:rPr>
            </w:pPr>
            <w:r w:rsidRPr="0025301A">
              <w:rPr>
                <w:color w:val="000000"/>
                <w:sz w:val="18"/>
                <w:szCs w:val="18"/>
              </w:rPr>
              <w:t>7.65</w:t>
            </w:r>
          </w:p>
        </w:tc>
        <w:tc>
          <w:tcPr>
            <w:tcW w:w="993" w:type="dxa"/>
            <w:tcBorders>
              <w:top w:val="nil"/>
              <w:left w:val="nil"/>
              <w:bottom w:val="single" w:sz="4" w:space="0" w:color="auto"/>
              <w:right w:val="single" w:sz="4" w:space="0" w:color="auto"/>
            </w:tcBorders>
            <w:noWrap/>
            <w:vAlign w:val="bottom"/>
            <w:hideMark/>
          </w:tcPr>
          <w:p w14:paraId="29CFBE4B" w14:textId="77777777" w:rsidR="00316188" w:rsidRPr="0025301A" w:rsidRDefault="00316188">
            <w:pPr>
              <w:jc w:val="right"/>
              <w:rPr>
                <w:color w:val="000000"/>
                <w:sz w:val="18"/>
                <w:szCs w:val="18"/>
              </w:rPr>
            </w:pPr>
            <w:r w:rsidRPr="0025301A">
              <w:rPr>
                <w:color w:val="000000"/>
                <w:sz w:val="18"/>
                <w:szCs w:val="18"/>
              </w:rPr>
              <w:t>7.48</w:t>
            </w:r>
          </w:p>
        </w:tc>
        <w:tc>
          <w:tcPr>
            <w:tcW w:w="850" w:type="dxa"/>
            <w:tcBorders>
              <w:top w:val="nil"/>
              <w:left w:val="nil"/>
              <w:bottom w:val="single" w:sz="4" w:space="0" w:color="auto"/>
              <w:right w:val="single" w:sz="4" w:space="0" w:color="auto"/>
            </w:tcBorders>
            <w:noWrap/>
            <w:vAlign w:val="bottom"/>
            <w:hideMark/>
          </w:tcPr>
          <w:p w14:paraId="21C40AF5" w14:textId="77777777" w:rsidR="00316188" w:rsidRPr="0025301A" w:rsidRDefault="00316188">
            <w:pPr>
              <w:jc w:val="right"/>
              <w:rPr>
                <w:color w:val="000000"/>
                <w:sz w:val="18"/>
                <w:szCs w:val="18"/>
              </w:rPr>
            </w:pPr>
            <w:r w:rsidRPr="0025301A">
              <w:rPr>
                <w:color w:val="000000"/>
                <w:sz w:val="18"/>
                <w:szCs w:val="18"/>
              </w:rPr>
              <w:t>7.33</w:t>
            </w:r>
          </w:p>
        </w:tc>
        <w:tc>
          <w:tcPr>
            <w:tcW w:w="957" w:type="dxa"/>
            <w:gridSpan w:val="2"/>
            <w:tcBorders>
              <w:top w:val="nil"/>
              <w:left w:val="nil"/>
              <w:bottom w:val="single" w:sz="4" w:space="0" w:color="auto"/>
              <w:right w:val="single" w:sz="4" w:space="0" w:color="auto"/>
            </w:tcBorders>
            <w:noWrap/>
            <w:vAlign w:val="bottom"/>
            <w:hideMark/>
          </w:tcPr>
          <w:p w14:paraId="78E51176" w14:textId="77777777" w:rsidR="00316188" w:rsidRPr="0025301A" w:rsidRDefault="00316188">
            <w:pPr>
              <w:jc w:val="right"/>
              <w:rPr>
                <w:color w:val="000000"/>
                <w:sz w:val="18"/>
                <w:szCs w:val="18"/>
              </w:rPr>
            </w:pPr>
            <w:r w:rsidRPr="0025301A">
              <w:rPr>
                <w:color w:val="000000"/>
                <w:sz w:val="18"/>
                <w:szCs w:val="18"/>
              </w:rPr>
              <w:t>7.53</w:t>
            </w:r>
          </w:p>
        </w:tc>
      </w:tr>
      <w:tr w:rsidR="00316188" w:rsidRPr="00316188" w14:paraId="6EEA838E" w14:textId="77777777" w:rsidTr="00316188">
        <w:trPr>
          <w:trHeight w:val="283"/>
        </w:trPr>
        <w:tc>
          <w:tcPr>
            <w:tcW w:w="5382" w:type="dxa"/>
            <w:tcBorders>
              <w:top w:val="nil"/>
              <w:left w:val="single" w:sz="4" w:space="0" w:color="auto"/>
              <w:bottom w:val="single" w:sz="4" w:space="0" w:color="auto"/>
              <w:right w:val="single" w:sz="4" w:space="0" w:color="auto"/>
            </w:tcBorders>
            <w:noWrap/>
            <w:vAlign w:val="bottom"/>
            <w:hideMark/>
          </w:tcPr>
          <w:p w14:paraId="37F1AA4A" w14:textId="77777777" w:rsidR="00316188" w:rsidRPr="0025301A" w:rsidRDefault="00316188">
            <w:pPr>
              <w:rPr>
                <w:i/>
                <w:iCs/>
                <w:color w:val="7B7B7B" w:themeColor="accent3" w:themeShade="BF"/>
                <w:sz w:val="16"/>
                <w:szCs w:val="16"/>
              </w:rPr>
            </w:pPr>
            <w:r w:rsidRPr="0025301A">
              <w:rPr>
                <w:i/>
                <w:iCs/>
                <w:color w:val="7B7B7B" w:themeColor="accent3" w:themeShade="BF"/>
                <w:sz w:val="16"/>
                <w:szCs w:val="16"/>
              </w:rPr>
              <w:t>izmaiņas pret iepriekšējo periodu, %</w:t>
            </w:r>
          </w:p>
        </w:tc>
        <w:tc>
          <w:tcPr>
            <w:tcW w:w="850" w:type="dxa"/>
            <w:tcBorders>
              <w:top w:val="nil"/>
              <w:left w:val="nil"/>
              <w:bottom w:val="single" w:sz="4" w:space="0" w:color="auto"/>
              <w:right w:val="single" w:sz="4" w:space="0" w:color="auto"/>
            </w:tcBorders>
            <w:noWrap/>
            <w:vAlign w:val="bottom"/>
            <w:hideMark/>
          </w:tcPr>
          <w:p w14:paraId="2E6A8CFE" w14:textId="77777777" w:rsidR="00316188" w:rsidRPr="0025301A" w:rsidRDefault="00316188">
            <w:pPr>
              <w:jc w:val="right"/>
              <w:rPr>
                <w:color w:val="7B7B7B" w:themeColor="accent3" w:themeShade="BF"/>
                <w:sz w:val="16"/>
                <w:szCs w:val="16"/>
              </w:rPr>
            </w:pPr>
            <w:r w:rsidRPr="0025301A">
              <w:rPr>
                <w:color w:val="7B7B7B" w:themeColor="accent3" w:themeShade="BF"/>
                <w:sz w:val="16"/>
                <w:szCs w:val="16"/>
              </w:rPr>
              <w:t>3%</w:t>
            </w:r>
          </w:p>
        </w:tc>
        <w:tc>
          <w:tcPr>
            <w:tcW w:w="993" w:type="dxa"/>
            <w:tcBorders>
              <w:top w:val="nil"/>
              <w:left w:val="nil"/>
              <w:bottom w:val="single" w:sz="4" w:space="0" w:color="auto"/>
              <w:right w:val="single" w:sz="4" w:space="0" w:color="auto"/>
            </w:tcBorders>
            <w:noWrap/>
            <w:vAlign w:val="bottom"/>
            <w:hideMark/>
          </w:tcPr>
          <w:p w14:paraId="48AFB075" w14:textId="77777777" w:rsidR="00316188" w:rsidRPr="0025301A" w:rsidRDefault="00316188">
            <w:pPr>
              <w:jc w:val="right"/>
              <w:rPr>
                <w:color w:val="7B7B7B" w:themeColor="accent3" w:themeShade="BF"/>
                <w:sz w:val="16"/>
                <w:szCs w:val="16"/>
              </w:rPr>
            </w:pPr>
            <w:r w:rsidRPr="0025301A">
              <w:rPr>
                <w:color w:val="7B7B7B" w:themeColor="accent3" w:themeShade="BF"/>
                <w:sz w:val="16"/>
                <w:szCs w:val="16"/>
              </w:rPr>
              <w:t>-2%</w:t>
            </w:r>
          </w:p>
        </w:tc>
        <w:tc>
          <w:tcPr>
            <w:tcW w:w="850" w:type="dxa"/>
            <w:tcBorders>
              <w:top w:val="nil"/>
              <w:left w:val="nil"/>
              <w:bottom w:val="single" w:sz="4" w:space="0" w:color="auto"/>
              <w:right w:val="single" w:sz="4" w:space="0" w:color="auto"/>
            </w:tcBorders>
            <w:noWrap/>
            <w:vAlign w:val="bottom"/>
            <w:hideMark/>
          </w:tcPr>
          <w:p w14:paraId="17115D96" w14:textId="77777777" w:rsidR="00316188" w:rsidRPr="0025301A" w:rsidRDefault="00316188">
            <w:pPr>
              <w:jc w:val="right"/>
              <w:rPr>
                <w:color w:val="7B7B7B" w:themeColor="accent3" w:themeShade="BF"/>
                <w:sz w:val="16"/>
                <w:szCs w:val="16"/>
              </w:rPr>
            </w:pPr>
            <w:r w:rsidRPr="0025301A">
              <w:rPr>
                <w:color w:val="7B7B7B" w:themeColor="accent3" w:themeShade="BF"/>
                <w:sz w:val="16"/>
                <w:szCs w:val="16"/>
              </w:rPr>
              <w:t>-2%</w:t>
            </w:r>
          </w:p>
        </w:tc>
        <w:tc>
          <w:tcPr>
            <w:tcW w:w="957" w:type="dxa"/>
            <w:gridSpan w:val="2"/>
            <w:tcBorders>
              <w:top w:val="nil"/>
              <w:left w:val="nil"/>
              <w:bottom w:val="single" w:sz="4" w:space="0" w:color="auto"/>
              <w:right w:val="single" w:sz="4" w:space="0" w:color="auto"/>
            </w:tcBorders>
            <w:noWrap/>
            <w:vAlign w:val="bottom"/>
            <w:hideMark/>
          </w:tcPr>
          <w:p w14:paraId="103FF83F" w14:textId="77777777" w:rsidR="00316188" w:rsidRPr="0025301A" w:rsidRDefault="00316188">
            <w:pPr>
              <w:jc w:val="right"/>
              <w:rPr>
                <w:color w:val="7B7B7B" w:themeColor="accent3" w:themeShade="BF"/>
                <w:sz w:val="16"/>
                <w:szCs w:val="16"/>
              </w:rPr>
            </w:pPr>
            <w:r w:rsidRPr="0025301A">
              <w:rPr>
                <w:color w:val="7B7B7B" w:themeColor="accent3" w:themeShade="BF"/>
                <w:sz w:val="16"/>
                <w:szCs w:val="16"/>
              </w:rPr>
              <w:t>3%</w:t>
            </w:r>
          </w:p>
        </w:tc>
      </w:tr>
      <w:tr w:rsidR="00316188" w:rsidRPr="00316188" w14:paraId="6AE12BCC" w14:textId="77777777" w:rsidTr="0025301A">
        <w:trPr>
          <w:trHeight w:val="525"/>
        </w:trPr>
        <w:tc>
          <w:tcPr>
            <w:tcW w:w="5382" w:type="dxa"/>
            <w:tcBorders>
              <w:top w:val="nil"/>
              <w:left w:val="single" w:sz="4" w:space="0" w:color="auto"/>
              <w:bottom w:val="single" w:sz="4" w:space="0" w:color="auto"/>
              <w:right w:val="single" w:sz="4" w:space="0" w:color="auto"/>
            </w:tcBorders>
            <w:vAlign w:val="bottom"/>
            <w:hideMark/>
          </w:tcPr>
          <w:p w14:paraId="3F1795BC" w14:textId="77777777" w:rsidR="00316188" w:rsidRPr="0025301A" w:rsidRDefault="00316188">
            <w:pPr>
              <w:rPr>
                <w:color w:val="000000"/>
                <w:sz w:val="18"/>
                <w:szCs w:val="18"/>
              </w:rPr>
            </w:pPr>
            <w:r w:rsidRPr="0025301A">
              <w:rPr>
                <w:color w:val="000000"/>
                <w:sz w:val="18"/>
                <w:szCs w:val="18"/>
              </w:rPr>
              <w:t>Kompensācija par pasažieru ar valsts noteiktiem braukšanas maksas atvieglojumiem pārvadājumiem, milj. EUR</w:t>
            </w:r>
          </w:p>
        </w:tc>
        <w:tc>
          <w:tcPr>
            <w:tcW w:w="850" w:type="dxa"/>
            <w:tcBorders>
              <w:top w:val="nil"/>
              <w:left w:val="nil"/>
              <w:bottom w:val="single" w:sz="4" w:space="0" w:color="auto"/>
              <w:right w:val="single" w:sz="4" w:space="0" w:color="auto"/>
            </w:tcBorders>
            <w:noWrap/>
            <w:vAlign w:val="bottom"/>
            <w:hideMark/>
          </w:tcPr>
          <w:p w14:paraId="2C990FE8" w14:textId="77777777" w:rsidR="00316188" w:rsidRPr="0025301A" w:rsidRDefault="00316188">
            <w:pPr>
              <w:jc w:val="right"/>
              <w:rPr>
                <w:color w:val="000000"/>
                <w:sz w:val="18"/>
                <w:szCs w:val="18"/>
              </w:rPr>
            </w:pPr>
            <w:r w:rsidRPr="0025301A">
              <w:rPr>
                <w:color w:val="000000"/>
                <w:sz w:val="18"/>
                <w:szCs w:val="18"/>
              </w:rPr>
              <w:t>12.33</w:t>
            </w:r>
          </w:p>
        </w:tc>
        <w:tc>
          <w:tcPr>
            <w:tcW w:w="993" w:type="dxa"/>
            <w:tcBorders>
              <w:top w:val="nil"/>
              <w:left w:val="nil"/>
              <w:bottom w:val="single" w:sz="4" w:space="0" w:color="auto"/>
              <w:right w:val="single" w:sz="4" w:space="0" w:color="auto"/>
            </w:tcBorders>
            <w:noWrap/>
            <w:vAlign w:val="bottom"/>
            <w:hideMark/>
          </w:tcPr>
          <w:p w14:paraId="0703F63A" w14:textId="77777777" w:rsidR="00316188" w:rsidRPr="0025301A" w:rsidRDefault="00316188">
            <w:pPr>
              <w:jc w:val="right"/>
              <w:rPr>
                <w:color w:val="000000"/>
                <w:sz w:val="18"/>
                <w:szCs w:val="18"/>
              </w:rPr>
            </w:pPr>
            <w:r w:rsidRPr="0025301A">
              <w:rPr>
                <w:color w:val="000000"/>
                <w:sz w:val="18"/>
                <w:szCs w:val="18"/>
              </w:rPr>
              <w:t>11.29</w:t>
            </w:r>
          </w:p>
        </w:tc>
        <w:tc>
          <w:tcPr>
            <w:tcW w:w="850" w:type="dxa"/>
            <w:tcBorders>
              <w:top w:val="nil"/>
              <w:left w:val="nil"/>
              <w:bottom w:val="single" w:sz="4" w:space="0" w:color="auto"/>
              <w:right w:val="single" w:sz="4" w:space="0" w:color="auto"/>
            </w:tcBorders>
            <w:noWrap/>
            <w:vAlign w:val="bottom"/>
            <w:hideMark/>
          </w:tcPr>
          <w:p w14:paraId="3E09B25D" w14:textId="77777777" w:rsidR="00316188" w:rsidRPr="0025301A" w:rsidRDefault="00316188">
            <w:pPr>
              <w:jc w:val="right"/>
              <w:rPr>
                <w:color w:val="000000"/>
                <w:sz w:val="18"/>
                <w:szCs w:val="18"/>
              </w:rPr>
            </w:pPr>
            <w:r w:rsidRPr="0025301A">
              <w:rPr>
                <w:color w:val="000000"/>
                <w:sz w:val="18"/>
                <w:szCs w:val="18"/>
              </w:rPr>
              <w:t>11.04</w:t>
            </w:r>
          </w:p>
        </w:tc>
        <w:tc>
          <w:tcPr>
            <w:tcW w:w="957" w:type="dxa"/>
            <w:gridSpan w:val="2"/>
            <w:tcBorders>
              <w:top w:val="nil"/>
              <w:left w:val="nil"/>
              <w:bottom w:val="single" w:sz="4" w:space="0" w:color="auto"/>
              <w:right w:val="single" w:sz="4" w:space="0" w:color="auto"/>
            </w:tcBorders>
            <w:noWrap/>
            <w:vAlign w:val="bottom"/>
            <w:hideMark/>
          </w:tcPr>
          <w:p w14:paraId="150C6278" w14:textId="77777777" w:rsidR="00316188" w:rsidRPr="0025301A" w:rsidRDefault="00316188">
            <w:pPr>
              <w:jc w:val="right"/>
              <w:rPr>
                <w:color w:val="000000"/>
                <w:sz w:val="18"/>
                <w:szCs w:val="18"/>
              </w:rPr>
            </w:pPr>
            <w:r w:rsidRPr="0025301A">
              <w:rPr>
                <w:color w:val="000000"/>
                <w:sz w:val="18"/>
                <w:szCs w:val="18"/>
              </w:rPr>
              <w:t>11.4</w:t>
            </w:r>
          </w:p>
        </w:tc>
      </w:tr>
      <w:tr w:rsidR="00316188" w:rsidRPr="00316188" w14:paraId="1C47B765" w14:textId="77777777" w:rsidTr="00316188">
        <w:trPr>
          <w:trHeight w:val="283"/>
        </w:trPr>
        <w:tc>
          <w:tcPr>
            <w:tcW w:w="5382" w:type="dxa"/>
            <w:tcBorders>
              <w:top w:val="nil"/>
              <w:left w:val="single" w:sz="4" w:space="0" w:color="auto"/>
              <w:bottom w:val="single" w:sz="4" w:space="0" w:color="auto"/>
              <w:right w:val="single" w:sz="4" w:space="0" w:color="auto"/>
            </w:tcBorders>
            <w:noWrap/>
            <w:vAlign w:val="bottom"/>
            <w:hideMark/>
          </w:tcPr>
          <w:p w14:paraId="4D5BBC89" w14:textId="77777777" w:rsidR="00316188" w:rsidRPr="0025301A" w:rsidRDefault="00316188">
            <w:pPr>
              <w:rPr>
                <w:i/>
                <w:iCs/>
                <w:color w:val="7B7B7B" w:themeColor="accent3" w:themeShade="BF"/>
                <w:sz w:val="16"/>
                <w:szCs w:val="16"/>
              </w:rPr>
            </w:pPr>
            <w:r w:rsidRPr="0025301A">
              <w:rPr>
                <w:i/>
                <w:iCs/>
                <w:color w:val="7B7B7B" w:themeColor="accent3" w:themeShade="BF"/>
                <w:sz w:val="16"/>
                <w:szCs w:val="16"/>
              </w:rPr>
              <w:t>izmaiņas pret iepriekšējo periodu, %</w:t>
            </w:r>
          </w:p>
        </w:tc>
        <w:tc>
          <w:tcPr>
            <w:tcW w:w="850" w:type="dxa"/>
            <w:tcBorders>
              <w:top w:val="nil"/>
              <w:left w:val="nil"/>
              <w:bottom w:val="single" w:sz="4" w:space="0" w:color="auto"/>
              <w:right w:val="single" w:sz="4" w:space="0" w:color="auto"/>
            </w:tcBorders>
            <w:noWrap/>
            <w:vAlign w:val="bottom"/>
            <w:hideMark/>
          </w:tcPr>
          <w:p w14:paraId="28236CD3" w14:textId="77777777" w:rsidR="00316188" w:rsidRPr="0025301A" w:rsidRDefault="00316188">
            <w:pPr>
              <w:jc w:val="right"/>
              <w:rPr>
                <w:color w:val="7B7B7B" w:themeColor="accent3" w:themeShade="BF"/>
                <w:sz w:val="16"/>
                <w:szCs w:val="16"/>
              </w:rPr>
            </w:pPr>
            <w:r w:rsidRPr="0025301A">
              <w:rPr>
                <w:color w:val="7B7B7B" w:themeColor="accent3" w:themeShade="BF"/>
                <w:sz w:val="16"/>
                <w:szCs w:val="16"/>
              </w:rPr>
              <w:t>62%</w:t>
            </w:r>
          </w:p>
        </w:tc>
        <w:tc>
          <w:tcPr>
            <w:tcW w:w="993" w:type="dxa"/>
            <w:tcBorders>
              <w:top w:val="nil"/>
              <w:left w:val="nil"/>
              <w:bottom w:val="single" w:sz="4" w:space="0" w:color="auto"/>
              <w:right w:val="single" w:sz="4" w:space="0" w:color="auto"/>
            </w:tcBorders>
            <w:noWrap/>
            <w:vAlign w:val="bottom"/>
            <w:hideMark/>
          </w:tcPr>
          <w:p w14:paraId="7212A68D" w14:textId="77777777" w:rsidR="00316188" w:rsidRPr="0025301A" w:rsidRDefault="00316188">
            <w:pPr>
              <w:jc w:val="right"/>
              <w:rPr>
                <w:color w:val="7B7B7B" w:themeColor="accent3" w:themeShade="BF"/>
                <w:sz w:val="16"/>
                <w:szCs w:val="16"/>
              </w:rPr>
            </w:pPr>
            <w:r w:rsidRPr="0025301A">
              <w:rPr>
                <w:color w:val="7B7B7B" w:themeColor="accent3" w:themeShade="BF"/>
                <w:sz w:val="16"/>
                <w:szCs w:val="16"/>
              </w:rPr>
              <w:t>-8%</w:t>
            </w:r>
          </w:p>
        </w:tc>
        <w:tc>
          <w:tcPr>
            <w:tcW w:w="850" w:type="dxa"/>
            <w:tcBorders>
              <w:top w:val="nil"/>
              <w:left w:val="nil"/>
              <w:bottom w:val="single" w:sz="4" w:space="0" w:color="auto"/>
              <w:right w:val="single" w:sz="4" w:space="0" w:color="auto"/>
            </w:tcBorders>
            <w:noWrap/>
            <w:vAlign w:val="bottom"/>
            <w:hideMark/>
          </w:tcPr>
          <w:p w14:paraId="508C6F80" w14:textId="77777777" w:rsidR="00316188" w:rsidRPr="0025301A" w:rsidRDefault="00316188">
            <w:pPr>
              <w:jc w:val="right"/>
              <w:rPr>
                <w:color w:val="7B7B7B" w:themeColor="accent3" w:themeShade="BF"/>
                <w:sz w:val="16"/>
                <w:szCs w:val="16"/>
              </w:rPr>
            </w:pPr>
            <w:r w:rsidRPr="0025301A">
              <w:rPr>
                <w:color w:val="7B7B7B" w:themeColor="accent3" w:themeShade="BF"/>
                <w:sz w:val="16"/>
                <w:szCs w:val="16"/>
              </w:rPr>
              <w:t>-2%</w:t>
            </w:r>
          </w:p>
        </w:tc>
        <w:tc>
          <w:tcPr>
            <w:tcW w:w="957" w:type="dxa"/>
            <w:gridSpan w:val="2"/>
            <w:tcBorders>
              <w:top w:val="nil"/>
              <w:left w:val="nil"/>
              <w:bottom w:val="single" w:sz="4" w:space="0" w:color="auto"/>
              <w:right w:val="single" w:sz="4" w:space="0" w:color="auto"/>
            </w:tcBorders>
            <w:noWrap/>
            <w:vAlign w:val="bottom"/>
            <w:hideMark/>
          </w:tcPr>
          <w:p w14:paraId="369E5A24" w14:textId="77777777" w:rsidR="00316188" w:rsidRPr="0025301A" w:rsidRDefault="00316188">
            <w:pPr>
              <w:jc w:val="right"/>
              <w:rPr>
                <w:color w:val="7B7B7B" w:themeColor="accent3" w:themeShade="BF"/>
                <w:sz w:val="16"/>
                <w:szCs w:val="16"/>
              </w:rPr>
            </w:pPr>
            <w:r w:rsidRPr="0025301A">
              <w:rPr>
                <w:color w:val="7B7B7B" w:themeColor="accent3" w:themeShade="BF"/>
                <w:sz w:val="16"/>
                <w:szCs w:val="16"/>
              </w:rPr>
              <w:t>3%</w:t>
            </w:r>
          </w:p>
        </w:tc>
      </w:tr>
      <w:tr w:rsidR="00316188" w:rsidRPr="00316188" w14:paraId="12B03C2C" w14:textId="77777777" w:rsidTr="0025301A">
        <w:trPr>
          <w:trHeight w:val="283"/>
        </w:trPr>
        <w:tc>
          <w:tcPr>
            <w:tcW w:w="5382" w:type="dxa"/>
            <w:tcBorders>
              <w:top w:val="nil"/>
              <w:left w:val="single" w:sz="4" w:space="0" w:color="auto"/>
              <w:bottom w:val="single" w:sz="4" w:space="0" w:color="auto"/>
              <w:right w:val="single" w:sz="4" w:space="0" w:color="auto"/>
            </w:tcBorders>
            <w:vAlign w:val="bottom"/>
            <w:hideMark/>
          </w:tcPr>
          <w:p w14:paraId="161BE0EF" w14:textId="77777777" w:rsidR="00316188" w:rsidRPr="0025301A" w:rsidRDefault="00316188">
            <w:pPr>
              <w:rPr>
                <w:color w:val="000000"/>
                <w:sz w:val="18"/>
                <w:szCs w:val="18"/>
              </w:rPr>
            </w:pPr>
            <w:r w:rsidRPr="0025301A">
              <w:rPr>
                <w:color w:val="000000"/>
                <w:sz w:val="18"/>
                <w:szCs w:val="18"/>
              </w:rPr>
              <w:t>Izmaksātais finansējums par konkrētā gada zaudējumiem*, milj. EUR</w:t>
            </w:r>
          </w:p>
        </w:tc>
        <w:tc>
          <w:tcPr>
            <w:tcW w:w="850" w:type="dxa"/>
            <w:tcBorders>
              <w:top w:val="nil"/>
              <w:left w:val="nil"/>
              <w:bottom w:val="single" w:sz="4" w:space="0" w:color="auto"/>
              <w:right w:val="single" w:sz="4" w:space="0" w:color="auto"/>
            </w:tcBorders>
            <w:noWrap/>
            <w:vAlign w:val="bottom"/>
            <w:hideMark/>
          </w:tcPr>
          <w:p w14:paraId="42B24BB1" w14:textId="77777777" w:rsidR="00316188" w:rsidRPr="0025301A" w:rsidRDefault="00316188">
            <w:pPr>
              <w:jc w:val="right"/>
              <w:rPr>
                <w:color w:val="000000"/>
                <w:sz w:val="18"/>
                <w:szCs w:val="18"/>
              </w:rPr>
            </w:pPr>
            <w:r w:rsidRPr="0025301A">
              <w:rPr>
                <w:color w:val="000000"/>
                <w:sz w:val="18"/>
                <w:szCs w:val="18"/>
              </w:rPr>
              <w:t>11.62</w:t>
            </w:r>
          </w:p>
        </w:tc>
        <w:tc>
          <w:tcPr>
            <w:tcW w:w="993" w:type="dxa"/>
            <w:tcBorders>
              <w:top w:val="nil"/>
              <w:left w:val="nil"/>
              <w:bottom w:val="single" w:sz="4" w:space="0" w:color="auto"/>
              <w:right w:val="single" w:sz="4" w:space="0" w:color="auto"/>
            </w:tcBorders>
            <w:noWrap/>
            <w:vAlign w:val="bottom"/>
            <w:hideMark/>
          </w:tcPr>
          <w:p w14:paraId="4D0EA3EF" w14:textId="77777777" w:rsidR="00316188" w:rsidRPr="0025301A" w:rsidRDefault="00316188">
            <w:pPr>
              <w:jc w:val="right"/>
              <w:rPr>
                <w:color w:val="000000"/>
                <w:sz w:val="18"/>
                <w:szCs w:val="18"/>
              </w:rPr>
            </w:pPr>
            <w:r w:rsidRPr="0025301A">
              <w:rPr>
                <w:color w:val="000000"/>
                <w:sz w:val="18"/>
                <w:szCs w:val="18"/>
              </w:rPr>
              <w:t>11.29</w:t>
            </w:r>
          </w:p>
        </w:tc>
        <w:tc>
          <w:tcPr>
            <w:tcW w:w="850" w:type="dxa"/>
            <w:tcBorders>
              <w:top w:val="nil"/>
              <w:left w:val="nil"/>
              <w:bottom w:val="single" w:sz="4" w:space="0" w:color="auto"/>
              <w:right w:val="single" w:sz="4" w:space="0" w:color="auto"/>
            </w:tcBorders>
            <w:noWrap/>
            <w:vAlign w:val="bottom"/>
            <w:hideMark/>
          </w:tcPr>
          <w:p w14:paraId="45B3F179" w14:textId="77777777" w:rsidR="00316188" w:rsidRPr="0025301A" w:rsidRDefault="00316188">
            <w:pPr>
              <w:jc w:val="right"/>
              <w:rPr>
                <w:color w:val="000000"/>
                <w:sz w:val="18"/>
                <w:szCs w:val="18"/>
              </w:rPr>
            </w:pPr>
            <w:r w:rsidRPr="0025301A">
              <w:rPr>
                <w:color w:val="000000"/>
                <w:sz w:val="18"/>
                <w:szCs w:val="18"/>
              </w:rPr>
              <w:t>11.12</w:t>
            </w:r>
          </w:p>
        </w:tc>
        <w:tc>
          <w:tcPr>
            <w:tcW w:w="957" w:type="dxa"/>
            <w:gridSpan w:val="2"/>
            <w:tcBorders>
              <w:top w:val="nil"/>
              <w:left w:val="nil"/>
              <w:bottom w:val="single" w:sz="4" w:space="0" w:color="auto"/>
              <w:right w:val="single" w:sz="4" w:space="0" w:color="auto"/>
            </w:tcBorders>
            <w:noWrap/>
            <w:vAlign w:val="bottom"/>
            <w:hideMark/>
          </w:tcPr>
          <w:p w14:paraId="23438D25" w14:textId="77777777" w:rsidR="00316188" w:rsidRPr="0025301A" w:rsidRDefault="00316188">
            <w:pPr>
              <w:jc w:val="right"/>
              <w:rPr>
                <w:color w:val="000000"/>
                <w:sz w:val="18"/>
                <w:szCs w:val="18"/>
              </w:rPr>
            </w:pPr>
            <w:r w:rsidRPr="0025301A">
              <w:rPr>
                <w:color w:val="000000"/>
                <w:sz w:val="18"/>
                <w:szCs w:val="18"/>
              </w:rPr>
              <w:t>11.9</w:t>
            </w:r>
          </w:p>
        </w:tc>
      </w:tr>
      <w:tr w:rsidR="00316188" w:rsidRPr="00316188" w14:paraId="36D25D18" w14:textId="77777777" w:rsidTr="00316188">
        <w:trPr>
          <w:trHeight w:val="283"/>
        </w:trPr>
        <w:tc>
          <w:tcPr>
            <w:tcW w:w="5382" w:type="dxa"/>
            <w:tcBorders>
              <w:top w:val="nil"/>
              <w:left w:val="single" w:sz="4" w:space="0" w:color="auto"/>
              <w:bottom w:val="single" w:sz="4" w:space="0" w:color="auto"/>
              <w:right w:val="single" w:sz="4" w:space="0" w:color="auto"/>
            </w:tcBorders>
            <w:noWrap/>
            <w:vAlign w:val="bottom"/>
            <w:hideMark/>
          </w:tcPr>
          <w:p w14:paraId="6A018EB4" w14:textId="77777777" w:rsidR="00316188" w:rsidRPr="0025301A" w:rsidRDefault="00316188">
            <w:pPr>
              <w:rPr>
                <w:i/>
                <w:iCs/>
                <w:color w:val="7B7B7B" w:themeColor="accent3" w:themeShade="BF"/>
                <w:sz w:val="16"/>
                <w:szCs w:val="16"/>
              </w:rPr>
            </w:pPr>
            <w:r w:rsidRPr="0025301A">
              <w:rPr>
                <w:i/>
                <w:iCs/>
                <w:color w:val="7B7B7B" w:themeColor="accent3" w:themeShade="BF"/>
                <w:sz w:val="16"/>
                <w:szCs w:val="16"/>
              </w:rPr>
              <w:t>izmaiņas pret iepriekšējo periodu, %</w:t>
            </w:r>
          </w:p>
        </w:tc>
        <w:tc>
          <w:tcPr>
            <w:tcW w:w="850" w:type="dxa"/>
            <w:tcBorders>
              <w:top w:val="nil"/>
              <w:left w:val="nil"/>
              <w:bottom w:val="single" w:sz="4" w:space="0" w:color="auto"/>
              <w:right w:val="single" w:sz="4" w:space="0" w:color="auto"/>
            </w:tcBorders>
            <w:noWrap/>
            <w:vAlign w:val="bottom"/>
            <w:hideMark/>
          </w:tcPr>
          <w:p w14:paraId="3674BC85" w14:textId="77777777" w:rsidR="00316188" w:rsidRPr="0025301A" w:rsidRDefault="00316188">
            <w:pPr>
              <w:jc w:val="right"/>
              <w:rPr>
                <w:color w:val="7B7B7B" w:themeColor="accent3" w:themeShade="BF"/>
                <w:sz w:val="16"/>
                <w:szCs w:val="16"/>
              </w:rPr>
            </w:pPr>
            <w:r w:rsidRPr="0025301A">
              <w:rPr>
                <w:color w:val="7B7B7B" w:themeColor="accent3" w:themeShade="BF"/>
                <w:sz w:val="16"/>
                <w:szCs w:val="16"/>
              </w:rPr>
              <w:t>57%</w:t>
            </w:r>
          </w:p>
        </w:tc>
        <w:tc>
          <w:tcPr>
            <w:tcW w:w="993" w:type="dxa"/>
            <w:tcBorders>
              <w:top w:val="nil"/>
              <w:left w:val="nil"/>
              <w:bottom w:val="single" w:sz="4" w:space="0" w:color="auto"/>
              <w:right w:val="single" w:sz="4" w:space="0" w:color="auto"/>
            </w:tcBorders>
            <w:noWrap/>
            <w:vAlign w:val="bottom"/>
            <w:hideMark/>
          </w:tcPr>
          <w:p w14:paraId="3770FC54" w14:textId="77777777" w:rsidR="00316188" w:rsidRPr="0025301A" w:rsidRDefault="00316188">
            <w:pPr>
              <w:jc w:val="right"/>
              <w:rPr>
                <w:color w:val="7B7B7B" w:themeColor="accent3" w:themeShade="BF"/>
                <w:sz w:val="16"/>
                <w:szCs w:val="16"/>
              </w:rPr>
            </w:pPr>
            <w:r w:rsidRPr="0025301A">
              <w:rPr>
                <w:color w:val="7B7B7B" w:themeColor="accent3" w:themeShade="BF"/>
                <w:sz w:val="16"/>
                <w:szCs w:val="16"/>
              </w:rPr>
              <w:t>-3%</w:t>
            </w:r>
          </w:p>
        </w:tc>
        <w:tc>
          <w:tcPr>
            <w:tcW w:w="850" w:type="dxa"/>
            <w:tcBorders>
              <w:top w:val="nil"/>
              <w:left w:val="nil"/>
              <w:bottom w:val="single" w:sz="4" w:space="0" w:color="auto"/>
              <w:right w:val="single" w:sz="4" w:space="0" w:color="auto"/>
            </w:tcBorders>
            <w:noWrap/>
            <w:vAlign w:val="bottom"/>
            <w:hideMark/>
          </w:tcPr>
          <w:p w14:paraId="048CFD55" w14:textId="77777777" w:rsidR="00316188" w:rsidRPr="0025301A" w:rsidRDefault="00316188">
            <w:pPr>
              <w:jc w:val="right"/>
              <w:rPr>
                <w:color w:val="7B7B7B" w:themeColor="accent3" w:themeShade="BF"/>
                <w:sz w:val="16"/>
                <w:szCs w:val="16"/>
              </w:rPr>
            </w:pPr>
            <w:r w:rsidRPr="0025301A">
              <w:rPr>
                <w:color w:val="7B7B7B" w:themeColor="accent3" w:themeShade="BF"/>
                <w:sz w:val="16"/>
                <w:szCs w:val="16"/>
              </w:rPr>
              <w:t>-2%</w:t>
            </w:r>
          </w:p>
        </w:tc>
        <w:tc>
          <w:tcPr>
            <w:tcW w:w="957" w:type="dxa"/>
            <w:gridSpan w:val="2"/>
            <w:tcBorders>
              <w:top w:val="nil"/>
              <w:left w:val="nil"/>
              <w:bottom w:val="single" w:sz="4" w:space="0" w:color="auto"/>
              <w:right w:val="single" w:sz="4" w:space="0" w:color="auto"/>
            </w:tcBorders>
            <w:noWrap/>
            <w:vAlign w:val="bottom"/>
            <w:hideMark/>
          </w:tcPr>
          <w:p w14:paraId="2FDF5F0D" w14:textId="77777777" w:rsidR="00316188" w:rsidRPr="0025301A" w:rsidRDefault="00316188">
            <w:pPr>
              <w:jc w:val="right"/>
              <w:rPr>
                <w:color w:val="7B7B7B" w:themeColor="accent3" w:themeShade="BF"/>
                <w:sz w:val="16"/>
                <w:szCs w:val="16"/>
              </w:rPr>
            </w:pPr>
            <w:r w:rsidRPr="0025301A">
              <w:rPr>
                <w:color w:val="7B7B7B" w:themeColor="accent3" w:themeShade="BF"/>
                <w:sz w:val="16"/>
                <w:szCs w:val="16"/>
              </w:rPr>
              <w:t>7%</w:t>
            </w:r>
          </w:p>
        </w:tc>
      </w:tr>
      <w:tr w:rsidR="00316188" w:rsidRPr="00316188" w14:paraId="6B3FCF08" w14:textId="77777777" w:rsidTr="0025301A">
        <w:trPr>
          <w:gridAfter w:val="1"/>
          <w:wAfter w:w="370" w:type="dxa"/>
          <w:trHeight w:val="300"/>
        </w:trPr>
        <w:tc>
          <w:tcPr>
            <w:tcW w:w="8662" w:type="dxa"/>
            <w:gridSpan w:val="5"/>
            <w:tcBorders>
              <w:top w:val="nil"/>
              <w:left w:val="nil"/>
              <w:bottom w:val="nil"/>
              <w:right w:val="nil"/>
            </w:tcBorders>
            <w:noWrap/>
            <w:vAlign w:val="bottom"/>
            <w:hideMark/>
          </w:tcPr>
          <w:p w14:paraId="3C7A1095" w14:textId="77777777" w:rsidR="00316188" w:rsidRPr="0025301A" w:rsidRDefault="00316188" w:rsidP="00316188">
            <w:pPr>
              <w:rPr>
                <w:color w:val="000000"/>
                <w:sz w:val="18"/>
                <w:szCs w:val="18"/>
              </w:rPr>
            </w:pPr>
            <w:r w:rsidRPr="0025301A">
              <w:rPr>
                <w:color w:val="000000"/>
                <w:sz w:val="18"/>
                <w:szCs w:val="18"/>
              </w:rPr>
              <w:t>* tai skaitā apropriācijas pārdalē piešķirtais papildu finansējums un finansējums no Līdzekļiem neparedzētiem gadījumiem</w:t>
            </w:r>
          </w:p>
          <w:p w14:paraId="2801E1CA" w14:textId="77777777" w:rsidR="00316188" w:rsidRPr="0025301A" w:rsidRDefault="00316188">
            <w:pPr>
              <w:rPr>
                <w:color w:val="000000"/>
                <w:sz w:val="18"/>
                <w:szCs w:val="18"/>
              </w:rPr>
            </w:pPr>
          </w:p>
        </w:tc>
      </w:tr>
    </w:tbl>
    <w:p w14:paraId="12ECDE83" w14:textId="77777777" w:rsidR="00316188" w:rsidRPr="00F77FDA" w:rsidRDefault="00316188" w:rsidP="00AE570C">
      <w:pPr>
        <w:pStyle w:val="BodyText"/>
        <w:tabs>
          <w:tab w:val="left" w:pos="7655"/>
        </w:tabs>
        <w:ind w:firstLine="709"/>
        <w:jc w:val="both"/>
        <w:rPr>
          <w:b/>
          <w:bCs/>
        </w:rPr>
      </w:pPr>
    </w:p>
    <w:p w14:paraId="0A0B1FEB" w14:textId="493B8146" w:rsidR="00AE570C" w:rsidRDefault="00AE570C" w:rsidP="00AE570C">
      <w:pPr>
        <w:pStyle w:val="ListParagraph"/>
        <w:ind w:left="0" w:firstLine="709"/>
        <w:jc w:val="both"/>
      </w:pPr>
      <w:r w:rsidRPr="00FF3166">
        <w:t>Kā secināms no 2024</w:t>
      </w:r>
      <w:r>
        <w:t>. un 2025.</w:t>
      </w:r>
      <w:r w:rsidRPr="00FF3166">
        <w:t>gada datiem</w:t>
      </w:r>
      <w:r>
        <w:t xml:space="preserve">, tad pārvadāto personu ar valsts noteiktiem braukšanas maksas atvieglojumiem skaits drīzāk samazinās nekā pieaug, jo vēl 2019. gadā pārvadāto personu ar invaliditāti skaits bija 10,5 milj. Tomēr izšķiroša minētajā valsts budžeta kompensācijā ir braukšanas maksa, ko nosaka valstspilsētas pašvaldība savā administratīvajā teritorijā, un attiecīgi tās apmērs nav ietekmējams no finansētāja (valsts budžeta) puses. Tādējādi nepieciešamais finansējums minētajam atbalstam nav prognozējams ilgtermiņā, jo valstspilsētu pašvaldības ir autonomas valstspilsētas pārvadājumu organizēšanā un brauciena maksas noteikšanā, kas atbilst katras pašvaldības pārvadājumu un investīciju apjomiem. </w:t>
      </w:r>
    </w:p>
    <w:p w14:paraId="6D5AB9C8" w14:textId="5FA16AFE" w:rsidR="00316188" w:rsidRDefault="00316188" w:rsidP="00AE570C">
      <w:pPr>
        <w:pStyle w:val="ListParagraph"/>
        <w:ind w:left="0" w:firstLine="709"/>
        <w:jc w:val="both"/>
      </w:pPr>
      <w:r>
        <w:t>Vienlaikus, ja paredzētais valsts budžeta finansējums netiek pilnībā izlietots valstspilsētu pašvaldību z</w:t>
      </w:r>
      <w:r w:rsidR="006C2BE4">
        <w:t>a</w:t>
      </w:r>
      <w:r>
        <w:t xml:space="preserve">udējumu kompensēšanai, tad </w:t>
      </w:r>
      <w:r w:rsidR="00B77271">
        <w:t xml:space="preserve">kārtējā gada ietvarā </w:t>
      </w:r>
      <w:r>
        <w:t>tas tiek novirzīts reģionālās nozīmes pārvadājumu nesegto zaudējumu segšanai.</w:t>
      </w:r>
    </w:p>
    <w:p w14:paraId="4E047024" w14:textId="77777777" w:rsidR="00AE6710" w:rsidRPr="00AE6710" w:rsidRDefault="00AE6710" w:rsidP="00AE6710">
      <w:pPr>
        <w:ind w:firstLine="709"/>
        <w:jc w:val="both"/>
        <w:rPr>
          <w:rFonts w:eastAsiaTheme="minorHAnsi"/>
          <w:lang w:eastAsia="en-US"/>
        </w:rPr>
      </w:pPr>
    </w:p>
    <w:p w14:paraId="1B4EF870" w14:textId="2AD3B717" w:rsidR="00AE6710" w:rsidRDefault="00E179B4" w:rsidP="00AE6710">
      <w:pPr>
        <w:ind w:firstLine="709"/>
        <w:jc w:val="both"/>
        <w:rPr>
          <w:rFonts w:eastAsiaTheme="minorHAnsi"/>
          <w:lang w:eastAsia="en-US"/>
        </w:rPr>
      </w:pPr>
      <w:r w:rsidRPr="006A3423">
        <w:rPr>
          <w:rFonts w:eastAsiaTheme="minorHAnsi"/>
          <w:lang w:eastAsia="en-US"/>
        </w:rPr>
        <w:t>O</w:t>
      </w:r>
      <w:r w:rsidR="00AE6710" w:rsidRPr="006A3423">
        <w:rPr>
          <w:rFonts w:eastAsiaTheme="minorHAnsi"/>
          <w:lang w:eastAsia="en-US"/>
        </w:rPr>
        <w:t>rganizējot sabiedriskā transporta pakalpojumus atklāta konkursa procedūras ietvaros</w:t>
      </w:r>
      <w:r w:rsidRPr="006A3423">
        <w:rPr>
          <w:rFonts w:eastAsiaTheme="minorHAnsi"/>
          <w:lang w:eastAsia="en-US"/>
        </w:rPr>
        <w:t>,</w:t>
      </w:r>
      <w:r w:rsidR="00AE6710" w:rsidRPr="006A3423">
        <w:rPr>
          <w:rFonts w:eastAsiaTheme="minorHAnsi"/>
          <w:lang w:eastAsia="en-US"/>
        </w:rPr>
        <w:t xml:space="preserve"> tiek izvēlēti sabiedriskā transporta pakalpojuma sniedzēji izvērtējot saimnieciski izdevīgākā piedāvājuma nosacījumus. Vienlaikus, lai novērstu situāciju, ka sabiedriskā transporta pakalpojumos varētu iestāties pārtraukums, pasūtītājam nav iespējams konkursa rezultātā neizvēlēties pakalpojumu sniedzēju ar tā piedāvāto pakalpojuma cenu par </w:t>
      </w:r>
      <w:r w:rsidR="00F40963" w:rsidRPr="006A3423">
        <w:rPr>
          <w:rFonts w:eastAsiaTheme="minorHAnsi"/>
          <w:lang w:eastAsia="en-US"/>
        </w:rPr>
        <w:t>vienu</w:t>
      </w:r>
      <w:r w:rsidR="00AE6710" w:rsidRPr="006A3423">
        <w:rPr>
          <w:rFonts w:eastAsiaTheme="minorHAnsi"/>
          <w:lang w:eastAsia="en-US"/>
        </w:rPr>
        <w:t xml:space="preserve"> kilometru. No tā izriet, ka pasūtītāj</w:t>
      </w:r>
      <w:r w:rsidR="00F40963" w:rsidRPr="006A3423">
        <w:rPr>
          <w:rFonts w:eastAsiaTheme="minorHAnsi"/>
          <w:lang w:eastAsia="en-US"/>
        </w:rPr>
        <w:t>am</w:t>
      </w:r>
      <w:r w:rsidR="00AE6710" w:rsidRPr="006A3423">
        <w:rPr>
          <w:rFonts w:eastAsiaTheme="minorHAnsi"/>
          <w:lang w:eastAsia="en-US"/>
        </w:rPr>
        <w:t>, lai nodrošinātu pakalpojumu nepārtrauktību</w:t>
      </w:r>
      <w:r w:rsidR="00C24752" w:rsidRPr="006A3423">
        <w:rPr>
          <w:rFonts w:eastAsiaTheme="minorHAnsi"/>
          <w:lang w:eastAsia="en-US"/>
        </w:rPr>
        <w:t>,</w:t>
      </w:r>
      <w:r w:rsidR="00AE6710" w:rsidRPr="006A3423">
        <w:rPr>
          <w:rFonts w:eastAsiaTheme="minorHAnsi"/>
          <w:lang w:eastAsia="en-US"/>
        </w:rPr>
        <w:t xml:space="preserve"> ir </w:t>
      </w:r>
      <w:r w:rsidR="00F40963" w:rsidRPr="006A3423">
        <w:rPr>
          <w:rFonts w:eastAsiaTheme="minorHAnsi"/>
          <w:lang w:eastAsia="en-US"/>
        </w:rPr>
        <w:t>jā</w:t>
      </w:r>
      <w:r w:rsidR="00AE6710" w:rsidRPr="006A3423">
        <w:rPr>
          <w:rFonts w:eastAsiaTheme="minorHAnsi"/>
          <w:lang w:eastAsia="en-US"/>
        </w:rPr>
        <w:t>izvēl</w:t>
      </w:r>
      <w:r w:rsidR="00F40963" w:rsidRPr="006A3423">
        <w:rPr>
          <w:rFonts w:eastAsiaTheme="minorHAnsi"/>
          <w:lang w:eastAsia="en-US"/>
        </w:rPr>
        <w:t>a</w:t>
      </w:r>
      <w:r w:rsidR="00AE6710" w:rsidRPr="006A3423">
        <w:rPr>
          <w:rFonts w:eastAsiaTheme="minorHAnsi"/>
          <w:lang w:eastAsia="en-US"/>
        </w:rPr>
        <w:t xml:space="preserve">s pakalpojumu sniedzēju, ar attiecīgo līgumcenu. Savukārt </w:t>
      </w:r>
      <w:r w:rsidR="00AE6710" w:rsidRPr="0025301A">
        <w:rPr>
          <w:rFonts w:eastAsiaTheme="minorHAnsi"/>
          <w:b/>
          <w:bCs/>
          <w:lang w:eastAsia="en-US"/>
        </w:rPr>
        <w:t>nepietiekama bāzes budžeta apstākļos</w:t>
      </w:r>
      <w:r w:rsidR="00AE6710" w:rsidRPr="006A3423">
        <w:rPr>
          <w:rFonts w:eastAsiaTheme="minorHAnsi"/>
          <w:lang w:eastAsia="en-US"/>
        </w:rPr>
        <w:t xml:space="preserve"> par nosolīto cenu ir iespējams pasūtīt tikai tādu pakalpojumu apjomu (nobraukums km), kas atbilst nosolītajai līgumcenai, katrā no maršrutu tīkla daļām (</w:t>
      </w:r>
      <w:proofErr w:type="spellStart"/>
      <w:r w:rsidR="00AE6710" w:rsidRPr="006A3423">
        <w:rPr>
          <w:rFonts w:eastAsiaTheme="minorHAnsi"/>
          <w:lang w:eastAsia="en-US"/>
        </w:rPr>
        <w:t>lotēm</w:t>
      </w:r>
      <w:proofErr w:type="spellEnd"/>
      <w:r w:rsidR="00AE6710" w:rsidRPr="006A3423">
        <w:rPr>
          <w:rFonts w:eastAsiaTheme="minorHAnsi"/>
          <w:lang w:eastAsia="en-US"/>
        </w:rPr>
        <w:t>), nepārsniedzot bāzes budžetu. Vienlaikus pasažieriem noteiktā braukšanas maksa (tarifs) ir noteikts atbilstoši iedzīvotāju pirktspējai un tas nesedz gan atklāta konkursa ietvaros iegūto piedāvāto pakalpojumu cenu, gan pieaugošās izmaksas, kas rodas esošos ekonomiskos apstākļos.</w:t>
      </w:r>
      <w:r w:rsidR="00AE6710" w:rsidRPr="00AE6710">
        <w:rPr>
          <w:rFonts w:eastAsiaTheme="minorHAnsi"/>
          <w:lang w:eastAsia="en-US"/>
        </w:rPr>
        <w:t xml:space="preserve"> </w:t>
      </w:r>
    </w:p>
    <w:p w14:paraId="1A752A81" w14:textId="1B292F29" w:rsidR="00AE6710" w:rsidRDefault="00794C85" w:rsidP="00AE6710">
      <w:pPr>
        <w:ind w:firstLine="709"/>
        <w:jc w:val="both"/>
        <w:rPr>
          <w:color w:val="000000" w:themeColor="text1"/>
        </w:rPr>
      </w:pPr>
      <w:r>
        <w:rPr>
          <w:rFonts w:eastAsiaTheme="minorHAnsi"/>
          <w:lang w:eastAsia="en-US"/>
        </w:rPr>
        <w:t>Izmaksu pieaugums, kas it sevišķi vilcienu pārvadājumos, tieši ietekmē kompensācijas apjomu, ņemot vērā arī vilci</w:t>
      </w:r>
      <w:r w:rsidR="00203E2C">
        <w:rPr>
          <w:rFonts w:eastAsiaTheme="minorHAnsi"/>
          <w:lang w:eastAsia="en-US"/>
        </w:rPr>
        <w:t>e</w:t>
      </w:r>
      <w:r>
        <w:rPr>
          <w:rFonts w:eastAsiaTheme="minorHAnsi"/>
          <w:lang w:eastAsia="en-US"/>
        </w:rPr>
        <w:t>nu pārvadājuma apjom</w:t>
      </w:r>
      <w:r w:rsidR="0054725B">
        <w:rPr>
          <w:rFonts w:eastAsiaTheme="minorHAnsi"/>
          <w:lang w:eastAsia="en-US"/>
        </w:rPr>
        <w:t>a</w:t>
      </w:r>
      <w:r>
        <w:rPr>
          <w:rFonts w:eastAsiaTheme="minorHAnsi"/>
          <w:lang w:eastAsia="en-US"/>
        </w:rPr>
        <w:t xml:space="preserve"> būtisko pieaugumu, pārsniedz</w:t>
      </w:r>
      <w:r w:rsidR="00D6316B">
        <w:rPr>
          <w:rFonts w:eastAsiaTheme="minorHAnsi"/>
          <w:lang w:eastAsia="en-US"/>
        </w:rPr>
        <w:t>a</w:t>
      </w:r>
      <w:r>
        <w:rPr>
          <w:rFonts w:eastAsiaTheme="minorHAnsi"/>
          <w:lang w:eastAsia="en-US"/>
        </w:rPr>
        <w:t xml:space="preserve"> bāzes budžeta apmēru jau 2025. gadā. </w:t>
      </w:r>
      <w:r w:rsidR="00AE6710" w:rsidRPr="00AE6710">
        <w:rPr>
          <w:rFonts w:eastAsiaTheme="minorHAnsi"/>
          <w:lang w:eastAsia="en-US"/>
        </w:rPr>
        <w:t xml:space="preserve">Līdz ar to laika periodā no 2025. gada un secīgi nākamajos gados, izpildot sabiedriskā transporta pakalpojumu līgumus, kompensējamie </w:t>
      </w:r>
      <w:r w:rsidR="00452083">
        <w:rPr>
          <w:rFonts w:eastAsiaTheme="minorHAnsi"/>
          <w:lang w:eastAsia="en-US"/>
        </w:rPr>
        <w:t>zaudējumi</w:t>
      </w:r>
      <w:r w:rsidR="00452083" w:rsidRPr="00AE6710">
        <w:rPr>
          <w:rFonts w:eastAsiaTheme="minorHAnsi"/>
          <w:lang w:eastAsia="en-US"/>
        </w:rPr>
        <w:t xml:space="preserve"> </w:t>
      </w:r>
      <w:r w:rsidR="00AE6710" w:rsidRPr="00AE6710">
        <w:rPr>
          <w:rFonts w:eastAsiaTheme="minorHAnsi"/>
          <w:lang w:eastAsia="en-US"/>
        </w:rPr>
        <w:t xml:space="preserve">pieaugs un piešķirtā valsts budžeta finansējuma bāzē 2026. - 2028. gadam nav paredzēts finansējums šo izdevumu kompensēšanai 2025. gada maršrutu tīkla apjomā, un līgumos paredzēto indeksāciju </w:t>
      </w:r>
      <w:r w:rsidR="00AE6710" w:rsidRPr="0025301A">
        <w:rPr>
          <w:rFonts w:eastAsiaTheme="minorHAnsi"/>
          <w:b/>
          <w:bCs/>
          <w:lang w:eastAsia="en-US"/>
        </w:rPr>
        <w:lastRenderedPageBreak/>
        <w:t xml:space="preserve">nav iespējams kompensēt ar maršrutu tīkla samazinājumu vai izdevumu pārskatīšanu, jo jau </w:t>
      </w:r>
      <w:r w:rsidR="00AE6710" w:rsidRPr="00D422DB">
        <w:rPr>
          <w:rFonts w:eastAsiaTheme="minorHAnsi"/>
          <w:b/>
          <w:bCs/>
          <w:lang w:eastAsia="en-US"/>
        </w:rPr>
        <w:t xml:space="preserve">esošo līgumu </w:t>
      </w:r>
      <w:r w:rsidR="007416C5">
        <w:rPr>
          <w:rFonts w:eastAsiaTheme="minorHAnsi"/>
          <w:b/>
          <w:bCs/>
          <w:lang w:eastAsia="en-US"/>
        </w:rPr>
        <w:t xml:space="preserve">iepirkumā iegūtās pakalpojumu cenas (t.sk. </w:t>
      </w:r>
      <w:r w:rsidR="00AE6710" w:rsidRPr="00D422DB">
        <w:rPr>
          <w:rFonts w:eastAsiaTheme="minorHAnsi"/>
          <w:b/>
          <w:bCs/>
          <w:lang w:eastAsia="en-US"/>
        </w:rPr>
        <w:t>indeksēšanas izmaksas</w:t>
      </w:r>
      <w:r w:rsidR="00203E2C">
        <w:rPr>
          <w:rFonts w:eastAsiaTheme="minorHAnsi"/>
          <w:b/>
          <w:bCs/>
          <w:lang w:eastAsia="en-US"/>
        </w:rPr>
        <w:t>, kas noteiktas līgumos</w:t>
      </w:r>
      <w:r w:rsidR="007416C5">
        <w:rPr>
          <w:rFonts w:eastAsiaTheme="minorHAnsi"/>
          <w:b/>
          <w:bCs/>
          <w:lang w:eastAsia="en-US"/>
        </w:rPr>
        <w:t>)</w:t>
      </w:r>
      <w:r w:rsidR="00AE6710" w:rsidRPr="00D422DB">
        <w:rPr>
          <w:rFonts w:eastAsiaTheme="minorHAnsi"/>
          <w:b/>
          <w:bCs/>
          <w:lang w:eastAsia="en-US"/>
        </w:rPr>
        <w:t xml:space="preserve"> pārsniedz piešķirtos valsts budžeta</w:t>
      </w:r>
      <w:r w:rsidR="00203E2C">
        <w:rPr>
          <w:rFonts w:eastAsiaTheme="minorHAnsi"/>
          <w:b/>
          <w:bCs/>
          <w:lang w:eastAsia="en-US"/>
        </w:rPr>
        <w:t xml:space="preserve"> bāzes</w:t>
      </w:r>
      <w:r w:rsidR="00AE6710" w:rsidRPr="00D422DB">
        <w:rPr>
          <w:rFonts w:eastAsiaTheme="minorHAnsi"/>
          <w:b/>
          <w:bCs/>
          <w:lang w:eastAsia="en-US"/>
        </w:rPr>
        <w:t xml:space="preserve"> līdzekļus</w:t>
      </w:r>
      <w:r w:rsidR="00AE6710" w:rsidRPr="00AE6710">
        <w:rPr>
          <w:rFonts w:eastAsiaTheme="minorHAnsi"/>
          <w:lang w:eastAsia="en-US"/>
        </w:rPr>
        <w:t>.</w:t>
      </w:r>
      <w:r w:rsidR="00634D06">
        <w:rPr>
          <w:rFonts w:eastAsiaTheme="minorHAnsi"/>
          <w:lang w:eastAsia="en-US"/>
        </w:rPr>
        <w:t xml:space="preserve"> </w:t>
      </w:r>
      <w:r w:rsidR="0054725B">
        <w:rPr>
          <w:rFonts w:eastAsiaTheme="minorHAnsi"/>
          <w:lang w:eastAsia="en-US"/>
        </w:rPr>
        <w:t>I</w:t>
      </w:r>
      <w:r w:rsidR="00AE6710" w:rsidRPr="00AE6710">
        <w:rPr>
          <w:rFonts w:eastAsiaTheme="minorHAnsi"/>
          <w:lang w:eastAsia="en-US"/>
        </w:rPr>
        <w:t>evērojot gan pieaugošās izmaksas un palielināt</w:t>
      </w:r>
      <w:r w:rsidR="00AA5DD4">
        <w:rPr>
          <w:rFonts w:eastAsiaTheme="minorHAnsi"/>
          <w:lang w:eastAsia="en-US"/>
        </w:rPr>
        <w:t>o</w:t>
      </w:r>
      <w:r w:rsidR="00AE6710" w:rsidRPr="00AE6710">
        <w:rPr>
          <w:rFonts w:eastAsiaTheme="minorHAnsi"/>
          <w:lang w:eastAsia="en-US"/>
        </w:rPr>
        <w:t xml:space="preserve"> braukšanas maks</w:t>
      </w:r>
      <w:r w:rsidR="00AA5DD4">
        <w:rPr>
          <w:rFonts w:eastAsiaTheme="minorHAnsi"/>
          <w:lang w:eastAsia="en-US"/>
        </w:rPr>
        <w:t>u</w:t>
      </w:r>
      <w:r w:rsidR="00AE6710" w:rsidRPr="00AE6710">
        <w:rPr>
          <w:rFonts w:eastAsiaTheme="minorHAnsi"/>
          <w:lang w:eastAsia="en-US"/>
        </w:rPr>
        <w:t xml:space="preserve"> (tarifi), gan ar līgumiem uzņemtās saistības attiecībā uz pakalpojumu cenas pārskatīšanu (indeksāciju), 2026.gadā un turpmāk valsts budžeta </w:t>
      </w:r>
      <w:r w:rsidR="00AE6710" w:rsidRPr="00AE6710">
        <w:rPr>
          <w:color w:val="000000"/>
        </w:rPr>
        <w:t>31.06.00 apakšprogrammā “Dotācija zaudējumu segšanai sabiedriskā transporta pakalpojumu sniedzējiem” piešķirtais finansējums ir nepietiekams. ATD veiktās aplēses attiecībā uz maršrutu tīkla saglabāšanu 2025.</w:t>
      </w:r>
      <w:r w:rsidR="00D6316B">
        <w:rPr>
          <w:color w:val="000000"/>
        </w:rPr>
        <w:t> </w:t>
      </w:r>
      <w:r w:rsidR="00AE6710" w:rsidRPr="00AE6710">
        <w:rPr>
          <w:color w:val="000000"/>
        </w:rPr>
        <w:t>gad</w:t>
      </w:r>
      <w:r w:rsidR="00990E59">
        <w:rPr>
          <w:color w:val="000000"/>
        </w:rPr>
        <w:t>a</w:t>
      </w:r>
      <w:r w:rsidR="00AE6710" w:rsidRPr="00AE6710">
        <w:rPr>
          <w:color w:val="000000"/>
        </w:rPr>
        <w:t xml:space="preserve"> apjomā un ievērojot spēkā esošo sabiedriskā transporta pakalpojumu līgumu nosacījumus</w:t>
      </w:r>
      <w:r w:rsidR="006166F5">
        <w:rPr>
          <w:color w:val="000000"/>
        </w:rPr>
        <w:t>,</w:t>
      </w:r>
      <w:r w:rsidR="00AE6710" w:rsidRPr="00AE6710">
        <w:rPr>
          <w:color w:val="000000"/>
        </w:rPr>
        <w:t xml:space="preserve"> valsts budžeta bāzes finansējums būtu palielināms reģionālās nozīmes pārvadājumos </w:t>
      </w:r>
      <w:r w:rsidR="00AE6710" w:rsidRPr="00AE6710">
        <w:rPr>
          <w:b/>
          <w:bCs/>
          <w:color w:val="000000"/>
        </w:rPr>
        <w:t>ar autobusiem vismaz par 9</w:t>
      </w:r>
      <w:r w:rsidR="00C21E69">
        <w:rPr>
          <w:b/>
          <w:bCs/>
          <w:color w:val="000000"/>
        </w:rPr>
        <w:t>,19</w:t>
      </w:r>
      <w:r w:rsidR="00AE6710" w:rsidRPr="00AE6710">
        <w:rPr>
          <w:b/>
          <w:bCs/>
          <w:color w:val="000000"/>
        </w:rPr>
        <w:t xml:space="preserve"> milj. </w:t>
      </w:r>
      <w:proofErr w:type="spellStart"/>
      <w:r w:rsidR="003D07CE" w:rsidRPr="003D07CE">
        <w:rPr>
          <w:b/>
          <w:bCs/>
          <w:i/>
          <w:iCs/>
          <w:color w:val="000000"/>
        </w:rPr>
        <w:t>euro</w:t>
      </w:r>
      <w:proofErr w:type="spellEnd"/>
      <w:r w:rsidR="00AE6710" w:rsidRPr="00AE6710">
        <w:rPr>
          <w:color w:val="000000" w:themeColor="text1"/>
        </w:rPr>
        <w:t>.</w:t>
      </w:r>
    </w:p>
    <w:p w14:paraId="56C24194" w14:textId="06536CE4" w:rsidR="00C21E69" w:rsidRDefault="00C21E69" w:rsidP="00AE6710">
      <w:pPr>
        <w:ind w:firstLine="709"/>
        <w:jc w:val="both"/>
        <w:rPr>
          <w:color w:val="000000" w:themeColor="text1"/>
        </w:rPr>
      </w:pPr>
      <w:r>
        <w:rPr>
          <w:color w:val="000000" w:themeColor="text1"/>
        </w:rPr>
        <w:t>Ievērojot to, ka 2026.</w:t>
      </w:r>
      <w:r w:rsidR="00674636">
        <w:rPr>
          <w:color w:val="000000" w:themeColor="text1"/>
        </w:rPr>
        <w:t xml:space="preserve"> </w:t>
      </w:r>
      <w:r>
        <w:rPr>
          <w:color w:val="000000" w:themeColor="text1"/>
        </w:rPr>
        <w:t xml:space="preserve">gadā finansējums reģionālās nozīmes dotētajos pārvadājumos ar autobusiem ir </w:t>
      </w:r>
      <w:r w:rsidR="00E3270C">
        <w:rPr>
          <w:color w:val="000000" w:themeColor="text1"/>
        </w:rPr>
        <w:t xml:space="preserve">52,899 milj. </w:t>
      </w:r>
      <w:proofErr w:type="spellStart"/>
      <w:r w:rsidR="00C42073" w:rsidRPr="00C42073">
        <w:rPr>
          <w:i/>
          <w:iCs/>
          <w:color w:val="000000" w:themeColor="text1"/>
        </w:rPr>
        <w:t>euro</w:t>
      </w:r>
      <w:proofErr w:type="spellEnd"/>
      <w:r w:rsidR="00E3270C">
        <w:rPr>
          <w:color w:val="000000" w:themeColor="text1"/>
        </w:rPr>
        <w:t>, bet kopējie sabiedriskā transporta pakalpojumu līgumos aprēķinātie kompensējamie zaudējumi būtiski pārsniedz pieejamo finansējumu</w:t>
      </w:r>
      <w:r w:rsidR="00635B84">
        <w:rPr>
          <w:color w:val="000000" w:themeColor="text1"/>
        </w:rPr>
        <w:t>,</w:t>
      </w:r>
      <w:r w:rsidR="00E3270C">
        <w:rPr>
          <w:color w:val="000000" w:themeColor="text1"/>
        </w:rPr>
        <w:t xml:space="preserve"> </w:t>
      </w:r>
      <w:r w:rsidR="00635B84">
        <w:rPr>
          <w:color w:val="000000" w:themeColor="text1"/>
        </w:rPr>
        <w:t>k</w:t>
      </w:r>
      <w:r w:rsidR="00E3270C">
        <w:rPr>
          <w:color w:val="000000" w:themeColor="text1"/>
        </w:rPr>
        <w:t>ompensējamais zaudējumu apmērs noteikts, pamatojoties uz plānoto pasažieru skaitu 2026.</w:t>
      </w:r>
      <w:r w:rsidR="00674636">
        <w:rPr>
          <w:color w:val="000000" w:themeColor="text1"/>
        </w:rPr>
        <w:t xml:space="preserve"> </w:t>
      </w:r>
      <w:r w:rsidR="00E3270C">
        <w:rPr>
          <w:color w:val="000000" w:themeColor="text1"/>
        </w:rPr>
        <w:t>gadā, no 2026.</w:t>
      </w:r>
      <w:r w:rsidR="00674636">
        <w:rPr>
          <w:color w:val="000000" w:themeColor="text1"/>
        </w:rPr>
        <w:t xml:space="preserve"> </w:t>
      </w:r>
      <w:r w:rsidR="00E3270C">
        <w:rPr>
          <w:color w:val="000000" w:themeColor="text1"/>
        </w:rPr>
        <w:t>gada 15.</w:t>
      </w:r>
      <w:r w:rsidR="00674636">
        <w:rPr>
          <w:color w:val="000000" w:themeColor="text1"/>
        </w:rPr>
        <w:t xml:space="preserve"> </w:t>
      </w:r>
      <w:r w:rsidR="00E3270C">
        <w:rPr>
          <w:color w:val="000000" w:themeColor="text1"/>
        </w:rPr>
        <w:t>janvāra apstiprinātā</w:t>
      </w:r>
      <w:r w:rsidR="00C90685">
        <w:rPr>
          <w:color w:val="000000" w:themeColor="text1"/>
        </w:rPr>
        <w:t>s</w:t>
      </w:r>
      <w:r w:rsidR="00E3270C">
        <w:rPr>
          <w:color w:val="000000" w:themeColor="text1"/>
        </w:rPr>
        <w:t xml:space="preserve"> braukšanas maksas (tarifa) palielinājumu</w:t>
      </w:r>
      <w:r w:rsidR="00C90685">
        <w:rPr>
          <w:color w:val="000000" w:themeColor="text1"/>
        </w:rPr>
        <w:t>, kā arī sabiedriskā transporta pakalpojumu līgumos plānoto izdevumu apmēru, proti, pakalpojumu cenu, kā arī tās pārskatīšanu (indeksēšanu) atbilstoši līgumos noteiktajiem noteikumiem.</w:t>
      </w:r>
    </w:p>
    <w:p w14:paraId="73CB417A" w14:textId="0CC48079" w:rsidR="001C5F1A" w:rsidRDefault="001C5F1A">
      <w:pPr>
        <w:spacing w:after="160" w:line="259" w:lineRule="auto"/>
        <w:rPr>
          <w:color w:val="000000" w:themeColor="text1"/>
        </w:rPr>
      </w:pPr>
    </w:p>
    <w:p w14:paraId="49AF0CB9" w14:textId="69814DF0" w:rsidR="00C90685" w:rsidRDefault="00C90685" w:rsidP="00E960A5">
      <w:pPr>
        <w:ind w:firstLine="709"/>
        <w:jc w:val="right"/>
        <w:rPr>
          <w:color w:val="000000" w:themeColor="text1"/>
        </w:rPr>
      </w:pPr>
      <w:r>
        <w:rPr>
          <w:color w:val="000000" w:themeColor="text1"/>
        </w:rPr>
        <w:t>Tabula</w:t>
      </w:r>
      <w:r w:rsidR="00F518A4">
        <w:rPr>
          <w:color w:val="000000" w:themeColor="text1"/>
        </w:rPr>
        <w:t xml:space="preserve"> Nr.</w:t>
      </w:r>
      <w:r w:rsidR="007416C5">
        <w:rPr>
          <w:color w:val="000000" w:themeColor="text1"/>
        </w:rPr>
        <w:t>3</w:t>
      </w:r>
    </w:p>
    <w:p w14:paraId="5E4F42C6" w14:textId="681DF246" w:rsidR="00C90685" w:rsidRDefault="00C90685" w:rsidP="00C90685">
      <w:pPr>
        <w:jc w:val="right"/>
        <w:rPr>
          <w:color w:val="000000" w:themeColor="text1"/>
        </w:rPr>
      </w:pPr>
      <w:r>
        <w:rPr>
          <w:color w:val="000000" w:themeColor="text1"/>
        </w:rPr>
        <w:tab/>
        <w:t>Faktiskie un plānotie kompensējamie zaudējumi</w:t>
      </w:r>
    </w:p>
    <w:p w14:paraId="63793EDE" w14:textId="5FE44E4E" w:rsidR="00C90685" w:rsidRDefault="00C90685" w:rsidP="00C90685">
      <w:pPr>
        <w:jc w:val="right"/>
        <w:rPr>
          <w:color w:val="000000" w:themeColor="text1"/>
        </w:rPr>
      </w:pPr>
      <w:r>
        <w:rPr>
          <w:color w:val="000000" w:themeColor="text1"/>
        </w:rPr>
        <w:t>pie reģionālās nozīmes dotēto pārvadājumu</w:t>
      </w:r>
    </w:p>
    <w:p w14:paraId="018CBD5F" w14:textId="549CEF3C" w:rsidR="00C90685" w:rsidRDefault="00C90685" w:rsidP="00C90685">
      <w:pPr>
        <w:jc w:val="right"/>
        <w:rPr>
          <w:color w:val="000000" w:themeColor="text1"/>
        </w:rPr>
      </w:pPr>
      <w:r>
        <w:rPr>
          <w:color w:val="000000" w:themeColor="text1"/>
        </w:rPr>
        <w:t>ar autobusiem pasūtījuma apjoma</w:t>
      </w:r>
    </w:p>
    <w:p w14:paraId="05C58C3A" w14:textId="07AFE264" w:rsidR="00C90685" w:rsidRDefault="00C90685" w:rsidP="00E960A5">
      <w:pPr>
        <w:jc w:val="right"/>
        <w:rPr>
          <w:color w:val="000000" w:themeColor="text1"/>
        </w:rPr>
      </w:pPr>
      <w:r>
        <w:rPr>
          <w:color w:val="000000" w:themeColor="text1"/>
        </w:rPr>
        <w:t>laika posmā no 2019.-2026.gadam</w:t>
      </w:r>
    </w:p>
    <w:tbl>
      <w:tblPr>
        <w:tblW w:w="10206" w:type="dxa"/>
        <w:jc w:val="center"/>
        <w:tblLook w:val="04A0" w:firstRow="1" w:lastRow="0" w:firstColumn="1" w:lastColumn="0" w:noHBand="0" w:noVBand="1"/>
      </w:tblPr>
      <w:tblGrid>
        <w:gridCol w:w="1691"/>
        <w:gridCol w:w="1066"/>
        <w:gridCol w:w="1071"/>
        <w:gridCol w:w="1066"/>
        <w:gridCol w:w="1066"/>
        <w:gridCol w:w="1066"/>
        <w:gridCol w:w="1066"/>
        <w:gridCol w:w="1057"/>
        <w:gridCol w:w="1057"/>
      </w:tblGrid>
      <w:tr w:rsidR="00C90685" w14:paraId="0331DB04" w14:textId="77777777" w:rsidTr="004E61CB">
        <w:trPr>
          <w:trHeight w:val="765"/>
          <w:jc w:val="center"/>
        </w:trPr>
        <w:tc>
          <w:tcPr>
            <w:tcW w:w="1691" w:type="dxa"/>
            <w:tcBorders>
              <w:top w:val="single" w:sz="4" w:space="0" w:color="auto"/>
              <w:left w:val="single" w:sz="4" w:space="0" w:color="auto"/>
              <w:bottom w:val="single" w:sz="4" w:space="0" w:color="auto"/>
              <w:right w:val="single" w:sz="4" w:space="0" w:color="auto"/>
            </w:tcBorders>
            <w:vAlign w:val="center"/>
            <w:hideMark/>
          </w:tcPr>
          <w:p w14:paraId="1335BB20" w14:textId="77777777" w:rsidR="00C90685" w:rsidRDefault="00C90685">
            <w:pPr>
              <w:jc w:val="center"/>
              <w:rPr>
                <w:color w:val="000000"/>
                <w:sz w:val="20"/>
                <w:szCs w:val="20"/>
              </w:rPr>
            </w:pPr>
            <w:r>
              <w:rPr>
                <w:color w:val="000000"/>
                <w:sz w:val="20"/>
                <w:szCs w:val="20"/>
              </w:rPr>
              <w:t>Pārvadājumu veids</w:t>
            </w:r>
          </w:p>
        </w:tc>
        <w:tc>
          <w:tcPr>
            <w:tcW w:w="1066" w:type="dxa"/>
            <w:tcBorders>
              <w:top w:val="single" w:sz="4" w:space="0" w:color="auto"/>
              <w:left w:val="nil"/>
              <w:bottom w:val="single" w:sz="4" w:space="0" w:color="auto"/>
              <w:right w:val="single" w:sz="4" w:space="0" w:color="auto"/>
            </w:tcBorders>
            <w:vAlign w:val="center"/>
            <w:hideMark/>
          </w:tcPr>
          <w:p w14:paraId="0F587A9E" w14:textId="77777777" w:rsidR="00C90685" w:rsidRDefault="00C90685">
            <w:pPr>
              <w:jc w:val="center"/>
              <w:rPr>
                <w:color w:val="000000"/>
                <w:sz w:val="20"/>
                <w:szCs w:val="20"/>
              </w:rPr>
            </w:pPr>
            <w:r>
              <w:rPr>
                <w:color w:val="000000"/>
                <w:sz w:val="20"/>
                <w:szCs w:val="20"/>
              </w:rPr>
              <w:t>2019.g. faktiskie rezultāti</w:t>
            </w:r>
          </w:p>
        </w:tc>
        <w:tc>
          <w:tcPr>
            <w:tcW w:w="1071" w:type="dxa"/>
            <w:tcBorders>
              <w:top w:val="single" w:sz="4" w:space="0" w:color="auto"/>
              <w:left w:val="nil"/>
              <w:bottom w:val="single" w:sz="4" w:space="0" w:color="auto"/>
              <w:right w:val="single" w:sz="4" w:space="0" w:color="auto"/>
            </w:tcBorders>
            <w:vAlign w:val="center"/>
            <w:hideMark/>
          </w:tcPr>
          <w:p w14:paraId="5064B785" w14:textId="77777777" w:rsidR="00C90685" w:rsidRDefault="00C90685">
            <w:pPr>
              <w:jc w:val="center"/>
              <w:rPr>
                <w:color w:val="000000"/>
                <w:sz w:val="20"/>
                <w:szCs w:val="20"/>
              </w:rPr>
            </w:pPr>
            <w:r>
              <w:rPr>
                <w:color w:val="000000"/>
                <w:sz w:val="20"/>
                <w:szCs w:val="20"/>
              </w:rPr>
              <w:t>2020.g. faktiskie rezultāti</w:t>
            </w:r>
          </w:p>
        </w:tc>
        <w:tc>
          <w:tcPr>
            <w:tcW w:w="1066" w:type="dxa"/>
            <w:tcBorders>
              <w:top w:val="single" w:sz="4" w:space="0" w:color="auto"/>
              <w:left w:val="nil"/>
              <w:bottom w:val="single" w:sz="4" w:space="0" w:color="auto"/>
              <w:right w:val="single" w:sz="4" w:space="0" w:color="auto"/>
            </w:tcBorders>
            <w:vAlign w:val="center"/>
            <w:hideMark/>
          </w:tcPr>
          <w:p w14:paraId="42E14507" w14:textId="77777777" w:rsidR="00C90685" w:rsidRDefault="00C90685">
            <w:pPr>
              <w:jc w:val="center"/>
              <w:rPr>
                <w:color w:val="000000"/>
                <w:sz w:val="20"/>
                <w:szCs w:val="20"/>
              </w:rPr>
            </w:pPr>
            <w:r>
              <w:rPr>
                <w:color w:val="000000"/>
                <w:sz w:val="20"/>
                <w:szCs w:val="20"/>
              </w:rPr>
              <w:t>2021.g. faktiskie rezultāti</w:t>
            </w:r>
          </w:p>
        </w:tc>
        <w:tc>
          <w:tcPr>
            <w:tcW w:w="1066" w:type="dxa"/>
            <w:tcBorders>
              <w:top w:val="single" w:sz="4" w:space="0" w:color="auto"/>
              <w:left w:val="nil"/>
              <w:bottom w:val="single" w:sz="4" w:space="0" w:color="auto"/>
              <w:right w:val="single" w:sz="4" w:space="0" w:color="auto"/>
            </w:tcBorders>
            <w:vAlign w:val="center"/>
            <w:hideMark/>
          </w:tcPr>
          <w:p w14:paraId="572203F8" w14:textId="77777777" w:rsidR="00C90685" w:rsidRDefault="00C90685">
            <w:pPr>
              <w:jc w:val="center"/>
              <w:rPr>
                <w:color w:val="000000"/>
                <w:sz w:val="20"/>
                <w:szCs w:val="20"/>
              </w:rPr>
            </w:pPr>
            <w:r>
              <w:rPr>
                <w:color w:val="000000"/>
                <w:sz w:val="20"/>
                <w:szCs w:val="20"/>
              </w:rPr>
              <w:t>2022.g. faktiskie rezultāti</w:t>
            </w:r>
          </w:p>
        </w:tc>
        <w:tc>
          <w:tcPr>
            <w:tcW w:w="1066" w:type="dxa"/>
            <w:tcBorders>
              <w:top w:val="single" w:sz="4" w:space="0" w:color="auto"/>
              <w:left w:val="nil"/>
              <w:bottom w:val="single" w:sz="4" w:space="0" w:color="auto"/>
              <w:right w:val="single" w:sz="4" w:space="0" w:color="auto"/>
            </w:tcBorders>
            <w:vAlign w:val="center"/>
            <w:hideMark/>
          </w:tcPr>
          <w:p w14:paraId="4EFF268C" w14:textId="77777777" w:rsidR="00C90685" w:rsidRDefault="00C90685">
            <w:pPr>
              <w:jc w:val="center"/>
              <w:rPr>
                <w:color w:val="000000"/>
                <w:sz w:val="20"/>
                <w:szCs w:val="20"/>
              </w:rPr>
            </w:pPr>
            <w:r>
              <w:rPr>
                <w:color w:val="000000"/>
                <w:sz w:val="20"/>
                <w:szCs w:val="20"/>
              </w:rPr>
              <w:t>2023.g. faktiskie rezultāti</w:t>
            </w:r>
          </w:p>
        </w:tc>
        <w:tc>
          <w:tcPr>
            <w:tcW w:w="1066" w:type="dxa"/>
            <w:tcBorders>
              <w:top w:val="single" w:sz="4" w:space="0" w:color="auto"/>
              <w:left w:val="nil"/>
              <w:bottom w:val="single" w:sz="4" w:space="0" w:color="auto"/>
              <w:right w:val="single" w:sz="4" w:space="0" w:color="auto"/>
            </w:tcBorders>
            <w:vAlign w:val="center"/>
            <w:hideMark/>
          </w:tcPr>
          <w:p w14:paraId="2D76A074" w14:textId="77777777" w:rsidR="00C90685" w:rsidRDefault="00C90685">
            <w:pPr>
              <w:jc w:val="center"/>
              <w:rPr>
                <w:color w:val="000000"/>
                <w:sz w:val="20"/>
                <w:szCs w:val="20"/>
              </w:rPr>
            </w:pPr>
            <w:r>
              <w:rPr>
                <w:color w:val="000000"/>
                <w:sz w:val="20"/>
                <w:szCs w:val="20"/>
              </w:rPr>
              <w:t>2024.g. faktiskie rezultāti</w:t>
            </w:r>
          </w:p>
        </w:tc>
        <w:tc>
          <w:tcPr>
            <w:tcW w:w="1057" w:type="dxa"/>
            <w:tcBorders>
              <w:top w:val="single" w:sz="4" w:space="0" w:color="auto"/>
              <w:left w:val="nil"/>
              <w:bottom w:val="single" w:sz="4" w:space="0" w:color="auto"/>
              <w:right w:val="single" w:sz="4" w:space="0" w:color="auto"/>
            </w:tcBorders>
            <w:vAlign w:val="center"/>
            <w:hideMark/>
          </w:tcPr>
          <w:p w14:paraId="3AF64294" w14:textId="77777777" w:rsidR="00C90685" w:rsidRDefault="00C90685">
            <w:pPr>
              <w:jc w:val="center"/>
              <w:rPr>
                <w:color w:val="000000"/>
                <w:sz w:val="20"/>
                <w:szCs w:val="20"/>
              </w:rPr>
            </w:pPr>
            <w:r>
              <w:rPr>
                <w:color w:val="000000"/>
                <w:sz w:val="20"/>
                <w:szCs w:val="20"/>
              </w:rPr>
              <w:t>2025.g. plānotie rezultāti</w:t>
            </w:r>
          </w:p>
        </w:tc>
        <w:tc>
          <w:tcPr>
            <w:tcW w:w="1057" w:type="dxa"/>
            <w:tcBorders>
              <w:top w:val="single" w:sz="4" w:space="0" w:color="auto"/>
              <w:left w:val="nil"/>
              <w:bottom w:val="single" w:sz="4" w:space="0" w:color="auto"/>
              <w:right w:val="single" w:sz="4" w:space="0" w:color="auto"/>
            </w:tcBorders>
            <w:vAlign w:val="center"/>
            <w:hideMark/>
          </w:tcPr>
          <w:p w14:paraId="146509B3" w14:textId="77777777" w:rsidR="00C90685" w:rsidRDefault="00C90685">
            <w:pPr>
              <w:jc w:val="center"/>
              <w:rPr>
                <w:color w:val="000000"/>
                <w:sz w:val="20"/>
                <w:szCs w:val="20"/>
              </w:rPr>
            </w:pPr>
            <w:r>
              <w:rPr>
                <w:color w:val="000000"/>
                <w:sz w:val="20"/>
                <w:szCs w:val="20"/>
              </w:rPr>
              <w:t>2026.g. plānotie rezultāti</w:t>
            </w:r>
          </w:p>
        </w:tc>
      </w:tr>
      <w:tr w:rsidR="00C90685" w14:paraId="0EB16132" w14:textId="77777777" w:rsidTr="004E61CB">
        <w:trPr>
          <w:trHeight w:val="510"/>
          <w:jc w:val="center"/>
        </w:trPr>
        <w:tc>
          <w:tcPr>
            <w:tcW w:w="1691" w:type="dxa"/>
            <w:tcBorders>
              <w:top w:val="nil"/>
              <w:left w:val="single" w:sz="4" w:space="0" w:color="auto"/>
              <w:bottom w:val="single" w:sz="4" w:space="0" w:color="auto"/>
              <w:right w:val="single" w:sz="4" w:space="0" w:color="auto"/>
            </w:tcBorders>
            <w:vAlign w:val="center"/>
            <w:hideMark/>
          </w:tcPr>
          <w:p w14:paraId="2AABEAC4" w14:textId="77777777" w:rsidR="00C90685" w:rsidRDefault="00C90685">
            <w:pPr>
              <w:rPr>
                <w:color w:val="000000"/>
                <w:sz w:val="20"/>
                <w:szCs w:val="20"/>
              </w:rPr>
            </w:pPr>
            <w:r>
              <w:rPr>
                <w:color w:val="000000"/>
                <w:sz w:val="20"/>
                <w:szCs w:val="20"/>
              </w:rPr>
              <w:t>Pasūtītais un veiktais nobraukums reģionālās nozīmes dotētos pārvadājumos ar autobusiem, km</w:t>
            </w:r>
          </w:p>
        </w:tc>
        <w:tc>
          <w:tcPr>
            <w:tcW w:w="1066" w:type="dxa"/>
            <w:tcBorders>
              <w:top w:val="nil"/>
              <w:left w:val="nil"/>
              <w:bottom w:val="single" w:sz="4" w:space="0" w:color="auto"/>
              <w:right w:val="single" w:sz="4" w:space="0" w:color="auto"/>
            </w:tcBorders>
            <w:vAlign w:val="center"/>
            <w:hideMark/>
          </w:tcPr>
          <w:p w14:paraId="205A3188" w14:textId="77777777" w:rsidR="00C90685" w:rsidRPr="00E960A5" w:rsidRDefault="00C90685">
            <w:pPr>
              <w:jc w:val="center"/>
              <w:rPr>
                <w:color w:val="000000"/>
                <w:sz w:val="18"/>
                <w:szCs w:val="18"/>
              </w:rPr>
            </w:pPr>
            <w:r w:rsidRPr="00E960A5">
              <w:rPr>
                <w:color w:val="000000"/>
                <w:sz w:val="18"/>
                <w:szCs w:val="18"/>
              </w:rPr>
              <w:t>78 220 283</w:t>
            </w:r>
          </w:p>
        </w:tc>
        <w:tc>
          <w:tcPr>
            <w:tcW w:w="1071" w:type="dxa"/>
            <w:tcBorders>
              <w:top w:val="nil"/>
              <w:left w:val="nil"/>
              <w:bottom w:val="single" w:sz="4" w:space="0" w:color="auto"/>
              <w:right w:val="single" w:sz="4" w:space="0" w:color="auto"/>
            </w:tcBorders>
            <w:vAlign w:val="center"/>
            <w:hideMark/>
          </w:tcPr>
          <w:p w14:paraId="3F2AEE18" w14:textId="77777777" w:rsidR="00C90685" w:rsidRPr="00E960A5" w:rsidRDefault="00C90685">
            <w:pPr>
              <w:jc w:val="center"/>
              <w:rPr>
                <w:color w:val="000000"/>
                <w:sz w:val="18"/>
                <w:szCs w:val="18"/>
              </w:rPr>
            </w:pPr>
            <w:r w:rsidRPr="00E960A5">
              <w:rPr>
                <w:color w:val="000000"/>
                <w:sz w:val="18"/>
                <w:szCs w:val="18"/>
              </w:rPr>
              <w:t>73 914 144</w:t>
            </w:r>
          </w:p>
        </w:tc>
        <w:tc>
          <w:tcPr>
            <w:tcW w:w="1066" w:type="dxa"/>
            <w:tcBorders>
              <w:top w:val="nil"/>
              <w:left w:val="nil"/>
              <w:bottom w:val="single" w:sz="4" w:space="0" w:color="auto"/>
              <w:right w:val="single" w:sz="4" w:space="0" w:color="auto"/>
            </w:tcBorders>
            <w:vAlign w:val="center"/>
            <w:hideMark/>
          </w:tcPr>
          <w:p w14:paraId="6CFCF7B1" w14:textId="77777777" w:rsidR="00C90685" w:rsidRPr="00E960A5" w:rsidRDefault="00C90685">
            <w:pPr>
              <w:jc w:val="center"/>
              <w:rPr>
                <w:color w:val="000000"/>
                <w:sz w:val="18"/>
                <w:szCs w:val="18"/>
              </w:rPr>
            </w:pPr>
            <w:r w:rsidRPr="00E960A5">
              <w:rPr>
                <w:color w:val="000000"/>
                <w:sz w:val="18"/>
                <w:szCs w:val="18"/>
              </w:rPr>
              <w:t>72 797 931</w:t>
            </w:r>
          </w:p>
        </w:tc>
        <w:tc>
          <w:tcPr>
            <w:tcW w:w="1066" w:type="dxa"/>
            <w:tcBorders>
              <w:top w:val="nil"/>
              <w:left w:val="nil"/>
              <w:bottom w:val="single" w:sz="4" w:space="0" w:color="auto"/>
              <w:right w:val="single" w:sz="4" w:space="0" w:color="auto"/>
            </w:tcBorders>
            <w:vAlign w:val="center"/>
            <w:hideMark/>
          </w:tcPr>
          <w:p w14:paraId="3FB72D7F" w14:textId="77777777" w:rsidR="00C90685" w:rsidRPr="00E960A5" w:rsidRDefault="00C90685">
            <w:pPr>
              <w:jc w:val="center"/>
              <w:rPr>
                <w:color w:val="000000"/>
                <w:sz w:val="18"/>
                <w:szCs w:val="18"/>
              </w:rPr>
            </w:pPr>
            <w:r w:rsidRPr="00E960A5">
              <w:rPr>
                <w:color w:val="000000"/>
                <w:sz w:val="18"/>
                <w:szCs w:val="18"/>
              </w:rPr>
              <w:t>70 303 978</w:t>
            </w:r>
          </w:p>
        </w:tc>
        <w:tc>
          <w:tcPr>
            <w:tcW w:w="1066" w:type="dxa"/>
            <w:tcBorders>
              <w:top w:val="nil"/>
              <w:left w:val="nil"/>
              <w:bottom w:val="single" w:sz="4" w:space="0" w:color="auto"/>
              <w:right w:val="single" w:sz="4" w:space="0" w:color="auto"/>
            </w:tcBorders>
            <w:vAlign w:val="center"/>
            <w:hideMark/>
          </w:tcPr>
          <w:p w14:paraId="71594610" w14:textId="77777777" w:rsidR="00C90685" w:rsidRPr="00E960A5" w:rsidRDefault="00C90685">
            <w:pPr>
              <w:jc w:val="center"/>
              <w:rPr>
                <w:color w:val="000000"/>
                <w:sz w:val="18"/>
                <w:szCs w:val="18"/>
              </w:rPr>
            </w:pPr>
            <w:r w:rsidRPr="00E960A5">
              <w:rPr>
                <w:color w:val="000000"/>
                <w:sz w:val="18"/>
                <w:szCs w:val="18"/>
              </w:rPr>
              <w:t>69 299 158</w:t>
            </w:r>
          </w:p>
        </w:tc>
        <w:tc>
          <w:tcPr>
            <w:tcW w:w="1066" w:type="dxa"/>
            <w:tcBorders>
              <w:top w:val="nil"/>
              <w:left w:val="nil"/>
              <w:bottom w:val="single" w:sz="4" w:space="0" w:color="auto"/>
              <w:right w:val="single" w:sz="4" w:space="0" w:color="auto"/>
            </w:tcBorders>
            <w:vAlign w:val="center"/>
            <w:hideMark/>
          </w:tcPr>
          <w:p w14:paraId="08E1C75B" w14:textId="77777777" w:rsidR="00C90685" w:rsidRPr="00E960A5" w:rsidRDefault="00C90685">
            <w:pPr>
              <w:jc w:val="center"/>
              <w:rPr>
                <w:sz w:val="18"/>
                <w:szCs w:val="18"/>
              </w:rPr>
            </w:pPr>
            <w:r w:rsidRPr="00E960A5">
              <w:rPr>
                <w:sz w:val="18"/>
                <w:szCs w:val="18"/>
              </w:rPr>
              <w:t>68 070 947</w:t>
            </w:r>
          </w:p>
        </w:tc>
        <w:tc>
          <w:tcPr>
            <w:tcW w:w="1057" w:type="dxa"/>
            <w:tcBorders>
              <w:top w:val="nil"/>
              <w:left w:val="nil"/>
              <w:bottom w:val="single" w:sz="4" w:space="0" w:color="auto"/>
              <w:right w:val="single" w:sz="4" w:space="0" w:color="auto"/>
            </w:tcBorders>
            <w:vAlign w:val="center"/>
            <w:hideMark/>
          </w:tcPr>
          <w:p w14:paraId="58A9A521" w14:textId="77777777" w:rsidR="00C90685" w:rsidRPr="00E960A5" w:rsidRDefault="00C90685">
            <w:pPr>
              <w:jc w:val="center"/>
              <w:rPr>
                <w:color w:val="000000"/>
                <w:sz w:val="18"/>
                <w:szCs w:val="18"/>
              </w:rPr>
            </w:pPr>
            <w:r w:rsidRPr="00E960A5">
              <w:rPr>
                <w:color w:val="000000"/>
                <w:sz w:val="18"/>
                <w:szCs w:val="18"/>
              </w:rPr>
              <w:t>66 354 488</w:t>
            </w:r>
          </w:p>
        </w:tc>
        <w:tc>
          <w:tcPr>
            <w:tcW w:w="1057" w:type="dxa"/>
            <w:tcBorders>
              <w:top w:val="nil"/>
              <w:left w:val="nil"/>
              <w:bottom w:val="single" w:sz="4" w:space="0" w:color="auto"/>
              <w:right w:val="single" w:sz="4" w:space="0" w:color="auto"/>
            </w:tcBorders>
            <w:vAlign w:val="center"/>
            <w:hideMark/>
          </w:tcPr>
          <w:p w14:paraId="7F30D03B" w14:textId="77777777" w:rsidR="00C90685" w:rsidRPr="00E960A5" w:rsidRDefault="00C90685">
            <w:pPr>
              <w:jc w:val="center"/>
              <w:rPr>
                <w:color w:val="000000"/>
                <w:sz w:val="18"/>
                <w:szCs w:val="18"/>
              </w:rPr>
            </w:pPr>
            <w:r w:rsidRPr="00E960A5">
              <w:rPr>
                <w:color w:val="000000"/>
                <w:sz w:val="18"/>
                <w:szCs w:val="18"/>
              </w:rPr>
              <w:t>66 126 025</w:t>
            </w:r>
          </w:p>
        </w:tc>
      </w:tr>
      <w:tr w:rsidR="00C90685" w14:paraId="4F302B61" w14:textId="77777777" w:rsidTr="004E61CB">
        <w:trPr>
          <w:trHeight w:val="510"/>
          <w:jc w:val="center"/>
        </w:trPr>
        <w:tc>
          <w:tcPr>
            <w:tcW w:w="1691" w:type="dxa"/>
            <w:tcBorders>
              <w:top w:val="nil"/>
              <w:left w:val="single" w:sz="4" w:space="0" w:color="auto"/>
              <w:bottom w:val="single" w:sz="4" w:space="0" w:color="auto"/>
              <w:right w:val="single" w:sz="4" w:space="0" w:color="auto"/>
            </w:tcBorders>
            <w:vAlign w:val="center"/>
            <w:hideMark/>
          </w:tcPr>
          <w:p w14:paraId="45EA7515" w14:textId="77777777" w:rsidR="00C90685" w:rsidRDefault="00C90685">
            <w:pPr>
              <w:rPr>
                <w:color w:val="000000"/>
                <w:sz w:val="20"/>
                <w:szCs w:val="20"/>
              </w:rPr>
            </w:pPr>
            <w:r>
              <w:rPr>
                <w:color w:val="000000"/>
                <w:sz w:val="20"/>
                <w:szCs w:val="20"/>
              </w:rPr>
              <w:t xml:space="preserve">Aprēķinātā zaudējumu kompensācija (dotācija) reģionālās nozīmes dotētajos pārvadājumos ar autobusiem, </w:t>
            </w:r>
            <w:proofErr w:type="spellStart"/>
            <w:r>
              <w:rPr>
                <w:i/>
                <w:iCs/>
                <w:color w:val="000000"/>
                <w:sz w:val="20"/>
                <w:szCs w:val="20"/>
              </w:rPr>
              <w:t>euro</w:t>
            </w:r>
            <w:proofErr w:type="spellEnd"/>
          </w:p>
        </w:tc>
        <w:tc>
          <w:tcPr>
            <w:tcW w:w="1066" w:type="dxa"/>
            <w:tcBorders>
              <w:top w:val="nil"/>
              <w:left w:val="nil"/>
              <w:bottom w:val="single" w:sz="4" w:space="0" w:color="auto"/>
              <w:right w:val="single" w:sz="4" w:space="0" w:color="auto"/>
            </w:tcBorders>
            <w:vAlign w:val="center"/>
            <w:hideMark/>
          </w:tcPr>
          <w:p w14:paraId="4E9A9021" w14:textId="77777777" w:rsidR="00C90685" w:rsidRPr="00460BF9" w:rsidRDefault="00C90685">
            <w:pPr>
              <w:jc w:val="center"/>
              <w:rPr>
                <w:color w:val="000000"/>
                <w:sz w:val="18"/>
                <w:szCs w:val="18"/>
              </w:rPr>
            </w:pPr>
            <w:r w:rsidRPr="00460BF9">
              <w:rPr>
                <w:color w:val="000000"/>
                <w:sz w:val="18"/>
                <w:szCs w:val="18"/>
              </w:rPr>
              <w:t>48 780 482</w:t>
            </w:r>
          </w:p>
        </w:tc>
        <w:tc>
          <w:tcPr>
            <w:tcW w:w="1071" w:type="dxa"/>
            <w:tcBorders>
              <w:top w:val="nil"/>
              <w:left w:val="nil"/>
              <w:bottom w:val="single" w:sz="4" w:space="0" w:color="auto"/>
              <w:right w:val="single" w:sz="4" w:space="0" w:color="auto"/>
            </w:tcBorders>
            <w:vAlign w:val="center"/>
            <w:hideMark/>
          </w:tcPr>
          <w:p w14:paraId="1A98123D" w14:textId="533AC7B5" w:rsidR="00C90685" w:rsidRPr="00460BF9" w:rsidRDefault="00C90685">
            <w:pPr>
              <w:jc w:val="center"/>
              <w:rPr>
                <w:color w:val="000000"/>
                <w:sz w:val="18"/>
                <w:szCs w:val="18"/>
              </w:rPr>
            </w:pPr>
            <w:r w:rsidRPr="00460BF9">
              <w:rPr>
                <w:color w:val="000000"/>
                <w:sz w:val="18"/>
                <w:szCs w:val="18"/>
              </w:rPr>
              <w:t>57 157</w:t>
            </w:r>
            <w:r w:rsidR="007B4271">
              <w:rPr>
                <w:color w:val="000000"/>
                <w:sz w:val="18"/>
                <w:szCs w:val="18"/>
              </w:rPr>
              <w:t> </w:t>
            </w:r>
            <w:r w:rsidRPr="00460BF9">
              <w:rPr>
                <w:color w:val="000000"/>
                <w:sz w:val="18"/>
                <w:szCs w:val="18"/>
              </w:rPr>
              <w:t>456</w:t>
            </w:r>
          </w:p>
        </w:tc>
        <w:tc>
          <w:tcPr>
            <w:tcW w:w="1066" w:type="dxa"/>
            <w:tcBorders>
              <w:top w:val="nil"/>
              <w:left w:val="nil"/>
              <w:bottom w:val="single" w:sz="4" w:space="0" w:color="auto"/>
              <w:right w:val="single" w:sz="4" w:space="0" w:color="auto"/>
            </w:tcBorders>
            <w:vAlign w:val="center"/>
            <w:hideMark/>
          </w:tcPr>
          <w:p w14:paraId="5700763D" w14:textId="77777777" w:rsidR="00C90685" w:rsidRPr="00460BF9" w:rsidRDefault="00C90685">
            <w:pPr>
              <w:jc w:val="center"/>
              <w:rPr>
                <w:color w:val="000000"/>
                <w:sz w:val="18"/>
                <w:szCs w:val="18"/>
              </w:rPr>
            </w:pPr>
            <w:r w:rsidRPr="00460BF9">
              <w:rPr>
                <w:color w:val="000000"/>
                <w:sz w:val="18"/>
                <w:szCs w:val="18"/>
              </w:rPr>
              <w:t>64 274 193</w:t>
            </w:r>
          </w:p>
        </w:tc>
        <w:tc>
          <w:tcPr>
            <w:tcW w:w="1066" w:type="dxa"/>
            <w:tcBorders>
              <w:top w:val="nil"/>
              <w:left w:val="nil"/>
              <w:bottom w:val="single" w:sz="4" w:space="0" w:color="auto"/>
              <w:right w:val="single" w:sz="4" w:space="0" w:color="auto"/>
            </w:tcBorders>
            <w:vAlign w:val="center"/>
            <w:hideMark/>
          </w:tcPr>
          <w:p w14:paraId="47C4F852" w14:textId="354B9036" w:rsidR="00C90685" w:rsidRPr="00460BF9" w:rsidRDefault="00C90685">
            <w:pPr>
              <w:jc w:val="center"/>
              <w:rPr>
                <w:color w:val="000000"/>
                <w:sz w:val="18"/>
                <w:szCs w:val="18"/>
              </w:rPr>
            </w:pPr>
            <w:r w:rsidRPr="00460BF9">
              <w:rPr>
                <w:color w:val="000000"/>
                <w:sz w:val="18"/>
                <w:szCs w:val="18"/>
              </w:rPr>
              <w:t>60</w:t>
            </w:r>
            <w:r w:rsidR="00653812">
              <w:rPr>
                <w:color w:val="000000"/>
                <w:sz w:val="18"/>
                <w:szCs w:val="18"/>
              </w:rPr>
              <w:t> </w:t>
            </w:r>
            <w:r w:rsidRPr="00460BF9">
              <w:rPr>
                <w:color w:val="000000"/>
                <w:sz w:val="18"/>
                <w:szCs w:val="18"/>
              </w:rPr>
              <w:t>718 744</w:t>
            </w:r>
          </w:p>
        </w:tc>
        <w:tc>
          <w:tcPr>
            <w:tcW w:w="1066" w:type="dxa"/>
            <w:tcBorders>
              <w:top w:val="nil"/>
              <w:left w:val="nil"/>
              <w:bottom w:val="single" w:sz="4" w:space="0" w:color="auto"/>
              <w:right w:val="single" w:sz="4" w:space="0" w:color="auto"/>
            </w:tcBorders>
            <w:vAlign w:val="center"/>
            <w:hideMark/>
          </w:tcPr>
          <w:p w14:paraId="6A774CC9" w14:textId="77777777" w:rsidR="00C90685" w:rsidRPr="00460BF9" w:rsidRDefault="00C90685">
            <w:pPr>
              <w:jc w:val="center"/>
              <w:rPr>
                <w:color w:val="000000"/>
                <w:sz w:val="18"/>
                <w:szCs w:val="18"/>
              </w:rPr>
            </w:pPr>
            <w:r w:rsidRPr="00460BF9">
              <w:rPr>
                <w:color w:val="000000"/>
                <w:sz w:val="18"/>
                <w:szCs w:val="18"/>
              </w:rPr>
              <w:t>62 826 686</w:t>
            </w:r>
          </w:p>
        </w:tc>
        <w:tc>
          <w:tcPr>
            <w:tcW w:w="1066" w:type="dxa"/>
            <w:tcBorders>
              <w:top w:val="nil"/>
              <w:left w:val="nil"/>
              <w:bottom w:val="single" w:sz="4" w:space="0" w:color="auto"/>
              <w:right w:val="single" w:sz="4" w:space="0" w:color="auto"/>
            </w:tcBorders>
            <w:vAlign w:val="center"/>
            <w:hideMark/>
          </w:tcPr>
          <w:p w14:paraId="7DC9A38B" w14:textId="77777777" w:rsidR="00C90685" w:rsidRPr="00460BF9" w:rsidRDefault="00C90685">
            <w:pPr>
              <w:jc w:val="center"/>
              <w:rPr>
                <w:color w:val="000000"/>
                <w:sz w:val="18"/>
                <w:szCs w:val="18"/>
              </w:rPr>
            </w:pPr>
            <w:r w:rsidRPr="00460BF9">
              <w:rPr>
                <w:color w:val="000000"/>
                <w:sz w:val="18"/>
                <w:szCs w:val="18"/>
              </w:rPr>
              <w:t>63 048 839</w:t>
            </w:r>
          </w:p>
        </w:tc>
        <w:tc>
          <w:tcPr>
            <w:tcW w:w="1057" w:type="dxa"/>
            <w:tcBorders>
              <w:top w:val="nil"/>
              <w:left w:val="nil"/>
              <w:bottom w:val="single" w:sz="4" w:space="0" w:color="auto"/>
              <w:right w:val="single" w:sz="4" w:space="0" w:color="auto"/>
            </w:tcBorders>
            <w:vAlign w:val="center"/>
            <w:hideMark/>
          </w:tcPr>
          <w:p w14:paraId="3B93F43F" w14:textId="77777777" w:rsidR="00C90685" w:rsidRPr="00460BF9" w:rsidRDefault="00C90685">
            <w:pPr>
              <w:jc w:val="center"/>
              <w:rPr>
                <w:color w:val="000000"/>
                <w:sz w:val="18"/>
                <w:szCs w:val="18"/>
              </w:rPr>
            </w:pPr>
            <w:r w:rsidRPr="00460BF9">
              <w:rPr>
                <w:color w:val="000000"/>
                <w:sz w:val="18"/>
                <w:szCs w:val="18"/>
              </w:rPr>
              <w:t>60 036 782</w:t>
            </w:r>
          </w:p>
        </w:tc>
        <w:tc>
          <w:tcPr>
            <w:tcW w:w="1057" w:type="dxa"/>
            <w:tcBorders>
              <w:top w:val="nil"/>
              <w:left w:val="nil"/>
              <w:bottom w:val="single" w:sz="4" w:space="0" w:color="auto"/>
              <w:right w:val="single" w:sz="4" w:space="0" w:color="auto"/>
            </w:tcBorders>
            <w:vAlign w:val="center"/>
            <w:hideMark/>
          </w:tcPr>
          <w:p w14:paraId="360DEC54" w14:textId="77777777" w:rsidR="00C90685" w:rsidRPr="00460BF9" w:rsidRDefault="00C90685">
            <w:pPr>
              <w:jc w:val="center"/>
              <w:rPr>
                <w:color w:val="000000"/>
                <w:sz w:val="18"/>
                <w:szCs w:val="18"/>
              </w:rPr>
            </w:pPr>
            <w:r w:rsidRPr="00460BF9">
              <w:rPr>
                <w:color w:val="000000"/>
                <w:sz w:val="18"/>
                <w:szCs w:val="18"/>
              </w:rPr>
              <w:t>62 090 372</w:t>
            </w:r>
          </w:p>
        </w:tc>
      </w:tr>
      <w:tr w:rsidR="004E61CB" w14:paraId="76EC5814" w14:textId="77777777" w:rsidTr="004E61CB">
        <w:trPr>
          <w:trHeight w:val="765"/>
          <w:jc w:val="center"/>
        </w:trPr>
        <w:tc>
          <w:tcPr>
            <w:tcW w:w="1691" w:type="dxa"/>
            <w:tcBorders>
              <w:top w:val="nil"/>
              <w:left w:val="single" w:sz="4" w:space="0" w:color="auto"/>
              <w:bottom w:val="single" w:sz="4" w:space="0" w:color="auto"/>
              <w:right w:val="single" w:sz="4" w:space="0" w:color="auto"/>
            </w:tcBorders>
            <w:vAlign w:val="center"/>
            <w:hideMark/>
          </w:tcPr>
          <w:p w14:paraId="05FD126A" w14:textId="77777777" w:rsidR="004E61CB" w:rsidRDefault="004E61CB" w:rsidP="004E61CB">
            <w:pPr>
              <w:rPr>
                <w:color w:val="000000"/>
                <w:sz w:val="20"/>
                <w:szCs w:val="20"/>
              </w:rPr>
            </w:pPr>
            <w:r>
              <w:rPr>
                <w:color w:val="000000"/>
                <w:sz w:val="20"/>
                <w:szCs w:val="20"/>
              </w:rPr>
              <w:t xml:space="preserve">Izmaksātā valsts budžeta dotācija par tekošā gada zaudējumiem reģionālās nozīmes dotētos pārvadājumos ar autobusiem, t.sk. papildu piešķirtais finansējums, </w:t>
            </w:r>
            <w:proofErr w:type="spellStart"/>
            <w:r>
              <w:rPr>
                <w:i/>
                <w:iCs/>
                <w:color w:val="000000"/>
                <w:sz w:val="20"/>
                <w:szCs w:val="20"/>
              </w:rPr>
              <w:t>euro</w:t>
            </w:r>
            <w:proofErr w:type="spellEnd"/>
          </w:p>
        </w:tc>
        <w:tc>
          <w:tcPr>
            <w:tcW w:w="1066" w:type="dxa"/>
            <w:tcBorders>
              <w:top w:val="nil"/>
              <w:left w:val="nil"/>
              <w:bottom w:val="single" w:sz="4" w:space="0" w:color="auto"/>
              <w:right w:val="single" w:sz="4" w:space="0" w:color="auto"/>
            </w:tcBorders>
            <w:vAlign w:val="center"/>
            <w:hideMark/>
          </w:tcPr>
          <w:p w14:paraId="58B82EBE" w14:textId="77777777" w:rsidR="004E61CB" w:rsidRPr="00460BF9" w:rsidRDefault="004E61CB" w:rsidP="004E61CB">
            <w:pPr>
              <w:jc w:val="center"/>
              <w:rPr>
                <w:color w:val="000000"/>
                <w:sz w:val="18"/>
                <w:szCs w:val="18"/>
              </w:rPr>
            </w:pPr>
            <w:r w:rsidRPr="00460BF9">
              <w:rPr>
                <w:color w:val="000000"/>
                <w:sz w:val="18"/>
                <w:szCs w:val="18"/>
              </w:rPr>
              <w:t>47 831 616</w:t>
            </w:r>
          </w:p>
        </w:tc>
        <w:tc>
          <w:tcPr>
            <w:tcW w:w="1071" w:type="dxa"/>
            <w:tcBorders>
              <w:top w:val="nil"/>
              <w:left w:val="nil"/>
              <w:bottom w:val="single" w:sz="4" w:space="0" w:color="auto"/>
              <w:right w:val="single" w:sz="4" w:space="0" w:color="auto"/>
            </w:tcBorders>
            <w:vAlign w:val="center"/>
            <w:hideMark/>
          </w:tcPr>
          <w:p w14:paraId="2CE61EBE" w14:textId="77777777" w:rsidR="004E61CB" w:rsidRPr="00460BF9" w:rsidRDefault="004E61CB" w:rsidP="004E61CB">
            <w:pPr>
              <w:jc w:val="center"/>
              <w:rPr>
                <w:color w:val="000000"/>
                <w:sz w:val="18"/>
                <w:szCs w:val="18"/>
              </w:rPr>
            </w:pPr>
            <w:r w:rsidRPr="00460BF9">
              <w:rPr>
                <w:color w:val="000000"/>
                <w:sz w:val="18"/>
                <w:szCs w:val="18"/>
              </w:rPr>
              <w:t>55 179 225</w:t>
            </w:r>
          </w:p>
        </w:tc>
        <w:tc>
          <w:tcPr>
            <w:tcW w:w="1066" w:type="dxa"/>
            <w:tcBorders>
              <w:top w:val="nil"/>
              <w:left w:val="nil"/>
              <w:bottom w:val="single" w:sz="4" w:space="0" w:color="auto"/>
              <w:right w:val="single" w:sz="4" w:space="0" w:color="auto"/>
            </w:tcBorders>
            <w:vAlign w:val="center"/>
            <w:hideMark/>
          </w:tcPr>
          <w:p w14:paraId="13363232" w14:textId="77777777" w:rsidR="004E61CB" w:rsidRPr="00460BF9" w:rsidRDefault="004E61CB" w:rsidP="004E61CB">
            <w:pPr>
              <w:jc w:val="center"/>
              <w:rPr>
                <w:color w:val="000000"/>
                <w:sz w:val="18"/>
                <w:szCs w:val="18"/>
              </w:rPr>
            </w:pPr>
            <w:r w:rsidRPr="00460BF9">
              <w:rPr>
                <w:color w:val="000000"/>
                <w:sz w:val="18"/>
                <w:szCs w:val="18"/>
              </w:rPr>
              <w:t>62 042 399</w:t>
            </w:r>
          </w:p>
        </w:tc>
        <w:tc>
          <w:tcPr>
            <w:tcW w:w="1066" w:type="dxa"/>
            <w:tcBorders>
              <w:top w:val="nil"/>
              <w:left w:val="nil"/>
              <w:bottom w:val="single" w:sz="4" w:space="0" w:color="auto"/>
              <w:right w:val="single" w:sz="4" w:space="0" w:color="auto"/>
            </w:tcBorders>
            <w:vAlign w:val="center"/>
            <w:hideMark/>
          </w:tcPr>
          <w:p w14:paraId="21307378" w14:textId="77777777" w:rsidR="004E61CB" w:rsidRPr="00460BF9" w:rsidRDefault="004E61CB" w:rsidP="004E61CB">
            <w:pPr>
              <w:jc w:val="center"/>
              <w:rPr>
                <w:color w:val="000000"/>
                <w:sz w:val="18"/>
                <w:szCs w:val="18"/>
              </w:rPr>
            </w:pPr>
            <w:r w:rsidRPr="00460BF9">
              <w:rPr>
                <w:color w:val="000000"/>
                <w:sz w:val="18"/>
                <w:szCs w:val="18"/>
              </w:rPr>
              <w:t>61 084 000</w:t>
            </w:r>
          </w:p>
        </w:tc>
        <w:tc>
          <w:tcPr>
            <w:tcW w:w="1066" w:type="dxa"/>
            <w:tcBorders>
              <w:top w:val="nil"/>
              <w:left w:val="nil"/>
              <w:bottom w:val="single" w:sz="4" w:space="0" w:color="auto"/>
              <w:right w:val="single" w:sz="4" w:space="0" w:color="auto"/>
            </w:tcBorders>
            <w:vAlign w:val="center"/>
            <w:hideMark/>
          </w:tcPr>
          <w:p w14:paraId="5ACA8B1F" w14:textId="77777777" w:rsidR="004E61CB" w:rsidRPr="00460BF9" w:rsidRDefault="004E61CB" w:rsidP="004E61CB">
            <w:pPr>
              <w:jc w:val="center"/>
              <w:rPr>
                <w:color w:val="000000"/>
                <w:sz w:val="18"/>
                <w:szCs w:val="18"/>
              </w:rPr>
            </w:pPr>
            <w:r w:rsidRPr="00460BF9">
              <w:rPr>
                <w:color w:val="000000"/>
                <w:sz w:val="18"/>
                <w:szCs w:val="18"/>
              </w:rPr>
              <w:t>65 505 089</w:t>
            </w:r>
          </w:p>
        </w:tc>
        <w:tc>
          <w:tcPr>
            <w:tcW w:w="1066" w:type="dxa"/>
            <w:tcBorders>
              <w:top w:val="nil"/>
              <w:left w:val="nil"/>
              <w:bottom w:val="single" w:sz="4" w:space="0" w:color="auto"/>
              <w:right w:val="single" w:sz="4" w:space="0" w:color="auto"/>
            </w:tcBorders>
            <w:vAlign w:val="center"/>
            <w:hideMark/>
          </w:tcPr>
          <w:p w14:paraId="27481DDF" w14:textId="77777777" w:rsidR="004E61CB" w:rsidRPr="00460BF9" w:rsidRDefault="004E61CB" w:rsidP="004E61CB">
            <w:pPr>
              <w:jc w:val="center"/>
              <w:rPr>
                <w:color w:val="000000"/>
                <w:sz w:val="18"/>
                <w:szCs w:val="18"/>
              </w:rPr>
            </w:pPr>
            <w:r w:rsidRPr="00460BF9">
              <w:rPr>
                <w:color w:val="000000"/>
                <w:sz w:val="18"/>
                <w:szCs w:val="18"/>
              </w:rPr>
              <w:t>63 873 382</w:t>
            </w:r>
          </w:p>
        </w:tc>
        <w:tc>
          <w:tcPr>
            <w:tcW w:w="1057" w:type="dxa"/>
            <w:tcBorders>
              <w:top w:val="nil"/>
              <w:left w:val="nil"/>
              <w:bottom w:val="single" w:sz="4" w:space="0" w:color="auto"/>
              <w:right w:val="single" w:sz="4" w:space="0" w:color="auto"/>
            </w:tcBorders>
            <w:vAlign w:val="center"/>
            <w:hideMark/>
          </w:tcPr>
          <w:p w14:paraId="14AEC649" w14:textId="149A2E82" w:rsidR="004E61CB" w:rsidRPr="00460BF9" w:rsidRDefault="004E61CB" w:rsidP="004E61CB">
            <w:pPr>
              <w:jc w:val="center"/>
              <w:rPr>
                <w:color w:val="000000"/>
                <w:sz w:val="18"/>
                <w:szCs w:val="18"/>
              </w:rPr>
            </w:pPr>
            <w:r>
              <w:rPr>
                <w:color w:val="000000"/>
                <w:sz w:val="20"/>
                <w:szCs w:val="20"/>
              </w:rPr>
              <w:t>56 288 997</w:t>
            </w:r>
          </w:p>
        </w:tc>
        <w:tc>
          <w:tcPr>
            <w:tcW w:w="1057" w:type="dxa"/>
            <w:tcBorders>
              <w:top w:val="nil"/>
              <w:left w:val="nil"/>
              <w:bottom w:val="single" w:sz="4" w:space="0" w:color="auto"/>
              <w:right w:val="single" w:sz="4" w:space="0" w:color="auto"/>
            </w:tcBorders>
            <w:vAlign w:val="center"/>
            <w:hideMark/>
          </w:tcPr>
          <w:p w14:paraId="0FF9A2EF" w14:textId="77777777" w:rsidR="004E61CB" w:rsidRPr="00460BF9" w:rsidRDefault="004E61CB" w:rsidP="004E61CB">
            <w:pPr>
              <w:jc w:val="center"/>
              <w:rPr>
                <w:color w:val="000000"/>
                <w:sz w:val="18"/>
                <w:szCs w:val="18"/>
              </w:rPr>
            </w:pPr>
            <w:r w:rsidRPr="00460BF9">
              <w:rPr>
                <w:color w:val="000000"/>
                <w:sz w:val="18"/>
                <w:szCs w:val="18"/>
              </w:rPr>
              <w:t>52 899 091</w:t>
            </w:r>
          </w:p>
        </w:tc>
      </w:tr>
      <w:tr w:rsidR="004E61CB" w:rsidRPr="00C90685" w14:paraId="7FCCFC8B" w14:textId="77777777" w:rsidTr="004E61CB">
        <w:trPr>
          <w:trHeight w:val="255"/>
          <w:jc w:val="center"/>
        </w:trPr>
        <w:tc>
          <w:tcPr>
            <w:tcW w:w="1691" w:type="dxa"/>
            <w:tcBorders>
              <w:top w:val="nil"/>
              <w:left w:val="single" w:sz="4" w:space="0" w:color="auto"/>
              <w:bottom w:val="single" w:sz="4" w:space="0" w:color="auto"/>
              <w:right w:val="single" w:sz="4" w:space="0" w:color="auto"/>
            </w:tcBorders>
            <w:vAlign w:val="center"/>
            <w:hideMark/>
          </w:tcPr>
          <w:p w14:paraId="63FBEC60" w14:textId="77777777" w:rsidR="004E61CB" w:rsidRPr="00460BF9" w:rsidRDefault="004E61CB" w:rsidP="004E61CB">
            <w:pPr>
              <w:rPr>
                <w:b/>
                <w:bCs/>
                <w:color w:val="000000"/>
                <w:sz w:val="20"/>
                <w:szCs w:val="20"/>
              </w:rPr>
            </w:pPr>
            <w:r w:rsidRPr="00460BF9">
              <w:rPr>
                <w:b/>
                <w:bCs/>
                <w:color w:val="000000"/>
                <w:sz w:val="20"/>
                <w:szCs w:val="20"/>
              </w:rPr>
              <w:t>Starpība</w:t>
            </w:r>
          </w:p>
        </w:tc>
        <w:tc>
          <w:tcPr>
            <w:tcW w:w="1066" w:type="dxa"/>
            <w:tcBorders>
              <w:top w:val="nil"/>
              <w:left w:val="nil"/>
              <w:bottom w:val="single" w:sz="4" w:space="0" w:color="auto"/>
              <w:right w:val="single" w:sz="4" w:space="0" w:color="auto"/>
            </w:tcBorders>
            <w:vAlign w:val="center"/>
            <w:hideMark/>
          </w:tcPr>
          <w:p w14:paraId="52A81B7B" w14:textId="77777777" w:rsidR="004E61CB" w:rsidRPr="00460BF9" w:rsidRDefault="004E61CB" w:rsidP="004E61CB">
            <w:pPr>
              <w:jc w:val="center"/>
              <w:rPr>
                <w:b/>
                <w:bCs/>
                <w:color w:val="000000"/>
                <w:sz w:val="18"/>
                <w:szCs w:val="18"/>
              </w:rPr>
            </w:pPr>
            <w:r w:rsidRPr="00460BF9">
              <w:rPr>
                <w:b/>
                <w:bCs/>
                <w:color w:val="000000"/>
                <w:sz w:val="18"/>
                <w:szCs w:val="18"/>
              </w:rPr>
              <w:t>-948 866</w:t>
            </w:r>
          </w:p>
        </w:tc>
        <w:tc>
          <w:tcPr>
            <w:tcW w:w="1071" w:type="dxa"/>
            <w:tcBorders>
              <w:top w:val="nil"/>
              <w:left w:val="nil"/>
              <w:bottom w:val="single" w:sz="4" w:space="0" w:color="auto"/>
              <w:right w:val="single" w:sz="4" w:space="0" w:color="auto"/>
            </w:tcBorders>
            <w:vAlign w:val="center"/>
            <w:hideMark/>
          </w:tcPr>
          <w:p w14:paraId="16331A26" w14:textId="77777777" w:rsidR="004E61CB" w:rsidRPr="00460BF9" w:rsidRDefault="004E61CB" w:rsidP="004E61CB">
            <w:pPr>
              <w:jc w:val="center"/>
              <w:rPr>
                <w:b/>
                <w:bCs/>
                <w:color w:val="000000"/>
                <w:sz w:val="18"/>
                <w:szCs w:val="18"/>
              </w:rPr>
            </w:pPr>
            <w:r w:rsidRPr="00460BF9">
              <w:rPr>
                <w:b/>
                <w:bCs/>
                <w:color w:val="000000"/>
                <w:sz w:val="18"/>
                <w:szCs w:val="18"/>
              </w:rPr>
              <w:t>-1 978 231</w:t>
            </w:r>
          </w:p>
        </w:tc>
        <w:tc>
          <w:tcPr>
            <w:tcW w:w="1066" w:type="dxa"/>
            <w:tcBorders>
              <w:top w:val="nil"/>
              <w:left w:val="nil"/>
              <w:bottom w:val="single" w:sz="4" w:space="0" w:color="auto"/>
              <w:right w:val="single" w:sz="4" w:space="0" w:color="auto"/>
            </w:tcBorders>
            <w:vAlign w:val="center"/>
            <w:hideMark/>
          </w:tcPr>
          <w:p w14:paraId="417EDCD3" w14:textId="77777777" w:rsidR="004E61CB" w:rsidRPr="00460BF9" w:rsidRDefault="004E61CB" w:rsidP="004E61CB">
            <w:pPr>
              <w:jc w:val="center"/>
              <w:rPr>
                <w:b/>
                <w:bCs/>
                <w:color w:val="000000"/>
                <w:sz w:val="18"/>
                <w:szCs w:val="18"/>
              </w:rPr>
            </w:pPr>
            <w:r w:rsidRPr="00460BF9">
              <w:rPr>
                <w:b/>
                <w:bCs/>
                <w:color w:val="000000"/>
                <w:sz w:val="18"/>
                <w:szCs w:val="18"/>
              </w:rPr>
              <w:t>-2 231 794</w:t>
            </w:r>
          </w:p>
        </w:tc>
        <w:tc>
          <w:tcPr>
            <w:tcW w:w="1066" w:type="dxa"/>
            <w:tcBorders>
              <w:top w:val="nil"/>
              <w:left w:val="nil"/>
              <w:bottom w:val="single" w:sz="4" w:space="0" w:color="auto"/>
              <w:right w:val="single" w:sz="4" w:space="0" w:color="auto"/>
            </w:tcBorders>
            <w:vAlign w:val="center"/>
            <w:hideMark/>
          </w:tcPr>
          <w:p w14:paraId="3AEA6D42" w14:textId="77777777" w:rsidR="004E61CB" w:rsidRPr="00460BF9" w:rsidRDefault="004E61CB" w:rsidP="004E61CB">
            <w:pPr>
              <w:jc w:val="center"/>
              <w:rPr>
                <w:b/>
                <w:bCs/>
                <w:color w:val="000000"/>
                <w:sz w:val="18"/>
                <w:szCs w:val="18"/>
              </w:rPr>
            </w:pPr>
            <w:r w:rsidRPr="00460BF9">
              <w:rPr>
                <w:b/>
                <w:bCs/>
                <w:color w:val="000000"/>
                <w:sz w:val="18"/>
                <w:szCs w:val="18"/>
              </w:rPr>
              <w:t>365 256</w:t>
            </w:r>
          </w:p>
        </w:tc>
        <w:tc>
          <w:tcPr>
            <w:tcW w:w="1066" w:type="dxa"/>
            <w:tcBorders>
              <w:top w:val="nil"/>
              <w:left w:val="nil"/>
              <w:bottom w:val="single" w:sz="4" w:space="0" w:color="auto"/>
              <w:right w:val="single" w:sz="4" w:space="0" w:color="auto"/>
            </w:tcBorders>
            <w:vAlign w:val="center"/>
            <w:hideMark/>
          </w:tcPr>
          <w:p w14:paraId="4E6E5850" w14:textId="77777777" w:rsidR="004E61CB" w:rsidRPr="00460BF9" w:rsidRDefault="004E61CB" w:rsidP="004E61CB">
            <w:pPr>
              <w:jc w:val="center"/>
              <w:rPr>
                <w:b/>
                <w:bCs/>
                <w:color w:val="000000"/>
                <w:sz w:val="18"/>
                <w:szCs w:val="18"/>
              </w:rPr>
            </w:pPr>
            <w:r w:rsidRPr="00460BF9">
              <w:rPr>
                <w:b/>
                <w:bCs/>
                <w:color w:val="000000"/>
                <w:sz w:val="18"/>
                <w:szCs w:val="18"/>
              </w:rPr>
              <w:t>2 678 403</w:t>
            </w:r>
          </w:p>
        </w:tc>
        <w:tc>
          <w:tcPr>
            <w:tcW w:w="1066" w:type="dxa"/>
            <w:tcBorders>
              <w:top w:val="nil"/>
              <w:left w:val="nil"/>
              <w:bottom w:val="single" w:sz="4" w:space="0" w:color="auto"/>
              <w:right w:val="single" w:sz="4" w:space="0" w:color="auto"/>
            </w:tcBorders>
            <w:vAlign w:val="center"/>
            <w:hideMark/>
          </w:tcPr>
          <w:p w14:paraId="7A3EDF02" w14:textId="77777777" w:rsidR="004E61CB" w:rsidRPr="00460BF9" w:rsidRDefault="004E61CB" w:rsidP="004E61CB">
            <w:pPr>
              <w:jc w:val="center"/>
              <w:rPr>
                <w:b/>
                <w:bCs/>
                <w:color w:val="000000"/>
                <w:sz w:val="18"/>
                <w:szCs w:val="18"/>
              </w:rPr>
            </w:pPr>
            <w:r w:rsidRPr="00460BF9">
              <w:rPr>
                <w:b/>
                <w:bCs/>
                <w:color w:val="000000"/>
                <w:sz w:val="18"/>
                <w:szCs w:val="18"/>
              </w:rPr>
              <w:t>824 543</w:t>
            </w:r>
          </w:p>
        </w:tc>
        <w:tc>
          <w:tcPr>
            <w:tcW w:w="1057" w:type="dxa"/>
            <w:tcBorders>
              <w:top w:val="nil"/>
              <w:left w:val="nil"/>
              <w:bottom w:val="single" w:sz="4" w:space="0" w:color="auto"/>
              <w:right w:val="single" w:sz="4" w:space="0" w:color="auto"/>
            </w:tcBorders>
            <w:vAlign w:val="center"/>
            <w:hideMark/>
          </w:tcPr>
          <w:p w14:paraId="58FE49C9" w14:textId="0EA54B18" w:rsidR="004E61CB" w:rsidRPr="00460BF9" w:rsidRDefault="004E61CB" w:rsidP="004E61CB">
            <w:pPr>
              <w:jc w:val="center"/>
              <w:rPr>
                <w:b/>
                <w:bCs/>
                <w:color w:val="000000"/>
                <w:sz w:val="18"/>
                <w:szCs w:val="18"/>
              </w:rPr>
            </w:pPr>
            <w:r w:rsidRPr="00D422DB">
              <w:rPr>
                <w:b/>
                <w:bCs/>
                <w:color w:val="000000"/>
                <w:sz w:val="20"/>
                <w:szCs w:val="20"/>
              </w:rPr>
              <w:t>-3 747 785</w:t>
            </w:r>
          </w:p>
        </w:tc>
        <w:tc>
          <w:tcPr>
            <w:tcW w:w="1057" w:type="dxa"/>
            <w:tcBorders>
              <w:top w:val="nil"/>
              <w:left w:val="nil"/>
              <w:bottom w:val="single" w:sz="4" w:space="0" w:color="auto"/>
              <w:right w:val="single" w:sz="4" w:space="0" w:color="auto"/>
            </w:tcBorders>
            <w:vAlign w:val="center"/>
            <w:hideMark/>
          </w:tcPr>
          <w:p w14:paraId="2E6179D0" w14:textId="77777777" w:rsidR="004E61CB" w:rsidRPr="00460BF9" w:rsidRDefault="004E61CB" w:rsidP="004E61CB">
            <w:pPr>
              <w:jc w:val="center"/>
              <w:rPr>
                <w:b/>
                <w:bCs/>
                <w:color w:val="000000"/>
                <w:sz w:val="18"/>
                <w:szCs w:val="18"/>
              </w:rPr>
            </w:pPr>
            <w:r w:rsidRPr="00460BF9">
              <w:rPr>
                <w:b/>
                <w:bCs/>
                <w:color w:val="000000"/>
                <w:sz w:val="18"/>
                <w:szCs w:val="18"/>
              </w:rPr>
              <w:t>-9 191 281</w:t>
            </w:r>
          </w:p>
        </w:tc>
      </w:tr>
    </w:tbl>
    <w:p w14:paraId="464D0956" w14:textId="2392B607" w:rsidR="00C90685" w:rsidRDefault="00C90685" w:rsidP="00460BF9">
      <w:pPr>
        <w:jc w:val="both"/>
        <w:rPr>
          <w:color w:val="000000" w:themeColor="text1"/>
          <w:sz w:val="20"/>
          <w:szCs w:val="20"/>
        </w:rPr>
      </w:pPr>
      <w:r w:rsidRPr="00460BF9">
        <w:rPr>
          <w:color w:val="000000" w:themeColor="text1"/>
          <w:sz w:val="20"/>
          <w:szCs w:val="20"/>
        </w:rPr>
        <w:t xml:space="preserve">Piezīme: 2025.gada plānotie nesegtie zaudējumi tiek kompensēti saskaņā ar atsevišķos sabiedriskā transporta pakalpojumu līgumos uzkrātajām pārmaksām no iepriekšējiem periodiem. </w:t>
      </w:r>
    </w:p>
    <w:p w14:paraId="17A2E22E" w14:textId="293E22EF" w:rsidR="005E6011" w:rsidRDefault="005E6011" w:rsidP="00607E07"/>
    <w:p w14:paraId="2178E1D9" w14:textId="77777777" w:rsidR="00AE6710" w:rsidRPr="00AE6710" w:rsidRDefault="00AE6710" w:rsidP="00AE6710">
      <w:pPr>
        <w:ind w:firstLine="709"/>
        <w:jc w:val="both"/>
        <w:rPr>
          <w:color w:val="000000" w:themeColor="text1"/>
        </w:rPr>
      </w:pPr>
    </w:p>
    <w:p w14:paraId="5ECBBB40" w14:textId="77777777" w:rsidR="00AE6710" w:rsidRPr="00AE6710" w:rsidRDefault="00AE6710" w:rsidP="00AE6710">
      <w:pPr>
        <w:ind w:firstLine="709"/>
        <w:jc w:val="both"/>
        <w:rPr>
          <w:b/>
          <w:bCs/>
          <w:color w:val="000000" w:themeColor="text1"/>
        </w:rPr>
      </w:pPr>
      <w:r w:rsidRPr="00AE6710">
        <w:rPr>
          <w:b/>
          <w:bCs/>
          <w:color w:val="000000" w:themeColor="text1"/>
        </w:rPr>
        <w:t>Pārejas posms</w:t>
      </w:r>
    </w:p>
    <w:p w14:paraId="19E50265" w14:textId="639ACA5B" w:rsidR="00F518A4" w:rsidRDefault="00F518A4" w:rsidP="00585AC7">
      <w:pPr>
        <w:ind w:firstLine="709"/>
        <w:jc w:val="both"/>
        <w:rPr>
          <w:color w:val="000000" w:themeColor="text1"/>
        </w:rPr>
      </w:pPr>
      <w:r>
        <w:rPr>
          <w:color w:val="000000" w:themeColor="text1"/>
        </w:rPr>
        <w:t>2026.</w:t>
      </w:r>
      <w:r w:rsidR="00674636">
        <w:rPr>
          <w:color w:val="000000" w:themeColor="text1"/>
        </w:rPr>
        <w:t xml:space="preserve"> </w:t>
      </w:r>
      <w:r>
        <w:rPr>
          <w:color w:val="000000" w:themeColor="text1"/>
        </w:rPr>
        <w:t xml:space="preserve">gads ir vērtējams arī kā pārejas posms, lai turpmāk reģionālās nozīmes </w:t>
      </w:r>
      <w:r w:rsidR="0059754E">
        <w:rPr>
          <w:color w:val="000000" w:themeColor="text1"/>
        </w:rPr>
        <w:t xml:space="preserve">sabiedriskā transporta </w:t>
      </w:r>
      <w:r>
        <w:rPr>
          <w:color w:val="000000" w:themeColor="text1"/>
        </w:rPr>
        <w:t xml:space="preserve">pārvadājumu maršrutu tīklā īstenotu atsevišķus risinājumus, </w:t>
      </w:r>
      <w:r w:rsidR="00C03D99">
        <w:rPr>
          <w:color w:val="000000" w:themeColor="text1"/>
        </w:rPr>
        <w:t>ar kuriem tiktu</w:t>
      </w:r>
      <w:r>
        <w:rPr>
          <w:color w:val="000000" w:themeColor="text1"/>
        </w:rPr>
        <w:t xml:space="preserve"> pārskatīt</w:t>
      </w:r>
      <w:r w:rsidR="00667C8E">
        <w:rPr>
          <w:color w:val="000000" w:themeColor="text1"/>
        </w:rPr>
        <w:t>i</w:t>
      </w:r>
      <w:r>
        <w:rPr>
          <w:color w:val="000000" w:themeColor="text1"/>
        </w:rPr>
        <w:t xml:space="preserve"> pārvadājumu organizēšanas princip</w:t>
      </w:r>
      <w:r w:rsidR="00667C8E">
        <w:rPr>
          <w:color w:val="000000" w:themeColor="text1"/>
        </w:rPr>
        <w:t>i</w:t>
      </w:r>
      <w:r>
        <w:rPr>
          <w:color w:val="000000" w:themeColor="text1"/>
        </w:rPr>
        <w:t xml:space="preserve"> un nodrošināt</w:t>
      </w:r>
      <w:r w:rsidR="00667C8E">
        <w:rPr>
          <w:color w:val="000000" w:themeColor="text1"/>
        </w:rPr>
        <w:t>i</w:t>
      </w:r>
      <w:r>
        <w:rPr>
          <w:color w:val="000000" w:themeColor="text1"/>
        </w:rPr>
        <w:t xml:space="preserve"> pārvadājum</w:t>
      </w:r>
      <w:r w:rsidR="00667C8E">
        <w:rPr>
          <w:color w:val="000000" w:themeColor="text1"/>
        </w:rPr>
        <w:t>i</w:t>
      </w:r>
      <w:r>
        <w:rPr>
          <w:color w:val="000000" w:themeColor="text1"/>
        </w:rPr>
        <w:t xml:space="preserve"> sevišķi mazapdzīvotās vietās, nesamazinot iedzīvotājiem mobilitātes iespējas.</w:t>
      </w:r>
    </w:p>
    <w:p w14:paraId="45FC53AC" w14:textId="77777777" w:rsidR="003947CC" w:rsidRDefault="00AE6710" w:rsidP="00585AC7">
      <w:pPr>
        <w:ind w:firstLine="709"/>
        <w:jc w:val="both"/>
        <w:rPr>
          <w:color w:val="000000" w:themeColor="text1"/>
        </w:rPr>
      </w:pPr>
      <w:r w:rsidRPr="00AE6710">
        <w:rPr>
          <w:color w:val="000000" w:themeColor="text1"/>
        </w:rPr>
        <w:t>Finanšu ministrijas vadīt</w:t>
      </w:r>
      <w:r w:rsidR="001B431F">
        <w:rPr>
          <w:color w:val="000000" w:themeColor="text1"/>
        </w:rPr>
        <w:t>a</w:t>
      </w:r>
      <w:r w:rsidRPr="00AE6710">
        <w:rPr>
          <w:color w:val="000000" w:themeColor="text1"/>
        </w:rPr>
        <w:t>jā Eiropas Savienības fondu tematisk</w:t>
      </w:r>
      <w:r w:rsidR="00C109BC">
        <w:rPr>
          <w:color w:val="000000" w:themeColor="text1"/>
        </w:rPr>
        <w:t>aj</w:t>
      </w:r>
      <w:r w:rsidRPr="00AE6710">
        <w:rPr>
          <w:color w:val="000000" w:themeColor="text1"/>
        </w:rPr>
        <w:t>ā komitejā</w:t>
      </w:r>
      <w:r w:rsidR="00C109BC">
        <w:rPr>
          <w:color w:val="000000" w:themeColor="text1"/>
        </w:rPr>
        <w:t xml:space="preserve"> </w:t>
      </w:r>
      <w:r w:rsidR="00C109BC" w:rsidRPr="00AE6710">
        <w:rPr>
          <w:color w:val="000000" w:themeColor="text1"/>
        </w:rPr>
        <w:t>2025. gada 28. novembr</w:t>
      </w:r>
      <w:r w:rsidR="00C109BC">
        <w:rPr>
          <w:color w:val="000000" w:themeColor="text1"/>
        </w:rPr>
        <w:t xml:space="preserve">ī tika </w:t>
      </w:r>
      <w:r w:rsidRPr="00AE6710">
        <w:rPr>
          <w:color w:val="000000" w:themeColor="text1"/>
        </w:rPr>
        <w:t xml:space="preserve">izskatīts jautājums par </w:t>
      </w:r>
      <w:r w:rsidR="00C109BC" w:rsidRPr="00C109BC">
        <w:rPr>
          <w:color w:val="000000" w:themeColor="text1"/>
        </w:rPr>
        <w:t>Eiropas Savienības</w:t>
      </w:r>
      <w:r w:rsidRPr="00AE6710">
        <w:rPr>
          <w:color w:val="000000" w:themeColor="text1"/>
        </w:rPr>
        <w:t xml:space="preserve"> kohēzijas politikas programmas 2021.–2027.gadam un Atveseļošanas fonda plāna investīciju aktualitāt</w:t>
      </w:r>
      <w:r w:rsidR="00C95DE6">
        <w:rPr>
          <w:color w:val="000000" w:themeColor="text1"/>
        </w:rPr>
        <w:t>ēm</w:t>
      </w:r>
      <w:r w:rsidRPr="00AE6710">
        <w:rPr>
          <w:color w:val="000000" w:themeColor="text1"/>
        </w:rPr>
        <w:t xml:space="preserve">, </w:t>
      </w:r>
      <w:r w:rsidR="00372FDD">
        <w:rPr>
          <w:color w:val="000000" w:themeColor="text1"/>
        </w:rPr>
        <w:t xml:space="preserve">to </w:t>
      </w:r>
      <w:r w:rsidRPr="00AE6710">
        <w:rPr>
          <w:color w:val="000000" w:themeColor="text1"/>
        </w:rPr>
        <w:t xml:space="preserve">ieviešanas progress, t.sk. iespējamās pārdales, kurā atbalstīts veikt līdzekļu pārdali, lai realizētu sabiedriskā transporta </w:t>
      </w:r>
      <w:proofErr w:type="spellStart"/>
      <w:r w:rsidRPr="00AE6710">
        <w:rPr>
          <w:color w:val="000000" w:themeColor="text1"/>
        </w:rPr>
        <w:t>digitalizācijas</w:t>
      </w:r>
      <w:proofErr w:type="spellEnd"/>
      <w:r w:rsidRPr="00AE6710">
        <w:rPr>
          <w:color w:val="000000" w:themeColor="text1"/>
        </w:rPr>
        <w:t xml:space="preserve"> procesu, jau no 2026. gada sākuma.</w:t>
      </w:r>
    </w:p>
    <w:p w14:paraId="5877D637" w14:textId="77777777" w:rsidR="003947CC" w:rsidRPr="003947CC" w:rsidRDefault="003947CC" w:rsidP="003947CC">
      <w:pPr>
        <w:ind w:firstLine="709"/>
        <w:jc w:val="both"/>
        <w:rPr>
          <w:color w:val="000000" w:themeColor="text1"/>
        </w:rPr>
      </w:pPr>
    </w:p>
    <w:p w14:paraId="0861D91F" w14:textId="20DE6A17" w:rsidR="003947CC" w:rsidRPr="003947CC" w:rsidRDefault="003947CC" w:rsidP="003947CC">
      <w:pPr>
        <w:ind w:firstLine="709"/>
        <w:jc w:val="both"/>
        <w:rPr>
          <w:color w:val="000000" w:themeColor="text1"/>
        </w:rPr>
      </w:pPr>
      <w:r w:rsidRPr="003947CC">
        <w:rPr>
          <w:color w:val="000000" w:themeColor="text1"/>
        </w:rPr>
        <w:tab/>
        <w:t xml:space="preserve">Skaitītāju (SAM 2.3.1.2. pasākums) kopējās plānotās izmaksas 4 999 672 </w:t>
      </w:r>
      <w:proofErr w:type="spellStart"/>
      <w:r w:rsidR="005A6017" w:rsidRPr="005A6017">
        <w:rPr>
          <w:i/>
          <w:iCs/>
          <w:color w:val="000000" w:themeColor="text1"/>
        </w:rPr>
        <w:t>euro</w:t>
      </w:r>
      <w:proofErr w:type="spellEnd"/>
      <w:r w:rsidRPr="003947CC">
        <w:rPr>
          <w:color w:val="000000" w:themeColor="text1"/>
        </w:rPr>
        <w:t>, kas sadalās:</w:t>
      </w:r>
    </w:p>
    <w:p w14:paraId="2CD32546" w14:textId="737D0608" w:rsidR="003947CC" w:rsidRPr="003947CC" w:rsidRDefault="003947CC" w:rsidP="003947CC">
      <w:pPr>
        <w:ind w:firstLine="709"/>
        <w:jc w:val="both"/>
        <w:rPr>
          <w:color w:val="000000" w:themeColor="text1"/>
        </w:rPr>
      </w:pPr>
      <w:r w:rsidRPr="003947CC">
        <w:rPr>
          <w:color w:val="000000" w:themeColor="text1"/>
        </w:rPr>
        <w:t>a.</w:t>
      </w:r>
      <w:r w:rsidRPr="003947CC">
        <w:rPr>
          <w:color w:val="000000" w:themeColor="text1"/>
        </w:rPr>
        <w:tab/>
        <w:t xml:space="preserve">Skaitītāji, datu nodošana, tehniskais atbalsts un 5 gadus garantija 3 817 180 </w:t>
      </w:r>
      <w:proofErr w:type="spellStart"/>
      <w:r w:rsidR="005A6017" w:rsidRPr="005A6017">
        <w:rPr>
          <w:i/>
          <w:iCs/>
          <w:color w:val="000000" w:themeColor="text1"/>
        </w:rPr>
        <w:t>euro</w:t>
      </w:r>
      <w:proofErr w:type="spellEnd"/>
    </w:p>
    <w:p w14:paraId="3B49ABF2" w14:textId="0060358B" w:rsidR="003947CC" w:rsidRPr="003947CC" w:rsidRDefault="003947CC" w:rsidP="003947CC">
      <w:pPr>
        <w:ind w:firstLine="709"/>
        <w:jc w:val="both"/>
        <w:rPr>
          <w:color w:val="000000" w:themeColor="text1"/>
        </w:rPr>
      </w:pPr>
      <w:r w:rsidRPr="003947CC">
        <w:rPr>
          <w:color w:val="000000" w:themeColor="text1"/>
        </w:rPr>
        <w:t>b.</w:t>
      </w:r>
      <w:r w:rsidRPr="003947CC">
        <w:rPr>
          <w:color w:val="000000" w:themeColor="text1"/>
        </w:rPr>
        <w:tab/>
        <w:t xml:space="preserve">Datu atspoguļošanas monitoringa IS 841 873 </w:t>
      </w:r>
      <w:proofErr w:type="spellStart"/>
      <w:r w:rsidR="005A6017" w:rsidRPr="005A6017">
        <w:rPr>
          <w:i/>
          <w:iCs/>
          <w:color w:val="000000" w:themeColor="text1"/>
        </w:rPr>
        <w:t>euro</w:t>
      </w:r>
      <w:proofErr w:type="spellEnd"/>
    </w:p>
    <w:p w14:paraId="145641A0" w14:textId="4C73FCE2" w:rsidR="003947CC" w:rsidRPr="003947CC" w:rsidRDefault="003947CC" w:rsidP="003947CC">
      <w:pPr>
        <w:ind w:firstLine="709"/>
        <w:jc w:val="both"/>
        <w:rPr>
          <w:color w:val="000000" w:themeColor="text1"/>
        </w:rPr>
      </w:pPr>
      <w:r w:rsidRPr="003947CC">
        <w:rPr>
          <w:color w:val="000000" w:themeColor="text1"/>
        </w:rPr>
        <w:t>c.</w:t>
      </w:r>
      <w:r w:rsidRPr="003947CC">
        <w:rPr>
          <w:color w:val="000000" w:themeColor="text1"/>
        </w:rPr>
        <w:tab/>
        <w:t xml:space="preserve">Ar ieviešanu saistītas izmaksas (personāls, dokumentācijas izstrādes izmaksas, netiešās izmaksas) 340 619 </w:t>
      </w:r>
      <w:proofErr w:type="spellStart"/>
      <w:r w:rsidR="005A6017" w:rsidRPr="005A6017">
        <w:rPr>
          <w:i/>
          <w:iCs/>
          <w:color w:val="000000" w:themeColor="text1"/>
        </w:rPr>
        <w:t>euro</w:t>
      </w:r>
      <w:proofErr w:type="spellEnd"/>
    </w:p>
    <w:p w14:paraId="4C206161" w14:textId="77777777" w:rsidR="003947CC" w:rsidRPr="003947CC" w:rsidRDefault="003947CC" w:rsidP="003947CC">
      <w:pPr>
        <w:ind w:firstLine="709"/>
        <w:jc w:val="both"/>
        <w:rPr>
          <w:color w:val="000000" w:themeColor="text1"/>
        </w:rPr>
      </w:pPr>
    </w:p>
    <w:p w14:paraId="3FA44AAC" w14:textId="77777777" w:rsidR="003947CC" w:rsidRDefault="00AE6710" w:rsidP="00585AC7">
      <w:pPr>
        <w:ind w:firstLine="709"/>
        <w:jc w:val="both"/>
        <w:rPr>
          <w:color w:val="000000" w:themeColor="text1"/>
        </w:rPr>
      </w:pPr>
      <w:r w:rsidRPr="00AE6710">
        <w:rPr>
          <w:color w:val="000000" w:themeColor="text1"/>
        </w:rPr>
        <w:t xml:space="preserve"> </w:t>
      </w:r>
      <w:r w:rsidR="00284B82" w:rsidRPr="00284B82">
        <w:rPr>
          <w:color w:val="000000" w:themeColor="text1"/>
        </w:rPr>
        <w:t>Pirm</w:t>
      </w:r>
      <w:r w:rsidR="006009E7">
        <w:rPr>
          <w:color w:val="000000" w:themeColor="text1"/>
        </w:rPr>
        <w:t>aj</w:t>
      </w:r>
      <w:r w:rsidR="00284B82" w:rsidRPr="00284B82">
        <w:rPr>
          <w:color w:val="000000" w:themeColor="text1"/>
        </w:rPr>
        <w:t>os divos no</w:t>
      </w:r>
      <w:r w:rsidR="006009E7">
        <w:rPr>
          <w:color w:val="000000" w:themeColor="text1"/>
        </w:rPr>
        <w:t xml:space="preserve"> kopumā</w:t>
      </w:r>
      <w:r w:rsidR="00284B82" w:rsidRPr="00284B82">
        <w:rPr>
          <w:color w:val="000000" w:themeColor="text1"/>
        </w:rPr>
        <w:t xml:space="preserve"> pieciem </w:t>
      </w:r>
      <w:r w:rsidR="00AE7050">
        <w:rPr>
          <w:color w:val="000000" w:themeColor="text1"/>
        </w:rPr>
        <w:t xml:space="preserve">(skat. 2.attēlu) </w:t>
      </w:r>
      <w:r w:rsidR="00284B82" w:rsidRPr="00284B82">
        <w:rPr>
          <w:color w:val="000000" w:themeColor="text1"/>
        </w:rPr>
        <w:t>sabiedriskā transporta digitāl</w:t>
      </w:r>
      <w:r w:rsidR="006009E7">
        <w:rPr>
          <w:color w:val="000000" w:themeColor="text1"/>
        </w:rPr>
        <w:t>ās</w:t>
      </w:r>
      <w:r w:rsidR="00284B82" w:rsidRPr="00284B82">
        <w:rPr>
          <w:color w:val="000000" w:themeColor="text1"/>
        </w:rPr>
        <w:t xml:space="preserve"> ekosistēm</w:t>
      </w:r>
      <w:r w:rsidR="006009E7">
        <w:rPr>
          <w:color w:val="000000" w:themeColor="text1"/>
        </w:rPr>
        <w:t>as blokiem</w:t>
      </w:r>
      <w:r w:rsidR="00284B82" w:rsidRPr="00284B82">
        <w:rPr>
          <w:color w:val="000000" w:themeColor="text1"/>
        </w:rPr>
        <w:t xml:space="preserve"> ir plānots veikt būtiskus uzlabojumus sabiedriskā transporta plānošanā. Pirmais </w:t>
      </w:r>
      <w:r w:rsidR="00BE419F">
        <w:rPr>
          <w:color w:val="000000" w:themeColor="text1"/>
        </w:rPr>
        <w:t xml:space="preserve">bloks </w:t>
      </w:r>
      <w:r w:rsidR="00284B82" w:rsidRPr="00284B82">
        <w:rPr>
          <w:color w:val="000000" w:themeColor="text1"/>
        </w:rPr>
        <w:t>– iegādājoties sabiedriskā transporta plānošanas rīku</w:t>
      </w:r>
      <w:r w:rsidR="003947CC">
        <w:rPr>
          <w:color w:val="000000" w:themeColor="text1"/>
        </w:rPr>
        <w:t>:</w:t>
      </w:r>
    </w:p>
    <w:p w14:paraId="605EB53C" w14:textId="1616A04B" w:rsidR="003947CC" w:rsidRPr="00203E2C" w:rsidRDefault="003947CC" w:rsidP="003947CC">
      <w:pPr>
        <w:pStyle w:val="ListParagraph"/>
        <w:numPr>
          <w:ilvl w:val="0"/>
          <w:numId w:val="22"/>
        </w:numPr>
        <w:ind w:left="1134"/>
        <w:jc w:val="both"/>
        <w:rPr>
          <w:color w:val="000000" w:themeColor="text1"/>
        </w:rPr>
      </w:pPr>
      <w:r w:rsidRPr="00203E2C">
        <w:rPr>
          <w:color w:val="000000" w:themeColor="text1"/>
        </w:rPr>
        <w:t>Maršruta plānotājs (SAM 1.3.1.1. pasākums)</w:t>
      </w:r>
      <w:r w:rsidR="00203E2C" w:rsidRPr="00D422DB">
        <w:rPr>
          <w:color w:val="000000" w:themeColor="text1"/>
        </w:rPr>
        <w:t xml:space="preserve"> </w:t>
      </w:r>
      <w:r w:rsidRPr="00203E2C">
        <w:rPr>
          <w:color w:val="000000" w:themeColor="text1"/>
        </w:rPr>
        <w:t xml:space="preserve">1 959 984 </w:t>
      </w:r>
      <w:proofErr w:type="spellStart"/>
      <w:r w:rsidR="005A6017" w:rsidRPr="005A6017">
        <w:rPr>
          <w:i/>
          <w:iCs/>
          <w:color w:val="000000" w:themeColor="text1"/>
        </w:rPr>
        <w:t>euro</w:t>
      </w:r>
      <w:proofErr w:type="spellEnd"/>
      <w:r w:rsidRPr="00203E2C">
        <w:rPr>
          <w:color w:val="000000" w:themeColor="text1"/>
        </w:rPr>
        <w:t>, kas sadalās:</w:t>
      </w:r>
    </w:p>
    <w:p w14:paraId="2C5BB017" w14:textId="6BE5A04F" w:rsidR="003947CC" w:rsidRPr="00203E2C" w:rsidRDefault="003947CC" w:rsidP="003947CC">
      <w:pPr>
        <w:pStyle w:val="ListParagraph"/>
        <w:ind w:left="1429"/>
        <w:jc w:val="both"/>
        <w:rPr>
          <w:color w:val="000000" w:themeColor="text1"/>
        </w:rPr>
      </w:pPr>
      <w:r w:rsidRPr="00203E2C">
        <w:rPr>
          <w:color w:val="000000" w:themeColor="text1"/>
        </w:rPr>
        <w:t>a.</w:t>
      </w:r>
      <w:r w:rsidRPr="00203E2C">
        <w:rPr>
          <w:color w:val="000000" w:themeColor="text1"/>
        </w:rPr>
        <w:tab/>
        <w:t xml:space="preserve">Maršruta plānošanas rīks 1 730 284 </w:t>
      </w:r>
      <w:proofErr w:type="spellStart"/>
      <w:r w:rsidR="005A6017" w:rsidRPr="005A6017">
        <w:rPr>
          <w:i/>
          <w:iCs/>
          <w:color w:val="000000" w:themeColor="text1"/>
        </w:rPr>
        <w:t>euro</w:t>
      </w:r>
      <w:proofErr w:type="spellEnd"/>
    </w:p>
    <w:p w14:paraId="547F2E68" w14:textId="3E83EEC6" w:rsidR="003947CC" w:rsidRPr="003947CC" w:rsidRDefault="003947CC" w:rsidP="003947CC">
      <w:pPr>
        <w:pStyle w:val="ListParagraph"/>
        <w:ind w:left="1429"/>
        <w:jc w:val="both"/>
        <w:rPr>
          <w:color w:val="000000" w:themeColor="text1"/>
        </w:rPr>
      </w:pPr>
      <w:r w:rsidRPr="00203E2C">
        <w:rPr>
          <w:color w:val="000000" w:themeColor="text1"/>
        </w:rPr>
        <w:t>b.</w:t>
      </w:r>
      <w:r w:rsidRPr="00203E2C">
        <w:rPr>
          <w:color w:val="000000" w:themeColor="text1"/>
        </w:rPr>
        <w:tab/>
        <w:t xml:space="preserve">Ar ieviešanu saistītas izmaksas (personāls, apmācības, testēšana, kvalitātes kontroles izmaksas, netiešās izmaksas) 229 700 </w:t>
      </w:r>
      <w:proofErr w:type="spellStart"/>
      <w:r w:rsidR="005A6017" w:rsidRPr="005A6017">
        <w:rPr>
          <w:i/>
          <w:iCs/>
          <w:color w:val="000000" w:themeColor="text1"/>
        </w:rPr>
        <w:t>euro</w:t>
      </w:r>
      <w:proofErr w:type="spellEnd"/>
    </w:p>
    <w:p w14:paraId="48DB7D76" w14:textId="16736D9D" w:rsidR="00AE6710" w:rsidRPr="00AE6710" w:rsidRDefault="00284B82" w:rsidP="00585AC7">
      <w:pPr>
        <w:ind w:firstLine="709"/>
        <w:jc w:val="both"/>
        <w:rPr>
          <w:color w:val="000000" w:themeColor="text1"/>
        </w:rPr>
      </w:pPr>
      <w:r w:rsidRPr="00284B82">
        <w:rPr>
          <w:color w:val="000000" w:themeColor="text1"/>
        </w:rPr>
        <w:t>ar kura palīdzību iespējams plānot maršrutus efektīvāk:</w:t>
      </w:r>
    </w:p>
    <w:p w14:paraId="2768F155" w14:textId="00662713" w:rsidR="00AE6710" w:rsidRPr="00AE6710" w:rsidRDefault="00585AC7" w:rsidP="00585AC7">
      <w:pPr>
        <w:numPr>
          <w:ilvl w:val="0"/>
          <w:numId w:val="22"/>
        </w:numPr>
        <w:ind w:left="993" w:hanging="284"/>
        <w:contextualSpacing/>
        <w:jc w:val="both"/>
        <w:rPr>
          <w:color w:val="000000" w:themeColor="text1"/>
          <w:kern w:val="2"/>
          <w14:ligatures w14:val="standardContextual"/>
        </w:rPr>
      </w:pPr>
      <w:r>
        <w:rPr>
          <w:color w:val="000000" w:themeColor="text1"/>
          <w:kern w:val="2"/>
          <w14:ligatures w14:val="standardContextual"/>
        </w:rPr>
        <w:t>p</w:t>
      </w:r>
      <w:r w:rsidR="00AE6710" w:rsidRPr="00AE6710">
        <w:rPr>
          <w:color w:val="000000" w:themeColor="text1"/>
          <w:kern w:val="2"/>
          <w14:ligatures w14:val="standardContextual"/>
        </w:rPr>
        <w:t xml:space="preserve">alīdz plānot transportu, ņemot vērā </w:t>
      </w:r>
      <w:r w:rsidR="00380D7A">
        <w:rPr>
          <w:color w:val="000000" w:themeColor="text1"/>
          <w:kern w:val="2"/>
          <w14:ligatures w14:val="standardContextual"/>
        </w:rPr>
        <w:t xml:space="preserve">iedzīvotāju faktisko </w:t>
      </w:r>
      <w:r w:rsidR="00AE6710" w:rsidRPr="00AE6710">
        <w:rPr>
          <w:color w:val="000000" w:themeColor="text1"/>
          <w:kern w:val="2"/>
          <w14:ligatures w14:val="standardContextual"/>
        </w:rPr>
        <w:t>dzīv</w:t>
      </w:r>
      <w:r w:rsidR="00380D7A">
        <w:rPr>
          <w:color w:val="000000" w:themeColor="text1"/>
          <w:kern w:val="2"/>
          <w14:ligatures w14:val="standardContextual"/>
        </w:rPr>
        <w:t>esvietu</w:t>
      </w:r>
      <w:r w:rsidR="00AE6710" w:rsidRPr="00AE6710">
        <w:rPr>
          <w:color w:val="000000" w:themeColor="text1"/>
          <w:kern w:val="2"/>
          <w14:ligatures w14:val="standardContextual"/>
        </w:rPr>
        <w:t>, darba vietu, sociāl</w:t>
      </w:r>
      <w:r w:rsidR="00E2298B">
        <w:rPr>
          <w:color w:val="000000" w:themeColor="text1"/>
          <w:kern w:val="2"/>
          <w14:ligatures w14:val="standardContextual"/>
        </w:rPr>
        <w:t>o</w:t>
      </w:r>
      <w:r w:rsidR="00AE6710" w:rsidRPr="00AE6710">
        <w:rPr>
          <w:color w:val="000000" w:themeColor="text1"/>
          <w:kern w:val="2"/>
          <w14:ligatures w14:val="standardContextual"/>
        </w:rPr>
        <w:t xml:space="preserve"> pakalpojumu sniegšanas atrašanās vietas — tā var labāk nodrošināt sabiedrisko transportu tur, kur tas visvairāk nepieciešams;</w:t>
      </w:r>
    </w:p>
    <w:p w14:paraId="7FFF1F12" w14:textId="75598780" w:rsidR="00AE6710" w:rsidRPr="00AE6710" w:rsidRDefault="00585AC7" w:rsidP="00585AC7">
      <w:pPr>
        <w:numPr>
          <w:ilvl w:val="0"/>
          <w:numId w:val="22"/>
        </w:numPr>
        <w:ind w:left="993" w:hanging="284"/>
        <w:contextualSpacing/>
        <w:jc w:val="both"/>
        <w:rPr>
          <w:color w:val="000000" w:themeColor="text1"/>
          <w:kern w:val="2"/>
          <w14:ligatures w14:val="standardContextual"/>
        </w:rPr>
      </w:pPr>
      <w:r>
        <w:rPr>
          <w:color w:val="000000" w:themeColor="text1"/>
          <w:kern w:val="2"/>
          <w14:ligatures w14:val="standardContextual"/>
        </w:rPr>
        <w:t>a</w:t>
      </w:r>
      <w:r w:rsidR="00AE6710" w:rsidRPr="00AE6710">
        <w:rPr>
          <w:color w:val="000000" w:themeColor="text1"/>
          <w:kern w:val="2"/>
          <w14:ligatures w14:val="standardContextual"/>
        </w:rPr>
        <w:t xml:space="preserve">tvieglo lēmumu pieņemšanu un sabiedrības iesaisti — labākas iespējas sabiedriskai konsultācijai, pārskatāmība un datu </w:t>
      </w:r>
      <w:proofErr w:type="spellStart"/>
      <w:r w:rsidR="00AE6710" w:rsidRPr="00AE6710">
        <w:rPr>
          <w:color w:val="000000" w:themeColor="text1"/>
          <w:kern w:val="2"/>
          <w14:ligatures w14:val="standardContextual"/>
        </w:rPr>
        <w:t>vizualizācija</w:t>
      </w:r>
      <w:proofErr w:type="spellEnd"/>
      <w:r w:rsidR="00AE6710" w:rsidRPr="00AE6710">
        <w:rPr>
          <w:color w:val="000000" w:themeColor="text1"/>
          <w:kern w:val="2"/>
          <w14:ligatures w14:val="standardContextual"/>
        </w:rPr>
        <w:t xml:space="preserve"> palīdz iegūt atbalstu;</w:t>
      </w:r>
    </w:p>
    <w:p w14:paraId="7957E388" w14:textId="2E4426F0" w:rsidR="00AE6710" w:rsidRPr="00AE6710" w:rsidRDefault="00585AC7" w:rsidP="00585AC7">
      <w:pPr>
        <w:numPr>
          <w:ilvl w:val="0"/>
          <w:numId w:val="22"/>
        </w:numPr>
        <w:ind w:left="993" w:hanging="284"/>
        <w:contextualSpacing/>
        <w:jc w:val="both"/>
        <w:rPr>
          <w:color w:val="000000" w:themeColor="text1"/>
          <w:kern w:val="2"/>
          <w14:ligatures w14:val="standardContextual"/>
        </w:rPr>
      </w:pPr>
      <w:r>
        <w:rPr>
          <w:color w:val="000000" w:themeColor="text1"/>
          <w:kern w:val="2"/>
          <w14:ligatures w14:val="standardContextual"/>
        </w:rPr>
        <w:t>p</w:t>
      </w:r>
      <w:r w:rsidR="00AE6710" w:rsidRPr="00AE6710">
        <w:rPr>
          <w:color w:val="000000" w:themeColor="text1"/>
          <w:kern w:val="2"/>
          <w14:ligatures w14:val="standardContextual"/>
        </w:rPr>
        <w:t>iemērots gan maziem, gan lieliem transporta tīkliem; ļauj ātri reaģēt uz pārmaiņām (jaunas apkaimes, demogrāfijas izmaiņas, transporta pieprasījuma izmaiņas u.c.);</w:t>
      </w:r>
    </w:p>
    <w:p w14:paraId="6E3D41B2" w14:textId="25E3B9FC" w:rsidR="00AE6710" w:rsidRDefault="00585AC7" w:rsidP="00585AC7">
      <w:pPr>
        <w:numPr>
          <w:ilvl w:val="0"/>
          <w:numId w:val="22"/>
        </w:numPr>
        <w:ind w:left="993" w:hanging="284"/>
        <w:contextualSpacing/>
        <w:jc w:val="both"/>
        <w:rPr>
          <w:color w:val="000000" w:themeColor="text1"/>
          <w:kern w:val="2"/>
          <w14:ligatures w14:val="standardContextual"/>
        </w:rPr>
      </w:pPr>
      <w:r>
        <w:rPr>
          <w:color w:val="000000" w:themeColor="text1"/>
          <w:kern w:val="2"/>
          <w14:ligatures w14:val="standardContextual"/>
        </w:rPr>
        <w:t>n</w:t>
      </w:r>
      <w:r w:rsidR="00AE6710" w:rsidRPr="00AE6710">
        <w:rPr>
          <w:color w:val="000000" w:themeColor="text1"/>
          <w:kern w:val="2"/>
          <w14:ligatures w14:val="standardContextual"/>
        </w:rPr>
        <w:t>odrošina skaidrus salīdzinājumus starp alternatīvām, kas palīdz izvēlēties optimālu risinājumu, nevis balstīties uz intuīciju vai pieņēmumiem</w:t>
      </w:r>
      <w:r>
        <w:rPr>
          <w:color w:val="000000" w:themeColor="text1"/>
          <w:kern w:val="2"/>
          <w14:ligatures w14:val="standardContextual"/>
        </w:rPr>
        <w:t>.</w:t>
      </w:r>
    </w:p>
    <w:p w14:paraId="03EA0BF9" w14:textId="77777777" w:rsidR="003947CC" w:rsidRPr="00AE6710" w:rsidRDefault="003947CC" w:rsidP="00D422DB">
      <w:pPr>
        <w:ind w:left="993"/>
        <w:contextualSpacing/>
        <w:jc w:val="both"/>
        <w:rPr>
          <w:color w:val="000000" w:themeColor="text1"/>
          <w:kern w:val="2"/>
          <w14:ligatures w14:val="standardContextual"/>
        </w:rPr>
      </w:pPr>
    </w:p>
    <w:p w14:paraId="1A16741E" w14:textId="77777777" w:rsidR="003947CC" w:rsidRDefault="00AE6710" w:rsidP="00AE6710">
      <w:pPr>
        <w:ind w:firstLine="709"/>
        <w:jc w:val="both"/>
        <w:rPr>
          <w:color w:val="000000" w:themeColor="text1"/>
        </w:rPr>
      </w:pPr>
      <w:r w:rsidRPr="00AE6710">
        <w:rPr>
          <w:color w:val="000000" w:themeColor="text1"/>
        </w:rPr>
        <w:t>Otrais</w:t>
      </w:r>
      <w:r w:rsidR="00BE419F">
        <w:rPr>
          <w:color w:val="000000" w:themeColor="text1"/>
        </w:rPr>
        <w:t xml:space="preserve"> bloks</w:t>
      </w:r>
      <w:r w:rsidRPr="00AE6710">
        <w:rPr>
          <w:color w:val="000000" w:themeColor="text1"/>
        </w:rPr>
        <w:t xml:space="preserve"> </w:t>
      </w:r>
      <w:r w:rsidR="0062658A" w:rsidRPr="00284B82">
        <w:rPr>
          <w:color w:val="000000" w:themeColor="text1"/>
        </w:rPr>
        <w:t xml:space="preserve">– </w:t>
      </w:r>
      <w:r w:rsidRPr="00AE6710">
        <w:rPr>
          <w:color w:val="000000" w:themeColor="text1"/>
        </w:rPr>
        <w:t>pasažieru skaitītāji</w:t>
      </w:r>
      <w:r w:rsidR="003947CC">
        <w:rPr>
          <w:color w:val="000000" w:themeColor="text1"/>
        </w:rPr>
        <w:t>:</w:t>
      </w:r>
    </w:p>
    <w:p w14:paraId="1AA7F35F" w14:textId="55C0BC18" w:rsidR="003947CC" w:rsidRPr="00D422DB" w:rsidRDefault="003947CC" w:rsidP="00D422DB">
      <w:pPr>
        <w:pStyle w:val="ListParagraph"/>
        <w:numPr>
          <w:ilvl w:val="0"/>
          <w:numId w:val="27"/>
        </w:numPr>
        <w:ind w:left="993"/>
        <w:jc w:val="both"/>
        <w:rPr>
          <w:color w:val="000000" w:themeColor="text1"/>
        </w:rPr>
      </w:pPr>
      <w:r w:rsidRPr="00D422DB">
        <w:rPr>
          <w:color w:val="000000" w:themeColor="text1"/>
        </w:rPr>
        <w:t xml:space="preserve"> (SAM 2.3.1.2. pasākums) kopējās plānotās izmaksas 4 999 672 </w:t>
      </w:r>
      <w:proofErr w:type="spellStart"/>
      <w:r w:rsidR="005A6017" w:rsidRPr="005A6017">
        <w:rPr>
          <w:i/>
          <w:iCs/>
          <w:color w:val="000000" w:themeColor="text1"/>
        </w:rPr>
        <w:t>euro</w:t>
      </w:r>
      <w:proofErr w:type="spellEnd"/>
      <w:r w:rsidRPr="00D422DB">
        <w:rPr>
          <w:color w:val="000000" w:themeColor="text1"/>
        </w:rPr>
        <w:t>, kas sadalās:</w:t>
      </w:r>
    </w:p>
    <w:p w14:paraId="38304347" w14:textId="4151514C" w:rsidR="003947CC" w:rsidRPr="003947CC" w:rsidRDefault="003947CC" w:rsidP="00D422DB">
      <w:pPr>
        <w:ind w:left="1418" w:firstLine="142"/>
        <w:jc w:val="both"/>
        <w:rPr>
          <w:color w:val="000000" w:themeColor="text1"/>
        </w:rPr>
      </w:pPr>
      <w:r w:rsidRPr="003947CC">
        <w:rPr>
          <w:color w:val="000000" w:themeColor="text1"/>
        </w:rPr>
        <w:t>a.</w:t>
      </w:r>
      <w:r w:rsidRPr="003947CC">
        <w:rPr>
          <w:color w:val="000000" w:themeColor="text1"/>
        </w:rPr>
        <w:tab/>
        <w:t>Skaitītāji, datu nodošana, tehniskais atbalsts un 5 gadus garantija 3</w:t>
      </w:r>
      <w:r w:rsidR="005A6017">
        <w:rPr>
          <w:color w:val="000000" w:themeColor="text1"/>
        </w:rPr>
        <w:t> </w:t>
      </w:r>
      <w:r w:rsidRPr="003947CC">
        <w:rPr>
          <w:color w:val="000000" w:themeColor="text1"/>
        </w:rPr>
        <w:t>817</w:t>
      </w:r>
      <w:r w:rsidR="005A6017">
        <w:rPr>
          <w:color w:val="000000" w:themeColor="text1"/>
        </w:rPr>
        <w:t> </w:t>
      </w:r>
      <w:r w:rsidRPr="003947CC">
        <w:rPr>
          <w:color w:val="000000" w:themeColor="text1"/>
        </w:rPr>
        <w:t xml:space="preserve">180 </w:t>
      </w:r>
      <w:proofErr w:type="spellStart"/>
      <w:r w:rsidR="005A6017" w:rsidRPr="005A6017">
        <w:rPr>
          <w:i/>
          <w:iCs/>
          <w:color w:val="000000" w:themeColor="text1"/>
        </w:rPr>
        <w:t>euro</w:t>
      </w:r>
      <w:proofErr w:type="spellEnd"/>
    </w:p>
    <w:p w14:paraId="2E91C460" w14:textId="559C8B32" w:rsidR="003947CC" w:rsidRPr="003947CC" w:rsidRDefault="003947CC" w:rsidP="00D422DB">
      <w:pPr>
        <w:ind w:left="1418" w:firstLine="142"/>
        <w:jc w:val="both"/>
        <w:rPr>
          <w:color w:val="000000" w:themeColor="text1"/>
        </w:rPr>
      </w:pPr>
      <w:r w:rsidRPr="003947CC">
        <w:rPr>
          <w:color w:val="000000" w:themeColor="text1"/>
        </w:rPr>
        <w:t>b.</w:t>
      </w:r>
      <w:r w:rsidRPr="003947CC">
        <w:rPr>
          <w:color w:val="000000" w:themeColor="text1"/>
        </w:rPr>
        <w:tab/>
        <w:t xml:space="preserve">Datu atspoguļošanas monitoringa IS 841 873 </w:t>
      </w:r>
      <w:proofErr w:type="spellStart"/>
      <w:r w:rsidR="005A6017" w:rsidRPr="005A6017">
        <w:rPr>
          <w:i/>
          <w:iCs/>
          <w:color w:val="000000" w:themeColor="text1"/>
        </w:rPr>
        <w:t>euro</w:t>
      </w:r>
      <w:proofErr w:type="spellEnd"/>
    </w:p>
    <w:p w14:paraId="29275897" w14:textId="75A4778F" w:rsidR="003947CC" w:rsidRPr="003947CC" w:rsidRDefault="003947CC" w:rsidP="00D422DB">
      <w:pPr>
        <w:ind w:left="1418" w:firstLine="142"/>
        <w:jc w:val="both"/>
        <w:rPr>
          <w:color w:val="000000" w:themeColor="text1"/>
        </w:rPr>
      </w:pPr>
      <w:r w:rsidRPr="003947CC">
        <w:rPr>
          <w:color w:val="000000" w:themeColor="text1"/>
        </w:rPr>
        <w:t>c.</w:t>
      </w:r>
      <w:r w:rsidRPr="003947CC">
        <w:rPr>
          <w:color w:val="000000" w:themeColor="text1"/>
        </w:rPr>
        <w:tab/>
        <w:t xml:space="preserve">Ar ieviešanu saistītas izmaksas (personāls, dokumentācijas izstrādes izmaksas, netiešās izmaksas) 340 619 </w:t>
      </w:r>
      <w:proofErr w:type="spellStart"/>
      <w:r w:rsidR="005A6017" w:rsidRPr="005A6017">
        <w:rPr>
          <w:i/>
          <w:iCs/>
          <w:color w:val="000000" w:themeColor="text1"/>
        </w:rPr>
        <w:t>euro</w:t>
      </w:r>
      <w:proofErr w:type="spellEnd"/>
    </w:p>
    <w:p w14:paraId="3F0E36E9" w14:textId="3E07B93C" w:rsidR="00AE6710" w:rsidRPr="00AE6710" w:rsidRDefault="00AE6710" w:rsidP="00AE6710">
      <w:pPr>
        <w:ind w:firstLine="709"/>
        <w:jc w:val="both"/>
        <w:rPr>
          <w:color w:val="000000" w:themeColor="text1"/>
        </w:rPr>
      </w:pPr>
      <w:r w:rsidRPr="00AE6710">
        <w:rPr>
          <w:color w:val="000000" w:themeColor="text1"/>
        </w:rPr>
        <w:t xml:space="preserve"> autobusos nodrošina precīzus, automātiskus datus par iekāpšanu un izkāpšanu, kas ļauj daudz efektīvāk plānot sabiedrisko transportu. Tie palīdz:</w:t>
      </w:r>
    </w:p>
    <w:p w14:paraId="1F5D5C31" w14:textId="77777777" w:rsidR="00AE6710" w:rsidRPr="00AE6710" w:rsidRDefault="00AE6710" w:rsidP="0062658A">
      <w:pPr>
        <w:numPr>
          <w:ilvl w:val="0"/>
          <w:numId w:val="23"/>
        </w:numPr>
        <w:ind w:left="993" w:hanging="284"/>
        <w:contextualSpacing/>
        <w:jc w:val="both"/>
        <w:rPr>
          <w:color w:val="000000" w:themeColor="text1"/>
          <w:kern w:val="2"/>
          <w14:ligatures w14:val="standardContextual"/>
        </w:rPr>
      </w:pPr>
      <w:r w:rsidRPr="00AE6710">
        <w:rPr>
          <w:color w:val="000000" w:themeColor="text1"/>
          <w:kern w:val="2"/>
          <w14:ligatures w14:val="standardContextual"/>
        </w:rPr>
        <w:t>labāk pielāgot maršrutus un kustības grafikus reālajam pasažieru pieprasījumam;</w:t>
      </w:r>
    </w:p>
    <w:p w14:paraId="5BA68B95" w14:textId="77777777" w:rsidR="00AE6710" w:rsidRPr="00AE6710" w:rsidRDefault="00AE6710" w:rsidP="0062658A">
      <w:pPr>
        <w:numPr>
          <w:ilvl w:val="0"/>
          <w:numId w:val="23"/>
        </w:numPr>
        <w:ind w:left="993" w:hanging="284"/>
        <w:contextualSpacing/>
        <w:jc w:val="both"/>
        <w:rPr>
          <w:color w:val="000000" w:themeColor="text1"/>
          <w:kern w:val="2"/>
          <w14:ligatures w14:val="standardContextual"/>
        </w:rPr>
      </w:pPr>
      <w:r w:rsidRPr="00AE6710">
        <w:rPr>
          <w:color w:val="000000" w:themeColor="text1"/>
          <w:kern w:val="2"/>
          <w14:ligatures w14:val="standardContextual"/>
        </w:rPr>
        <w:t>samazināt tukšos braucienus un vienlaikus mazināt lielo pieprasījumu maksimumstundās;</w:t>
      </w:r>
    </w:p>
    <w:p w14:paraId="1F45AD6B" w14:textId="77777777" w:rsidR="00AE6710" w:rsidRPr="00AE6710" w:rsidRDefault="00AE6710" w:rsidP="0062658A">
      <w:pPr>
        <w:numPr>
          <w:ilvl w:val="0"/>
          <w:numId w:val="23"/>
        </w:numPr>
        <w:ind w:left="993" w:hanging="284"/>
        <w:contextualSpacing/>
        <w:jc w:val="both"/>
        <w:rPr>
          <w:color w:val="000000" w:themeColor="text1"/>
          <w:kern w:val="2"/>
          <w14:ligatures w14:val="standardContextual"/>
        </w:rPr>
      </w:pPr>
      <w:r w:rsidRPr="00AE6710">
        <w:rPr>
          <w:color w:val="000000" w:themeColor="text1"/>
          <w:kern w:val="2"/>
          <w14:ligatures w14:val="standardContextual"/>
        </w:rPr>
        <w:t>optimizēt resursus (autobusu skaitu, izmēru, biežumu);</w:t>
      </w:r>
    </w:p>
    <w:p w14:paraId="4F1AB6FD" w14:textId="77777777" w:rsidR="00AE6710" w:rsidRPr="00AE6710" w:rsidRDefault="00AE6710" w:rsidP="0062658A">
      <w:pPr>
        <w:numPr>
          <w:ilvl w:val="0"/>
          <w:numId w:val="23"/>
        </w:numPr>
        <w:ind w:left="993" w:hanging="284"/>
        <w:contextualSpacing/>
        <w:jc w:val="both"/>
        <w:rPr>
          <w:color w:val="000000" w:themeColor="text1"/>
          <w:kern w:val="2"/>
          <w14:ligatures w14:val="standardContextual"/>
        </w:rPr>
      </w:pPr>
      <w:r w:rsidRPr="00AE6710">
        <w:rPr>
          <w:color w:val="000000" w:themeColor="text1"/>
          <w:kern w:val="2"/>
          <w14:ligatures w14:val="standardContextual"/>
        </w:rPr>
        <w:lastRenderedPageBreak/>
        <w:t>uzlabot pakalpojuma kvalitāti pasažieriem, samazinot gaidīšanas un piepildījuma risku;</w:t>
      </w:r>
    </w:p>
    <w:p w14:paraId="4EEAEEF0" w14:textId="77777777" w:rsidR="00AE6710" w:rsidRPr="00AE6710" w:rsidRDefault="00AE6710" w:rsidP="0062658A">
      <w:pPr>
        <w:numPr>
          <w:ilvl w:val="0"/>
          <w:numId w:val="23"/>
        </w:numPr>
        <w:ind w:left="993" w:hanging="284"/>
        <w:contextualSpacing/>
        <w:jc w:val="both"/>
        <w:rPr>
          <w:color w:val="000000" w:themeColor="text1"/>
          <w:kern w:val="2"/>
          <w14:ligatures w14:val="standardContextual"/>
        </w:rPr>
      </w:pPr>
      <w:r w:rsidRPr="00AE6710">
        <w:rPr>
          <w:color w:val="000000" w:themeColor="text1"/>
          <w:kern w:val="2"/>
          <w14:ligatures w14:val="standardContextual"/>
        </w:rPr>
        <w:t>automatizēt atskaites — mazāk manuālas datu apkopošanas;</w:t>
      </w:r>
    </w:p>
    <w:p w14:paraId="25DD3DAA" w14:textId="77777777" w:rsidR="00AE6710" w:rsidRPr="00AE6710" w:rsidRDefault="00AE6710" w:rsidP="0062658A">
      <w:pPr>
        <w:numPr>
          <w:ilvl w:val="0"/>
          <w:numId w:val="23"/>
        </w:numPr>
        <w:ind w:left="993" w:hanging="284"/>
        <w:contextualSpacing/>
        <w:jc w:val="both"/>
        <w:rPr>
          <w:color w:val="000000" w:themeColor="text1"/>
          <w:kern w:val="2"/>
          <w14:ligatures w14:val="standardContextual"/>
        </w:rPr>
      </w:pPr>
      <w:r w:rsidRPr="00AE6710">
        <w:rPr>
          <w:color w:val="000000" w:themeColor="text1"/>
          <w:kern w:val="2"/>
          <w14:ligatures w14:val="standardContextual"/>
        </w:rPr>
        <w:t>salīdzināmi dati ar kasu sistēmas datiem par pārdotajām biļetēm.</w:t>
      </w:r>
    </w:p>
    <w:p w14:paraId="33935962" w14:textId="78DCBBF2" w:rsidR="00AE6710" w:rsidRPr="00AE6710" w:rsidRDefault="00AE6710" w:rsidP="0062658A">
      <w:pPr>
        <w:numPr>
          <w:ilvl w:val="0"/>
          <w:numId w:val="23"/>
        </w:numPr>
        <w:ind w:left="993" w:hanging="284"/>
        <w:contextualSpacing/>
        <w:jc w:val="both"/>
        <w:rPr>
          <w:color w:val="000000" w:themeColor="text1"/>
          <w:kern w:val="2"/>
          <w14:ligatures w14:val="standardContextual"/>
        </w:rPr>
      </w:pPr>
      <w:r w:rsidRPr="00AE6710">
        <w:rPr>
          <w:color w:val="000000" w:themeColor="text1"/>
          <w:kern w:val="2"/>
          <w14:ligatures w14:val="standardContextual"/>
        </w:rPr>
        <w:t>pieņemt dat</w:t>
      </w:r>
      <w:r w:rsidR="007152C1">
        <w:rPr>
          <w:color w:val="000000" w:themeColor="text1"/>
          <w:kern w:val="2"/>
          <w14:ligatures w14:val="standardContextual"/>
        </w:rPr>
        <w:t>os</w:t>
      </w:r>
      <w:r w:rsidRPr="00AE6710">
        <w:rPr>
          <w:color w:val="000000" w:themeColor="text1"/>
          <w:kern w:val="2"/>
          <w14:ligatures w14:val="standardContextual"/>
        </w:rPr>
        <w:t xml:space="preserve"> balstītus lēmumus, novērtējot maršrutu lietderību un izmaksu efektivitāti.</w:t>
      </w:r>
    </w:p>
    <w:p w14:paraId="36D8C80A" w14:textId="2C7583D5" w:rsidR="00AE6710" w:rsidRPr="00AE6710" w:rsidRDefault="00AE6710" w:rsidP="00AE6710">
      <w:pPr>
        <w:ind w:firstLine="709"/>
        <w:jc w:val="both"/>
        <w:rPr>
          <w:color w:val="000000" w:themeColor="text1"/>
        </w:rPr>
      </w:pPr>
      <w:r w:rsidRPr="00AE6710">
        <w:rPr>
          <w:color w:val="000000" w:themeColor="text1"/>
        </w:rPr>
        <w:t xml:space="preserve">Šie pirmie divi sabiedriskā transporta </w:t>
      </w:r>
      <w:proofErr w:type="spellStart"/>
      <w:r w:rsidRPr="00AE6710">
        <w:rPr>
          <w:color w:val="000000" w:themeColor="text1"/>
        </w:rPr>
        <w:t>digitalizācijas</w:t>
      </w:r>
      <w:proofErr w:type="spellEnd"/>
      <w:r w:rsidRPr="00AE6710">
        <w:rPr>
          <w:color w:val="000000" w:themeColor="text1"/>
        </w:rPr>
        <w:t xml:space="preserve"> ekosi</w:t>
      </w:r>
      <w:r w:rsidR="00203E2C">
        <w:rPr>
          <w:color w:val="000000" w:themeColor="text1"/>
        </w:rPr>
        <w:t>s</w:t>
      </w:r>
      <w:r w:rsidRPr="00AE6710">
        <w:rPr>
          <w:color w:val="000000" w:themeColor="text1"/>
        </w:rPr>
        <w:t>tēmas bloki palīdzēs jau tuvākajā nākotnē maršrutu tīklu plānot atbilstošāk reālajam pasažieru pieprasījumam</w:t>
      </w:r>
      <w:r w:rsidR="008F1BCA">
        <w:rPr>
          <w:color w:val="000000" w:themeColor="text1"/>
        </w:rPr>
        <w:t>,</w:t>
      </w:r>
      <w:r w:rsidRPr="00AE6710">
        <w:rPr>
          <w:color w:val="000000" w:themeColor="text1"/>
        </w:rPr>
        <w:t xml:space="preserve"> izmantojot demogrāfijas un piekļuves analīz</w:t>
      </w:r>
      <w:r w:rsidR="008F1BCA">
        <w:rPr>
          <w:color w:val="000000" w:themeColor="text1"/>
        </w:rPr>
        <w:t>i</w:t>
      </w:r>
      <w:r w:rsidRPr="00AE6710">
        <w:rPr>
          <w:color w:val="000000" w:themeColor="text1"/>
        </w:rPr>
        <w:t xml:space="preserve"> kopā ar pieejamības </w:t>
      </w:r>
      <w:proofErr w:type="spellStart"/>
      <w:r w:rsidRPr="00AE6710">
        <w:rPr>
          <w:color w:val="000000" w:themeColor="text1"/>
        </w:rPr>
        <w:t>vizualizāciju</w:t>
      </w:r>
      <w:proofErr w:type="spellEnd"/>
      <w:r w:rsidRPr="00AE6710">
        <w:rPr>
          <w:color w:val="000000" w:themeColor="text1"/>
        </w:rPr>
        <w:t>. Iespēja pārklāt demogrāfiskos datus, nodarbinātības, darba vietu izvietojumu, iedzīvotāju blīvumu — tā var novērtēt, kur transporta pakalpojumi būtu visefektīvākie un kur ir nepieciešams sabiedriskā transporta paplašinājums. Ar to palīdzību var analizēt, kur sabiedriskais transports nodrošina reālu piekļuvi pakalpojumiem, darba vietām, dzīvesvietām u.c.</w:t>
      </w:r>
      <w:r w:rsidR="00A30352" w:rsidRPr="00A30352">
        <w:t xml:space="preserve"> </w:t>
      </w:r>
      <w:r w:rsidR="00A30352" w:rsidRPr="00A30352">
        <w:rPr>
          <w:color w:val="000000" w:themeColor="text1"/>
        </w:rPr>
        <w:t>iedzīvotājiem nozīmīgām vietām.</w:t>
      </w:r>
    </w:p>
    <w:p w14:paraId="357EED64" w14:textId="77777777" w:rsidR="00AE6710" w:rsidRPr="00AE6710" w:rsidRDefault="00AE6710" w:rsidP="00AE6710">
      <w:pPr>
        <w:ind w:firstLine="284"/>
        <w:rPr>
          <w:color w:val="000000" w:themeColor="text1"/>
        </w:rPr>
      </w:pPr>
    </w:p>
    <w:p w14:paraId="6165F349" w14:textId="77777777" w:rsidR="00AE6710" w:rsidRPr="00AE6710" w:rsidRDefault="00AE6710" w:rsidP="00AE6710">
      <w:pPr>
        <w:ind w:left="-1701" w:firstLine="1701"/>
        <w:jc w:val="both"/>
        <w:rPr>
          <w:color w:val="000000" w:themeColor="text1"/>
        </w:rPr>
      </w:pPr>
      <w:r w:rsidRPr="00AE6710">
        <w:rPr>
          <w:rFonts w:eastAsiaTheme="minorHAnsi"/>
          <w:noProof/>
          <w:lang w:eastAsia="en-US"/>
        </w:rPr>
        <w:drawing>
          <wp:inline distT="0" distB="0" distL="0" distR="0" wp14:anchorId="29D06E38" wp14:editId="3C212D4A">
            <wp:extent cx="5802557" cy="3452495"/>
            <wp:effectExtent l="0" t="0" r="8255" b="0"/>
            <wp:docPr id="300068545" name="Picture 1" descr="A diagram of a bus and a bu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068545" name="Picture 1" descr="A diagram of a bus and a bus&#10;&#10;AI-generated content may be incorrect."/>
                    <pic:cNvPicPr/>
                  </pic:nvPicPr>
                  <pic:blipFill>
                    <a:blip r:embed="rId9"/>
                    <a:stretch>
                      <a:fillRect/>
                    </a:stretch>
                  </pic:blipFill>
                  <pic:spPr>
                    <a:xfrm>
                      <a:off x="0" y="0"/>
                      <a:ext cx="5821661" cy="3463862"/>
                    </a:xfrm>
                    <a:prstGeom prst="rect">
                      <a:avLst/>
                    </a:prstGeom>
                  </pic:spPr>
                </pic:pic>
              </a:graphicData>
            </a:graphic>
          </wp:inline>
        </w:drawing>
      </w:r>
    </w:p>
    <w:p w14:paraId="1F332F2F" w14:textId="6A276846" w:rsidR="00AE6710" w:rsidRPr="00AE6710" w:rsidRDefault="00AE6710" w:rsidP="00AE6710">
      <w:pPr>
        <w:ind w:firstLine="709"/>
        <w:jc w:val="center"/>
        <w:rPr>
          <w:i/>
          <w:iCs/>
          <w:color w:val="000000" w:themeColor="text1"/>
        </w:rPr>
      </w:pPr>
      <w:r w:rsidRPr="00AE6710">
        <w:rPr>
          <w:i/>
          <w:iCs/>
          <w:color w:val="000000" w:themeColor="text1"/>
        </w:rPr>
        <w:t xml:space="preserve">2. attēls </w:t>
      </w:r>
      <w:r w:rsidR="001C5D6F">
        <w:rPr>
          <w:i/>
          <w:iCs/>
          <w:color w:val="000000" w:themeColor="text1"/>
        </w:rPr>
        <w:t>P</w:t>
      </w:r>
      <w:r w:rsidRPr="00AE6710">
        <w:rPr>
          <w:i/>
          <w:iCs/>
          <w:color w:val="000000" w:themeColor="text1"/>
        </w:rPr>
        <w:t xml:space="preserve">lānotā sabiedriskā transporta </w:t>
      </w:r>
      <w:proofErr w:type="spellStart"/>
      <w:r w:rsidRPr="00AE6710">
        <w:rPr>
          <w:i/>
          <w:iCs/>
          <w:color w:val="000000" w:themeColor="text1"/>
        </w:rPr>
        <w:t>digitalizācijas</w:t>
      </w:r>
      <w:proofErr w:type="spellEnd"/>
      <w:r w:rsidRPr="00AE6710">
        <w:rPr>
          <w:i/>
          <w:iCs/>
          <w:color w:val="000000" w:themeColor="text1"/>
        </w:rPr>
        <w:t xml:space="preserve"> ekosistēma</w:t>
      </w:r>
    </w:p>
    <w:p w14:paraId="09A5D4A0" w14:textId="77777777" w:rsidR="00AE6710" w:rsidRPr="00AE6710" w:rsidRDefault="00AE6710" w:rsidP="00AE6710">
      <w:pPr>
        <w:ind w:firstLine="709"/>
        <w:jc w:val="center"/>
        <w:rPr>
          <w:i/>
          <w:iCs/>
          <w:color w:val="000000" w:themeColor="text1"/>
        </w:rPr>
      </w:pPr>
    </w:p>
    <w:p w14:paraId="6C451DA9" w14:textId="05F2B2B3" w:rsidR="00EE41AC" w:rsidRDefault="00EE41AC" w:rsidP="002E67E9">
      <w:pPr>
        <w:ind w:firstLine="709"/>
        <w:jc w:val="both"/>
      </w:pPr>
      <w:r>
        <w:rPr>
          <w:lang w:eastAsia="en-US"/>
        </w:rPr>
        <w:t>Lielākā daļa pārvadātāju ir lūguši ATD pārskatīt noslēgto līgumu cenas, ņemot vērā izmaksu palielinājumu. Pārvadātāji ir norādījuši, ka viņu piedāvātās pakalpojuma cenas iepirkumos, dažādu ārējo apstākļu ietekmē, nespēj segt faktiskos izdevumus un uzņēmumiem veidojas zaudējumi. ATD šobrīd vērtē šo pārvadātāju lūgumu.</w:t>
      </w:r>
      <w:r w:rsidR="000B0E98">
        <w:rPr>
          <w:lang w:eastAsia="en-US"/>
        </w:rPr>
        <w:t xml:space="preserve"> </w:t>
      </w:r>
      <w:r w:rsidR="003E2388">
        <w:rPr>
          <w:lang w:eastAsia="en-US"/>
        </w:rPr>
        <w:t xml:space="preserve">Jāatzīmē, ka </w:t>
      </w:r>
      <w:r w:rsidR="003E2388">
        <w:rPr>
          <w:rFonts w:eastAsia="Calibri"/>
          <w:iCs/>
        </w:rPr>
        <w:t>p</w:t>
      </w:r>
      <w:r w:rsidR="00933553">
        <w:rPr>
          <w:rFonts w:eastAsia="Calibri"/>
          <w:iCs/>
        </w:rPr>
        <w:t>ārvadātāju izteikto izmaiņu priekšlikumu kontekstā norādāms, ka izšķiroši faktori šādu izmaiņu (</w:t>
      </w:r>
      <w:r w:rsidR="00933553" w:rsidRPr="002E67E9">
        <w:rPr>
          <w:rFonts w:eastAsia="Calibri"/>
          <w:i/>
        </w:rPr>
        <w:t>iespējamu grozījumu veikšana spēkā esošos līgumos</w:t>
      </w:r>
      <w:r w:rsidR="00933553">
        <w:rPr>
          <w:rFonts w:eastAsia="Calibri"/>
          <w:iCs/>
        </w:rPr>
        <w:t xml:space="preserve">) vērtēšanā ir </w:t>
      </w:r>
      <w:r w:rsidR="00B64EA8">
        <w:rPr>
          <w:rFonts w:eastAsia="Calibri"/>
          <w:iCs/>
        </w:rPr>
        <w:t xml:space="preserve">līgumu </w:t>
      </w:r>
      <w:r w:rsidR="00933553">
        <w:rPr>
          <w:rFonts w:eastAsia="Calibri"/>
          <w:iCs/>
        </w:rPr>
        <w:t xml:space="preserve">grozījumu </w:t>
      </w:r>
      <w:r w:rsidR="002E67E9">
        <w:rPr>
          <w:rFonts w:eastAsia="Calibri"/>
          <w:iCs/>
        </w:rPr>
        <w:t xml:space="preserve">juridiskās </w:t>
      </w:r>
      <w:r w:rsidR="00933553">
        <w:rPr>
          <w:rFonts w:eastAsia="Calibri"/>
          <w:iCs/>
        </w:rPr>
        <w:t>pieļaujamības, kā arī to būtiskuma vērtēšana</w:t>
      </w:r>
      <w:r w:rsidR="003E2388">
        <w:rPr>
          <w:rFonts w:eastAsia="Calibri"/>
          <w:iCs/>
        </w:rPr>
        <w:t xml:space="preserve"> atbilstoši Publisko iepirkumu likuma prasībām</w:t>
      </w:r>
      <w:r w:rsidR="00933553">
        <w:rPr>
          <w:rFonts w:eastAsia="Calibri"/>
          <w:iCs/>
        </w:rPr>
        <w:t xml:space="preserve">. </w:t>
      </w:r>
      <w:r w:rsidR="002E67E9">
        <w:t xml:space="preserve"> </w:t>
      </w:r>
      <w:r>
        <w:rPr>
          <w:lang w:eastAsia="en-US"/>
        </w:rPr>
        <w:t xml:space="preserve">Vienlaikus nespēja sniegt pakalpojumu par pielīgto cenu var būt iemesls noslēgto līgumu pirmstermiņa izbeigšanai vai laušanai. </w:t>
      </w:r>
    </w:p>
    <w:p w14:paraId="328FCD76" w14:textId="77777777" w:rsidR="00EE41AC" w:rsidRDefault="00EE41AC" w:rsidP="00EE41AC">
      <w:pPr>
        <w:ind w:firstLine="720"/>
        <w:jc w:val="both"/>
        <w:rPr>
          <w:lang w:eastAsia="en-US"/>
        </w:rPr>
      </w:pPr>
      <w:r>
        <w:rPr>
          <w:lang w:eastAsia="en-US"/>
        </w:rPr>
        <w:t xml:space="preserve">Konkurences padome 2023. gada 5. janvārī pieņēma lēmumu Nr. 2 “Par pārkāpumā konstatēšanu un naudas soda uzlikšanu” lietā Nr. KL\2.2-3\21\1 “Par Konkurences likuma 11. panta pirmās daļas un Līguma par Eiropas Savienības darbību 101. panta 1. punktā noteiktā aizlieguma pārkāpumu”, konstatējot Konkurences likuma 11. panta pirmajā daļā un Līguma par Eiropas Savienības darbību 101. panta 1. punktā noteiktā aizlieguma pārkāpumu AS “LIEPĀJAS AUTOBUSU PARKS”, SIA “Latvijas Sabiedriskais Autobuss” un AS “NORDEKA” darbībās. </w:t>
      </w:r>
    </w:p>
    <w:p w14:paraId="51CA0574" w14:textId="70E1A46D" w:rsidR="00EE41AC" w:rsidRDefault="00EE41AC" w:rsidP="00EE41AC">
      <w:pPr>
        <w:ind w:firstLine="720"/>
        <w:jc w:val="both"/>
        <w:rPr>
          <w:lang w:eastAsia="en-US"/>
        </w:rPr>
      </w:pPr>
      <w:r>
        <w:rPr>
          <w:lang w:eastAsia="en-US"/>
        </w:rPr>
        <w:lastRenderedPageBreak/>
        <w:t xml:space="preserve">AS “LIEPĀJAS AUTOBUSU PARKS” noslēdza administratīvo līgumu ar Konkurences padomi un attiecībā uz to lēmums ir kļuvis neapstrīdams. SIA “Latvijas Sabiedriskais Autobuss” un AS “NORDEKA” lēmumu pārsūdzēja un attiecībā pret </w:t>
      </w:r>
      <w:r w:rsidR="00D828EA">
        <w:rPr>
          <w:lang w:eastAsia="en-US"/>
        </w:rPr>
        <w:t>šiem uzņēmumiem</w:t>
      </w:r>
      <w:r>
        <w:rPr>
          <w:lang w:eastAsia="en-US"/>
        </w:rPr>
        <w:t xml:space="preserve"> lēmums nav kļuvis neapstrīdams. ATD ir pienākums vērtēt lēmuma, kurš kļuvis neapstrīdams, ietekmi uz iepirkuma ietvaros, kurā konstatēta aizliegta karteļa vienošanās, noslēgta līguma tiesiskumu. Secīgi, pastāv iespējamība, ka </w:t>
      </w:r>
      <w:proofErr w:type="spellStart"/>
      <w:r>
        <w:rPr>
          <w:lang w:eastAsia="en-US"/>
        </w:rPr>
        <w:t>lotēs</w:t>
      </w:r>
      <w:proofErr w:type="spellEnd"/>
      <w:r>
        <w:rPr>
          <w:lang w:eastAsia="en-US"/>
        </w:rPr>
        <w:t xml:space="preserve">, kurās līguma slēgšanas tiesības iegūtas karteļa vienošanās ietvaros, ATD būs jāorganizē jauni iepirkumi. </w:t>
      </w:r>
    </w:p>
    <w:p w14:paraId="36BFBF50" w14:textId="4E4007F5" w:rsidR="002E1C9E" w:rsidRDefault="00EE41AC" w:rsidP="00EE41AC">
      <w:pPr>
        <w:ind w:firstLine="720"/>
        <w:jc w:val="both"/>
        <w:rPr>
          <w:lang w:eastAsia="en-US"/>
        </w:rPr>
      </w:pPr>
      <w:r>
        <w:rPr>
          <w:lang w:eastAsia="en-US"/>
        </w:rPr>
        <w:t>Līguma izbeigšanas vai laušanas gadījumā, ņemot vērā provizoriskās tirgus cenas izmaiņas un pasūtamā maršrutu tīkla apjomus, varētu rasties papildu finansiālā ietekme.</w:t>
      </w:r>
    </w:p>
    <w:p w14:paraId="39DABA98" w14:textId="05841253" w:rsidR="00AE6710" w:rsidRPr="00AE6710" w:rsidRDefault="00A30352" w:rsidP="00AE6710">
      <w:pPr>
        <w:ind w:firstLine="720"/>
        <w:jc w:val="both"/>
        <w:rPr>
          <w:lang w:eastAsia="en-US"/>
        </w:rPr>
      </w:pPr>
      <w:r>
        <w:rPr>
          <w:lang w:eastAsia="en-US"/>
        </w:rPr>
        <w:t>L</w:t>
      </w:r>
      <w:r w:rsidR="00AE6710" w:rsidRPr="00AE6710">
        <w:rPr>
          <w:lang w:eastAsia="en-US"/>
        </w:rPr>
        <w:t xml:space="preserve">ai analizētu un novērtētu reģionālās nozīmes maršrutu tīkla turpmāku attīstību un iedzīvotāju mobilitātes palielināšanas iespējas, ATD </w:t>
      </w:r>
      <w:r w:rsidRPr="00AE6710">
        <w:rPr>
          <w:lang w:eastAsia="en-US"/>
        </w:rPr>
        <w:t>202</w:t>
      </w:r>
      <w:r w:rsidR="00CA4B94">
        <w:rPr>
          <w:lang w:eastAsia="en-US"/>
        </w:rPr>
        <w:t>5</w:t>
      </w:r>
      <w:r w:rsidRPr="00AE6710">
        <w:rPr>
          <w:lang w:eastAsia="en-US"/>
        </w:rPr>
        <w:t>.</w:t>
      </w:r>
      <w:r w:rsidR="00674636">
        <w:rPr>
          <w:lang w:eastAsia="en-US"/>
        </w:rPr>
        <w:t xml:space="preserve"> </w:t>
      </w:r>
      <w:r w:rsidRPr="00AE6710">
        <w:rPr>
          <w:lang w:eastAsia="en-US"/>
        </w:rPr>
        <w:t xml:space="preserve">gadā </w:t>
      </w:r>
      <w:r w:rsidR="00AE6710" w:rsidRPr="00AE6710">
        <w:rPr>
          <w:lang w:eastAsia="en-US"/>
        </w:rPr>
        <w:t>ir izsludinājusi atklātu konkursu par autobusu komerciālo maršrutu stratēģijas izstrādi, kuras mērķis ir noteikt komerciālo maršrutu tīkla attīstības principus, kritērijus maršrutu atklāšanai, finansiālo ilgtspēju, pakalpojumu kvalitāti un regulējumu, lai veicinātu efektīvus, pieprasījumam atbilstošus un konkurētspējīgus sabiedriskā transporta reģionālos maršrutus, k</w:t>
      </w:r>
      <w:r w:rsidR="00674636">
        <w:rPr>
          <w:lang w:eastAsia="en-US"/>
        </w:rPr>
        <w:t>as</w:t>
      </w:r>
      <w:r w:rsidR="00AE6710" w:rsidRPr="00AE6710">
        <w:rPr>
          <w:lang w:eastAsia="en-US"/>
        </w:rPr>
        <w:t xml:space="preserve"> darbojas uz komerciāliem principiem.</w:t>
      </w:r>
    </w:p>
    <w:p w14:paraId="1735231A" w14:textId="4BD7753C" w:rsidR="00AE6710" w:rsidRPr="00AE6710" w:rsidRDefault="00AE6710" w:rsidP="00AE6710">
      <w:pPr>
        <w:ind w:firstLine="720"/>
        <w:jc w:val="both"/>
        <w:rPr>
          <w:lang w:eastAsia="en-US"/>
        </w:rPr>
      </w:pPr>
      <w:r w:rsidRPr="00AE6710">
        <w:rPr>
          <w:lang w:eastAsia="en-US"/>
        </w:rPr>
        <w:t>Pēc minētās stratēģijas izstrādes un iegūtajiem rezultātiem</w:t>
      </w:r>
      <w:r w:rsidR="008B27F5">
        <w:rPr>
          <w:lang w:eastAsia="en-US"/>
        </w:rPr>
        <w:t>,</w:t>
      </w:r>
      <w:r w:rsidRPr="00AE6710">
        <w:rPr>
          <w:lang w:eastAsia="en-US"/>
        </w:rPr>
        <w:t xml:space="preserve"> varēs precīzāk definēt nepieciešamos grozījumus normatīvajos aktos, kā arī komerciālo maršrutu iekļaušanos kopējā reģionālās nozīmes maršrutu tīkla nodrošināšanā ar mērķi veicināt iedzīvotāju mobilitātes iespējas un </w:t>
      </w:r>
      <w:proofErr w:type="spellStart"/>
      <w:r w:rsidRPr="00AE6710">
        <w:rPr>
          <w:lang w:eastAsia="en-US"/>
        </w:rPr>
        <w:t>efektivizēt</w:t>
      </w:r>
      <w:proofErr w:type="spellEnd"/>
      <w:r w:rsidRPr="00AE6710">
        <w:rPr>
          <w:lang w:eastAsia="en-US"/>
        </w:rPr>
        <w:t xml:space="preserve"> sabiedriskam transportam piešķirtā valsts budžeta finansējuma izlietojumu.</w:t>
      </w:r>
    </w:p>
    <w:p w14:paraId="6C9053AA" w14:textId="3A290DC5" w:rsidR="00AE6710" w:rsidRPr="00AE6710" w:rsidRDefault="00AE6710" w:rsidP="00AE6710">
      <w:pPr>
        <w:ind w:firstLine="709"/>
        <w:jc w:val="both"/>
        <w:rPr>
          <w:lang w:eastAsia="en-US"/>
        </w:rPr>
      </w:pPr>
      <w:r w:rsidRPr="00AE6710">
        <w:rPr>
          <w:lang w:eastAsia="en-US"/>
        </w:rPr>
        <w:t>Kā vēl viena sabiedriskā transporta pakalpojumu izmaksu problemātika ir saistīta ar maršrutu apkalpošanas vietām jeb autoostu izmantošanu. Esošais autoostu dalījums kategorijās un tajās obligāti sniedzamo pakalpojumu klāsts, atbilstoši Ministru kabineta 2019. gada 29.</w:t>
      </w:r>
      <w:r w:rsidR="009579BC">
        <w:rPr>
          <w:lang w:eastAsia="en-US"/>
        </w:rPr>
        <w:t> </w:t>
      </w:r>
      <w:r w:rsidRPr="00AE6710">
        <w:rPr>
          <w:lang w:eastAsia="en-US"/>
        </w:rPr>
        <w:t>oktobra noteikumiem Nr. 502 “Autoostu noteikumi”, no</w:t>
      </w:r>
      <w:r w:rsidR="009579BC">
        <w:rPr>
          <w:lang w:eastAsia="en-US"/>
        </w:rPr>
        <w:t>teic</w:t>
      </w:r>
      <w:r w:rsidRPr="00AE6710">
        <w:rPr>
          <w:lang w:eastAsia="en-US"/>
        </w:rPr>
        <w:t xml:space="preserve"> autoostas izmantošanas nepieciešamību un sniegto pakalpojumu nodrošināšanas nepieciešamību sabiedriskā transporta pakalpojumu sniedzējiem un pasažieriem. Vidēji kalendārajā gadā par autoostu izmantošanu un par to sniegtajiem pakalpojumiem kopējie izdevumi veido 6,7 milj. </w:t>
      </w:r>
      <w:proofErr w:type="spellStart"/>
      <w:r w:rsidR="00274DA5">
        <w:rPr>
          <w:i/>
          <w:iCs/>
          <w:lang w:eastAsia="en-US"/>
        </w:rPr>
        <w:t>eur</w:t>
      </w:r>
      <w:r w:rsidRPr="00AE6710">
        <w:rPr>
          <w:i/>
          <w:iCs/>
          <w:lang w:eastAsia="en-US"/>
        </w:rPr>
        <w:t>o</w:t>
      </w:r>
      <w:proofErr w:type="spellEnd"/>
      <w:r w:rsidRPr="00AE6710">
        <w:rPr>
          <w:lang w:eastAsia="en-US"/>
        </w:rPr>
        <w:t xml:space="preserve">. </w:t>
      </w:r>
    </w:p>
    <w:p w14:paraId="64F937B4" w14:textId="62FCC460" w:rsidR="00AE6710" w:rsidRPr="00AE6710" w:rsidRDefault="00AE6710" w:rsidP="00AE6710">
      <w:pPr>
        <w:ind w:firstLine="709"/>
        <w:jc w:val="both"/>
        <w:rPr>
          <w:lang w:eastAsia="en-US"/>
        </w:rPr>
      </w:pPr>
      <w:r w:rsidRPr="00AE6710">
        <w:rPr>
          <w:lang w:eastAsia="en-US"/>
        </w:rPr>
        <w:t xml:space="preserve">Jāatzīmē, ka, analizējot atsevišķu autoostu atrašanās vietas un citu infrastruktūras objektu pieejamību </w:t>
      </w:r>
      <w:r w:rsidR="009538C2">
        <w:rPr>
          <w:lang w:eastAsia="en-US"/>
        </w:rPr>
        <w:t>to tuvumā</w:t>
      </w:r>
      <w:r w:rsidR="00693EA0">
        <w:rPr>
          <w:lang w:eastAsia="en-US"/>
        </w:rPr>
        <w:t xml:space="preserve">, </w:t>
      </w:r>
      <w:r w:rsidRPr="00AE6710">
        <w:rPr>
          <w:lang w:eastAsia="en-US"/>
        </w:rPr>
        <w:t>piemēram, dzelzceļa stacija, tirdzniecības centr</w:t>
      </w:r>
      <w:r w:rsidR="004222E4">
        <w:rPr>
          <w:lang w:eastAsia="en-US"/>
        </w:rPr>
        <w:t>s</w:t>
      </w:r>
      <w:r w:rsidRPr="00AE6710">
        <w:rPr>
          <w:lang w:eastAsia="en-US"/>
        </w:rPr>
        <w:t xml:space="preserve">, mazinās pasažieru </w:t>
      </w:r>
      <w:r w:rsidR="0004728E">
        <w:rPr>
          <w:lang w:eastAsia="en-US"/>
        </w:rPr>
        <w:t>pieprasījums</w:t>
      </w:r>
      <w:r w:rsidRPr="00AE6710">
        <w:rPr>
          <w:lang w:eastAsia="en-US"/>
        </w:rPr>
        <w:t xml:space="preserve"> pēc uzgaidāmajām telpām, biļešu tirdzniecības u</w:t>
      </w:r>
      <w:r w:rsidR="009538C2">
        <w:rPr>
          <w:lang w:eastAsia="en-US"/>
        </w:rPr>
        <w:t>n</w:t>
      </w:r>
      <w:r w:rsidRPr="00AE6710">
        <w:rPr>
          <w:lang w:eastAsia="en-US"/>
        </w:rPr>
        <w:t xml:space="preserve"> c</w:t>
      </w:r>
      <w:r w:rsidR="009538C2">
        <w:rPr>
          <w:lang w:eastAsia="en-US"/>
        </w:rPr>
        <w:t>itiem</w:t>
      </w:r>
      <w:r w:rsidR="00570526">
        <w:rPr>
          <w:lang w:eastAsia="en-US"/>
        </w:rPr>
        <w:t xml:space="preserve"> autoostas nodrošinātajiem</w:t>
      </w:r>
      <w:r w:rsidRPr="00AE6710">
        <w:rPr>
          <w:lang w:eastAsia="en-US"/>
        </w:rPr>
        <w:t xml:space="preserve"> pakalpojumiem. </w:t>
      </w:r>
      <w:r w:rsidR="00E2407E">
        <w:rPr>
          <w:lang w:eastAsia="en-US"/>
        </w:rPr>
        <w:t xml:space="preserve">Ir </w:t>
      </w:r>
      <w:r w:rsidRPr="00AE6710">
        <w:rPr>
          <w:lang w:eastAsia="en-US"/>
        </w:rPr>
        <w:t xml:space="preserve">izvērtējama autoostu nepieciešamība teritorijās un vietās, kur pasažieru apgrozība ir ļoti zema. Tāpat ir izvērtējama lietderība no valsts budžeta segt sabiedriskā transporta pakalpojumu sniedzēju izmaksas par autoostu pakalpojumiem, ievērojot to, ka atbilstoši Autopārvadājumu likuma 33. panta trešajai daļai autoostu izvietojumu un skaitu nosaka attiecīgā pašvaldība, līdz ar to autoostu atrašanās vietas nav ar paplašinātu ekonomisku izvērtējumu, un iedzīvotājiem un pārvadātājiem nepieciešamu infrastruktūru. </w:t>
      </w:r>
    </w:p>
    <w:p w14:paraId="1990E64B" w14:textId="170E2AC5" w:rsidR="00B071D5" w:rsidRDefault="65A6E08E" w:rsidP="00AE6710">
      <w:pPr>
        <w:ind w:firstLine="709"/>
        <w:jc w:val="both"/>
        <w:rPr>
          <w:shd w:val="clear" w:color="auto" w:fill="FFFFFF"/>
        </w:rPr>
      </w:pPr>
      <w:r w:rsidRPr="7F9BBCD6">
        <w:rPr>
          <w:lang w:eastAsia="en-US"/>
        </w:rPr>
        <w:t xml:space="preserve">Ar pašvaldībām </w:t>
      </w:r>
      <w:r w:rsidR="4CC13D2B" w:rsidRPr="7F9BBCD6">
        <w:rPr>
          <w:lang w:eastAsia="en-US"/>
        </w:rPr>
        <w:t>2026.</w:t>
      </w:r>
      <w:r w:rsidR="12942D3C" w:rsidRPr="7F9BBCD6">
        <w:rPr>
          <w:lang w:eastAsia="en-US"/>
        </w:rPr>
        <w:t xml:space="preserve"> </w:t>
      </w:r>
      <w:r w:rsidR="4CC13D2B" w:rsidRPr="7F9BBCD6">
        <w:rPr>
          <w:lang w:eastAsia="en-US"/>
        </w:rPr>
        <w:t>gad</w:t>
      </w:r>
      <w:r w:rsidRPr="7F9BBCD6">
        <w:rPr>
          <w:lang w:eastAsia="en-US"/>
        </w:rPr>
        <w:t>ā</w:t>
      </w:r>
      <w:r w:rsidR="4CC13D2B" w:rsidRPr="7F9BBCD6">
        <w:rPr>
          <w:lang w:eastAsia="en-US"/>
        </w:rPr>
        <w:t xml:space="preserve"> </w:t>
      </w:r>
      <w:r w:rsidR="00BD12F2" w:rsidRPr="7F9BBCD6">
        <w:rPr>
          <w:lang w:eastAsia="en-US"/>
        </w:rPr>
        <w:t>plānot</w:t>
      </w:r>
      <w:r w:rsidR="00BD12F2">
        <w:rPr>
          <w:lang w:eastAsia="en-US"/>
        </w:rPr>
        <w:t>s</w:t>
      </w:r>
      <w:r w:rsidR="00BD12F2" w:rsidRPr="7F9BBCD6">
        <w:rPr>
          <w:lang w:eastAsia="en-US"/>
        </w:rPr>
        <w:t xml:space="preserve"> </w:t>
      </w:r>
      <w:r w:rsidR="6F746C2F" w:rsidRPr="7F9BBCD6">
        <w:rPr>
          <w:lang w:eastAsia="en-US"/>
        </w:rPr>
        <w:t>a</w:t>
      </w:r>
      <w:r w:rsidR="4CC13D2B" w:rsidRPr="7F9BBCD6">
        <w:rPr>
          <w:lang w:eastAsia="en-US"/>
        </w:rPr>
        <w:t>pspriest jaun</w:t>
      </w:r>
      <w:r w:rsidR="00D422DB">
        <w:rPr>
          <w:lang w:eastAsia="en-US"/>
        </w:rPr>
        <w:t>u</w:t>
      </w:r>
      <w:r w:rsidR="4CC13D2B" w:rsidRPr="7F9BBCD6">
        <w:rPr>
          <w:lang w:eastAsia="en-US"/>
        </w:rPr>
        <w:t xml:space="preserve"> </w:t>
      </w:r>
      <w:r w:rsidR="00BD12F2" w:rsidRPr="7F9BBCD6">
        <w:rPr>
          <w:lang w:eastAsia="en-US"/>
        </w:rPr>
        <w:t>iniciatīv</w:t>
      </w:r>
      <w:r w:rsidR="00BD12F2">
        <w:rPr>
          <w:lang w:eastAsia="en-US"/>
        </w:rPr>
        <w:t>u</w:t>
      </w:r>
      <w:r w:rsidR="00BD12F2" w:rsidRPr="7F9BBCD6">
        <w:rPr>
          <w:lang w:eastAsia="en-US"/>
        </w:rPr>
        <w:t xml:space="preserve"> </w:t>
      </w:r>
      <w:r w:rsidR="4CC13D2B" w:rsidRPr="7F9BBCD6">
        <w:rPr>
          <w:lang w:eastAsia="en-US"/>
        </w:rPr>
        <w:t>par pasažieru apmaiņu konkrētā teritorijā un pašvaldību iespēj</w:t>
      </w:r>
      <w:r w:rsidR="00BD12F2">
        <w:rPr>
          <w:lang w:eastAsia="en-US"/>
        </w:rPr>
        <w:t>ām</w:t>
      </w:r>
      <w:r w:rsidR="4CC13D2B" w:rsidRPr="7F9BBCD6">
        <w:rPr>
          <w:lang w:eastAsia="en-US"/>
        </w:rPr>
        <w:t xml:space="preserve"> finansēt un uzturēt papildu infrastruktūru, lai uzlabotu </w:t>
      </w:r>
      <w:r w:rsidR="77FD4C02" w:rsidRPr="7F9BBCD6">
        <w:rPr>
          <w:lang w:eastAsia="en-US"/>
        </w:rPr>
        <w:t>re</w:t>
      </w:r>
      <w:r w:rsidR="678E72BA" w:rsidRPr="7F9BBCD6">
        <w:rPr>
          <w:lang w:eastAsia="en-US"/>
        </w:rPr>
        <w:t>ģ</w:t>
      </w:r>
      <w:r w:rsidR="77FD4C02" w:rsidRPr="7F9BBCD6">
        <w:rPr>
          <w:lang w:eastAsia="en-US"/>
        </w:rPr>
        <w:t>ionālā</w:t>
      </w:r>
      <w:r w:rsidR="4CC13D2B" w:rsidRPr="7F9BBCD6">
        <w:rPr>
          <w:lang w:eastAsia="en-US"/>
        </w:rPr>
        <w:t xml:space="preserve"> sabiedriskā transporta pakalpojum</w:t>
      </w:r>
      <w:r w:rsidR="678E72BA" w:rsidRPr="7F9BBCD6">
        <w:rPr>
          <w:lang w:eastAsia="en-US"/>
        </w:rPr>
        <w:t>a</w:t>
      </w:r>
      <w:r w:rsidR="4CC13D2B" w:rsidRPr="7F9BBCD6">
        <w:rPr>
          <w:lang w:eastAsia="en-US"/>
        </w:rPr>
        <w:t xml:space="preserve"> kvalitāti un nepieļautu esošo </w:t>
      </w:r>
      <w:r w:rsidR="678E72BA" w:rsidRPr="7F9BBCD6">
        <w:rPr>
          <w:lang w:eastAsia="en-US"/>
        </w:rPr>
        <w:t xml:space="preserve">autoostu </w:t>
      </w:r>
      <w:r w:rsidR="4CC13D2B" w:rsidRPr="7F9BBCD6">
        <w:rPr>
          <w:lang w:eastAsia="en-US"/>
        </w:rPr>
        <w:t xml:space="preserve">telpu un infrastruktūras </w:t>
      </w:r>
      <w:r w:rsidR="77580A31" w:rsidRPr="7F9BBCD6">
        <w:rPr>
          <w:lang w:eastAsia="en-US"/>
        </w:rPr>
        <w:t>degradāciju</w:t>
      </w:r>
      <w:r w:rsidR="4CC13D2B" w:rsidRPr="7F9BBCD6">
        <w:rPr>
          <w:lang w:eastAsia="en-US"/>
        </w:rPr>
        <w:t xml:space="preserve">. </w:t>
      </w:r>
    </w:p>
    <w:p w14:paraId="602D8CAA" w14:textId="77777777" w:rsidR="00E3621F" w:rsidRDefault="00E3621F" w:rsidP="00410ED9">
      <w:pPr>
        <w:jc w:val="both"/>
      </w:pPr>
    </w:p>
    <w:p w14:paraId="64EA2A6B" w14:textId="114CCC61" w:rsidR="1D15A5A8" w:rsidRPr="002E67E9" w:rsidRDefault="1D15A5A8" w:rsidP="7CDC4799">
      <w:pPr>
        <w:jc w:val="both"/>
        <w:rPr>
          <w:b/>
          <w:bCs/>
        </w:rPr>
      </w:pPr>
      <w:r w:rsidRPr="002E67E9">
        <w:rPr>
          <w:b/>
          <w:bCs/>
        </w:rPr>
        <w:t>Kopsavilkums</w:t>
      </w:r>
    </w:p>
    <w:p w14:paraId="174D041C" w14:textId="77777777" w:rsidR="000D096A" w:rsidRPr="00746E0A" w:rsidRDefault="000D096A" w:rsidP="7CDC4799"/>
    <w:p w14:paraId="12F7CE76" w14:textId="1B402345" w:rsidR="3FE22226" w:rsidRDefault="52105D39" w:rsidP="002E67E9">
      <w:pPr>
        <w:pStyle w:val="ListParagraph"/>
        <w:numPr>
          <w:ilvl w:val="0"/>
          <w:numId w:val="1"/>
        </w:numPr>
        <w:jc w:val="both"/>
      </w:pPr>
      <w:r>
        <w:t xml:space="preserve">Sabiedriskā transporta padome 2025. gada 19. decembrī ir pieņēmusi lēmumu atlikt </w:t>
      </w:r>
      <w:r w:rsidR="3B31A53F">
        <w:t>2025.</w:t>
      </w:r>
      <w:r w:rsidR="00203E2C">
        <w:t xml:space="preserve"> </w:t>
      </w:r>
      <w:r w:rsidR="3B31A53F">
        <w:t xml:space="preserve">gada 4. septembra </w:t>
      </w:r>
      <w:r>
        <w:t xml:space="preserve">lēmumu </w:t>
      </w:r>
      <w:r w:rsidR="212F6D65">
        <w:t xml:space="preserve">Nr. </w:t>
      </w:r>
      <w:r w:rsidR="00EA087C">
        <w:t>3</w:t>
      </w:r>
      <w:r w:rsidR="212F6D65">
        <w:t xml:space="preserve"> </w:t>
      </w:r>
      <w:r>
        <w:t>par maršruta tīkla prognozi 2026. gadam</w:t>
      </w:r>
      <w:r w:rsidR="18EF3DCB">
        <w:t>,</w:t>
      </w:r>
      <w:r>
        <w:t xml:space="preserve"> ja ir pieejami papildu finanšu līdzekļi. </w:t>
      </w:r>
      <w:r w:rsidR="530A43BF">
        <w:t xml:space="preserve">Tādejādi </w:t>
      </w:r>
      <w:r w:rsidR="2BA09133">
        <w:t xml:space="preserve">pasažieriem </w:t>
      </w:r>
      <w:r w:rsidR="523D1553">
        <w:t xml:space="preserve">tiek nodrošinātas nemainīgas </w:t>
      </w:r>
      <w:r w:rsidR="34FB26B5">
        <w:t>mobilitātes iespējas</w:t>
      </w:r>
      <w:r w:rsidR="0AE3F1A2">
        <w:t xml:space="preserve">, </w:t>
      </w:r>
      <w:r w:rsidR="00EA087C">
        <w:t>s</w:t>
      </w:r>
      <w:r w:rsidR="260D1C75">
        <w:t>abiedriskā transporta pārvadājumu apjom</w:t>
      </w:r>
      <w:r w:rsidR="72CBC17D">
        <w:t>u</w:t>
      </w:r>
      <w:r w:rsidR="260D1C75">
        <w:t xml:space="preserve"> saglabā</w:t>
      </w:r>
      <w:r w:rsidR="49DD4539">
        <w:t>jot</w:t>
      </w:r>
      <w:r w:rsidR="260D1C75">
        <w:t xml:space="preserve"> esošajā (2025. gada maršrutu tīkla) apjomā.</w:t>
      </w:r>
    </w:p>
    <w:p w14:paraId="34779B6E" w14:textId="4EFF83B8" w:rsidR="755D5EAB" w:rsidRDefault="05A010BC" w:rsidP="7F9BBCD6">
      <w:pPr>
        <w:pStyle w:val="ListParagraph"/>
        <w:numPr>
          <w:ilvl w:val="0"/>
          <w:numId w:val="1"/>
        </w:numPr>
        <w:jc w:val="both"/>
      </w:pPr>
      <w:r>
        <w:t>Tiks veiktas detalizētas sarunas ar</w:t>
      </w:r>
      <w:r w:rsidR="7F96BBF9">
        <w:t xml:space="preserve"> 42 pašvaldībām par iespēju veikt maršruta tī</w:t>
      </w:r>
      <w:r w:rsidR="3CB46AED">
        <w:t>kl</w:t>
      </w:r>
      <w:r w:rsidR="7F96BBF9">
        <w:t xml:space="preserve">a pārstrukturizāciju, vienlaikus saskaņot iespējamo pārvadājumu </w:t>
      </w:r>
      <w:r w:rsidR="7D63E260">
        <w:t>plānu ar pārvadātājiem</w:t>
      </w:r>
      <w:r w:rsidR="76BC554C">
        <w:t>, t.sk. ņemot vērā saņemtos priekšlikumus un ieteikumus.</w:t>
      </w:r>
    </w:p>
    <w:p w14:paraId="1AD05C12" w14:textId="239424D4" w:rsidR="0248953F" w:rsidRDefault="07AECCB0" w:rsidP="002E67E9">
      <w:pPr>
        <w:pStyle w:val="ListParagraph"/>
        <w:numPr>
          <w:ilvl w:val="0"/>
          <w:numId w:val="1"/>
        </w:numPr>
        <w:jc w:val="both"/>
      </w:pPr>
      <w:r>
        <w:lastRenderedPageBreak/>
        <w:t>2026.</w:t>
      </w:r>
      <w:r w:rsidR="005F4BB6">
        <w:t xml:space="preserve"> </w:t>
      </w:r>
      <w:r>
        <w:t>gada pirmā pirmajā pusgadā</w:t>
      </w:r>
      <w:r w:rsidR="005F4BB6">
        <w:t xml:space="preserve"> </w:t>
      </w:r>
      <w:r>
        <w:t xml:space="preserve">tiks izstrādāta un </w:t>
      </w:r>
      <w:r w:rsidR="0C536D3F">
        <w:t xml:space="preserve">secīgi </w:t>
      </w:r>
      <w:r>
        <w:t>ieviesta</w:t>
      </w:r>
      <w:r w:rsidR="4A970327">
        <w:t xml:space="preserve"> </w:t>
      </w:r>
      <w:proofErr w:type="spellStart"/>
      <w:r w:rsidR="4A970327">
        <w:t>k</w:t>
      </w:r>
      <w:r w:rsidR="0CCE7238">
        <w:t>omercmaršrutu</w:t>
      </w:r>
      <w:proofErr w:type="spellEnd"/>
      <w:r w:rsidR="0CCE7238">
        <w:t xml:space="preserve"> stratēģija</w:t>
      </w:r>
      <w:r w:rsidR="360C4FF9">
        <w:t>, kas nodrošin</w:t>
      </w:r>
      <w:r w:rsidR="2B93BEC9">
        <w:t xml:space="preserve">ās maršrutu izpildīšanas nosacījumus </w:t>
      </w:r>
      <w:proofErr w:type="spellStart"/>
      <w:r w:rsidR="01548667">
        <w:t>komercmaršrutu</w:t>
      </w:r>
      <w:proofErr w:type="spellEnd"/>
      <w:r w:rsidR="01548667">
        <w:t xml:space="preserve"> </w:t>
      </w:r>
      <w:r w:rsidR="2B93BEC9">
        <w:t xml:space="preserve">pārvadātājiem un </w:t>
      </w:r>
      <w:r w:rsidR="49725092">
        <w:t xml:space="preserve">iedzīvotājiem </w:t>
      </w:r>
      <w:r w:rsidR="2B93BEC9">
        <w:t>iespēj</w:t>
      </w:r>
      <w:r w:rsidR="50029365">
        <w:t>u</w:t>
      </w:r>
      <w:r w:rsidR="2B93BEC9">
        <w:t xml:space="preserve"> saņemt </w:t>
      </w:r>
      <w:r w:rsidR="479304CE">
        <w:t xml:space="preserve">plašākus pārvadājumu </w:t>
      </w:r>
      <w:r w:rsidR="2B93BEC9">
        <w:t>pakalpojumu</w:t>
      </w:r>
      <w:r w:rsidR="30380C3A">
        <w:t>s</w:t>
      </w:r>
      <w:r w:rsidR="2B93BEC9">
        <w:t>.</w:t>
      </w:r>
    </w:p>
    <w:p w14:paraId="79129446" w14:textId="267C45ED" w:rsidR="4CE51D39" w:rsidRDefault="2B93BEC9">
      <w:pPr>
        <w:pStyle w:val="ListParagraph"/>
        <w:numPr>
          <w:ilvl w:val="0"/>
          <w:numId w:val="1"/>
        </w:numPr>
        <w:jc w:val="both"/>
        <w:rPr>
          <w:rFonts w:ascii="Times" w:eastAsia="Times" w:hAnsi="Times" w:cs="Times"/>
        </w:rPr>
      </w:pPr>
      <w:r w:rsidRPr="002E67E9">
        <w:rPr>
          <w:rFonts w:ascii="Times" w:eastAsia="Times" w:hAnsi="Times" w:cs="Times"/>
        </w:rPr>
        <w:t xml:space="preserve">2026. </w:t>
      </w:r>
      <w:r w:rsidR="3884B7E0" w:rsidRPr="002E67E9">
        <w:rPr>
          <w:rFonts w:ascii="Times" w:eastAsia="Times" w:hAnsi="Times" w:cs="Times"/>
        </w:rPr>
        <w:t>g</w:t>
      </w:r>
      <w:r w:rsidRPr="002E67E9">
        <w:rPr>
          <w:rFonts w:ascii="Times" w:eastAsia="Times" w:hAnsi="Times" w:cs="Times"/>
        </w:rPr>
        <w:t>ad</w:t>
      </w:r>
      <w:r w:rsidR="75D16B58" w:rsidRPr="7F9BBCD6">
        <w:rPr>
          <w:rFonts w:ascii="Times" w:eastAsia="Times" w:hAnsi="Times" w:cs="Times"/>
        </w:rPr>
        <w:t>ā</w:t>
      </w:r>
      <w:r w:rsidRPr="002E67E9">
        <w:rPr>
          <w:rFonts w:ascii="Times" w:eastAsia="Times" w:hAnsi="Times" w:cs="Times"/>
        </w:rPr>
        <w:t xml:space="preserve"> </w:t>
      </w:r>
      <w:r w:rsidR="00203E2C">
        <w:rPr>
          <w:rFonts w:ascii="Times" w:eastAsia="Times" w:hAnsi="Times" w:cs="Times"/>
        </w:rPr>
        <w:t xml:space="preserve">tiks uzsākta </w:t>
      </w:r>
      <w:r w:rsidRPr="002E67E9">
        <w:rPr>
          <w:rFonts w:ascii="Times" w:eastAsia="Times" w:hAnsi="Times" w:cs="Times"/>
        </w:rPr>
        <w:t>maršrutu tīkl</w:t>
      </w:r>
      <w:r w:rsidR="00203E2C">
        <w:rPr>
          <w:rFonts w:ascii="Times" w:eastAsia="Times" w:hAnsi="Times" w:cs="Times"/>
        </w:rPr>
        <w:t>a modelēšana,</w:t>
      </w:r>
      <w:r w:rsidRPr="002E67E9">
        <w:rPr>
          <w:rFonts w:ascii="Times" w:eastAsia="Times" w:hAnsi="Times" w:cs="Times"/>
        </w:rPr>
        <w:t xml:space="preserve"> </w:t>
      </w:r>
      <w:r w:rsidR="388E0B49" w:rsidRPr="7F9BBCD6">
        <w:rPr>
          <w:rFonts w:ascii="Times" w:eastAsia="Times" w:hAnsi="Times" w:cs="Times"/>
        </w:rPr>
        <w:t xml:space="preserve">balstoties uz faktisko </w:t>
      </w:r>
      <w:r w:rsidR="26946BC6" w:rsidRPr="7F9BBCD6">
        <w:rPr>
          <w:rFonts w:ascii="Times" w:eastAsia="Times" w:hAnsi="Times" w:cs="Times"/>
        </w:rPr>
        <w:t xml:space="preserve">iedzīvotāju pieprasījumu, kas </w:t>
      </w:r>
      <w:r w:rsidR="65E27FEE" w:rsidRPr="7F9BBCD6">
        <w:rPr>
          <w:rFonts w:ascii="Times" w:eastAsia="Times" w:hAnsi="Times" w:cs="Times"/>
        </w:rPr>
        <w:t>v</w:t>
      </w:r>
      <w:r w:rsidR="0E9031DC" w:rsidRPr="7F9BBCD6">
        <w:rPr>
          <w:rFonts w:ascii="Times" w:eastAsia="Times" w:hAnsi="Times" w:cs="Times"/>
        </w:rPr>
        <w:t xml:space="preserve">eicinās </w:t>
      </w:r>
      <w:r w:rsidR="34AC827C" w:rsidRPr="7F9BBCD6">
        <w:rPr>
          <w:rFonts w:ascii="Times" w:eastAsia="Times" w:hAnsi="Times" w:cs="Times"/>
        </w:rPr>
        <w:t xml:space="preserve">nobraukuma </w:t>
      </w:r>
      <w:r w:rsidR="6B282146" w:rsidRPr="7F9BBCD6">
        <w:rPr>
          <w:rFonts w:ascii="Times" w:eastAsia="Times" w:hAnsi="Times" w:cs="Times"/>
        </w:rPr>
        <w:t>optimiz</w:t>
      </w:r>
      <w:r w:rsidR="0CBB8CCF" w:rsidRPr="7F9BBCD6">
        <w:rPr>
          <w:rFonts w:ascii="Times" w:eastAsia="Times" w:hAnsi="Times" w:cs="Times"/>
        </w:rPr>
        <w:t>āciju</w:t>
      </w:r>
      <w:r w:rsidR="6B282146" w:rsidRPr="7F9BBCD6">
        <w:rPr>
          <w:rFonts w:ascii="Times" w:eastAsia="Times" w:hAnsi="Times" w:cs="Times"/>
        </w:rPr>
        <w:t xml:space="preserve"> </w:t>
      </w:r>
      <w:r w:rsidR="06A58EE6" w:rsidRPr="7F9BBCD6">
        <w:rPr>
          <w:rFonts w:ascii="Times" w:eastAsia="Times" w:hAnsi="Times" w:cs="Times"/>
        </w:rPr>
        <w:t>un</w:t>
      </w:r>
      <w:r w:rsidRPr="002E67E9">
        <w:rPr>
          <w:rFonts w:ascii="Times" w:eastAsia="Times" w:hAnsi="Times" w:cs="Times"/>
        </w:rPr>
        <w:t xml:space="preserve"> palielinā</w:t>
      </w:r>
      <w:r w:rsidR="64260595" w:rsidRPr="7F9BBCD6">
        <w:rPr>
          <w:rFonts w:ascii="Times" w:eastAsia="Times" w:hAnsi="Times" w:cs="Times"/>
        </w:rPr>
        <w:t>s</w:t>
      </w:r>
      <w:r w:rsidRPr="002E67E9">
        <w:rPr>
          <w:rFonts w:ascii="Times" w:eastAsia="Times" w:hAnsi="Times" w:cs="Times"/>
        </w:rPr>
        <w:t xml:space="preserve"> mobilitātes iespējas, piedāvājot pasažieriem labāku sabiedriskā transporta servisu – </w:t>
      </w:r>
      <w:r w:rsidR="5CA7E1E6" w:rsidRPr="002E67E9">
        <w:rPr>
          <w:rFonts w:ascii="Times" w:eastAsia="Times" w:hAnsi="Times" w:cs="Times"/>
        </w:rPr>
        <w:t xml:space="preserve">laika </w:t>
      </w:r>
      <w:r w:rsidRPr="002E67E9">
        <w:rPr>
          <w:rFonts w:ascii="Times" w:eastAsia="Times" w:hAnsi="Times" w:cs="Times"/>
        </w:rPr>
        <w:t>intervāla samazinājumu starp pieprasītākajiem reisiem</w:t>
      </w:r>
      <w:r w:rsidR="68DD88E2" w:rsidRPr="7F9BBCD6">
        <w:rPr>
          <w:rFonts w:ascii="Times" w:eastAsia="Times" w:hAnsi="Times" w:cs="Times"/>
        </w:rPr>
        <w:t xml:space="preserve"> vai</w:t>
      </w:r>
      <w:r w:rsidRPr="002E67E9">
        <w:rPr>
          <w:rFonts w:ascii="Times" w:eastAsia="Times" w:hAnsi="Times" w:cs="Times"/>
        </w:rPr>
        <w:t xml:space="preserve"> veidot vairāk pievedošo reisu uz vilcienu satiksmi</w:t>
      </w:r>
      <w:r w:rsidR="748683AF" w:rsidRPr="002E67E9">
        <w:rPr>
          <w:rFonts w:ascii="Times" w:eastAsia="Times" w:hAnsi="Times" w:cs="Times"/>
        </w:rPr>
        <w:t xml:space="preserve"> un tā rezultātā radot jaunus savienojumus.</w:t>
      </w:r>
    </w:p>
    <w:p w14:paraId="7442FE77" w14:textId="07B41F11" w:rsidR="2F2CB130" w:rsidRDefault="2F2CB130">
      <w:pPr>
        <w:pStyle w:val="ListParagraph"/>
        <w:numPr>
          <w:ilvl w:val="0"/>
          <w:numId w:val="1"/>
        </w:numPr>
        <w:jc w:val="both"/>
        <w:rPr>
          <w:rFonts w:ascii="Times" w:eastAsia="Times" w:hAnsi="Times" w:cs="Times"/>
        </w:rPr>
      </w:pPr>
      <w:r w:rsidRPr="7F9BBCD6">
        <w:rPr>
          <w:rFonts w:ascii="Times" w:eastAsia="Times" w:hAnsi="Times" w:cs="Times"/>
        </w:rPr>
        <w:t>Pašvaldības varēs iesaistīties maršrutu plānošanā</w:t>
      </w:r>
      <w:r w:rsidR="4F754E29" w:rsidRPr="7F9BBCD6">
        <w:rPr>
          <w:rFonts w:ascii="Times" w:eastAsia="Times" w:hAnsi="Times" w:cs="Times"/>
        </w:rPr>
        <w:t>,</w:t>
      </w:r>
      <w:r w:rsidRPr="7F9BBCD6">
        <w:rPr>
          <w:rFonts w:ascii="Times" w:eastAsia="Times" w:hAnsi="Times" w:cs="Times"/>
        </w:rPr>
        <w:t xml:space="preserve"> izmantojot piekļuvi kopējam maršrutu plānošanas rīkam</w:t>
      </w:r>
      <w:r w:rsidR="179F000B" w:rsidRPr="7F9BBCD6">
        <w:rPr>
          <w:rFonts w:ascii="Times" w:eastAsia="Times" w:hAnsi="Times" w:cs="Times"/>
        </w:rPr>
        <w:t>, kā rezultātā</w:t>
      </w:r>
      <w:r w:rsidR="0E16A22E" w:rsidRPr="7F9BBCD6">
        <w:rPr>
          <w:rFonts w:ascii="Times" w:eastAsia="Times" w:hAnsi="Times" w:cs="Times"/>
        </w:rPr>
        <w:t xml:space="preserve"> </w:t>
      </w:r>
      <w:r w:rsidRPr="7F9BBCD6">
        <w:rPr>
          <w:rFonts w:ascii="Times" w:eastAsia="Times" w:hAnsi="Times" w:cs="Times"/>
        </w:rPr>
        <w:t xml:space="preserve">vieglāk </w:t>
      </w:r>
      <w:r w:rsidR="006356CC">
        <w:rPr>
          <w:rFonts w:ascii="Times" w:eastAsia="Times" w:hAnsi="Times" w:cs="Times"/>
        </w:rPr>
        <w:t xml:space="preserve">varēs </w:t>
      </w:r>
      <w:r w:rsidRPr="7F9BBCD6">
        <w:rPr>
          <w:rFonts w:ascii="Times" w:eastAsia="Times" w:hAnsi="Times" w:cs="Times"/>
        </w:rPr>
        <w:t xml:space="preserve">ierosināt izmaiņas un </w:t>
      </w:r>
      <w:r w:rsidR="5D9B3F91" w:rsidRPr="7F9BBCD6">
        <w:rPr>
          <w:rFonts w:ascii="Times" w:eastAsia="Times" w:hAnsi="Times" w:cs="Times"/>
        </w:rPr>
        <w:t xml:space="preserve">pārraudzīt </w:t>
      </w:r>
      <w:r w:rsidRPr="7F9BBCD6">
        <w:rPr>
          <w:rFonts w:ascii="Times" w:eastAsia="Times" w:hAnsi="Times" w:cs="Times"/>
        </w:rPr>
        <w:t>sabiedriskā trans</w:t>
      </w:r>
      <w:r w:rsidR="55FADE19" w:rsidRPr="7F9BBCD6">
        <w:rPr>
          <w:rFonts w:ascii="Times" w:eastAsia="Times" w:hAnsi="Times" w:cs="Times"/>
        </w:rPr>
        <w:t xml:space="preserve">porta </w:t>
      </w:r>
      <w:r w:rsidR="36829DFD" w:rsidRPr="7F9BBCD6">
        <w:rPr>
          <w:rFonts w:ascii="Times" w:eastAsia="Times" w:hAnsi="Times" w:cs="Times"/>
        </w:rPr>
        <w:t>nodrošinājumu</w:t>
      </w:r>
      <w:r w:rsidR="55FADE19" w:rsidRPr="7F9BBCD6">
        <w:rPr>
          <w:rFonts w:ascii="Times" w:eastAsia="Times" w:hAnsi="Times" w:cs="Times"/>
        </w:rPr>
        <w:t>.</w:t>
      </w:r>
    </w:p>
    <w:p w14:paraId="34701D7D" w14:textId="4001AF6C" w:rsidR="7CDC4799" w:rsidRPr="00795E4A" w:rsidRDefault="006356CC">
      <w:pPr>
        <w:pStyle w:val="ListParagraph"/>
        <w:numPr>
          <w:ilvl w:val="0"/>
          <w:numId w:val="1"/>
        </w:numPr>
        <w:jc w:val="both"/>
        <w:rPr>
          <w:rFonts w:ascii="Times" w:eastAsia="Times" w:hAnsi="Times" w:cs="Times"/>
        </w:rPr>
      </w:pPr>
      <w:r w:rsidRPr="00795E4A">
        <w:rPr>
          <w:rFonts w:ascii="Times" w:eastAsia="Times" w:hAnsi="Times" w:cs="Times"/>
        </w:rPr>
        <w:t>Tiks i</w:t>
      </w:r>
      <w:r w:rsidR="4B2B559C" w:rsidRPr="00795E4A">
        <w:rPr>
          <w:rFonts w:ascii="Times" w:eastAsia="Times" w:hAnsi="Times" w:cs="Times"/>
        </w:rPr>
        <w:t>zveido</w:t>
      </w:r>
      <w:r w:rsidR="3408E547" w:rsidRPr="00795E4A">
        <w:rPr>
          <w:rFonts w:ascii="Times" w:eastAsia="Times" w:hAnsi="Times" w:cs="Times"/>
        </w:rPr>
        <w:t>t</w:t>
      </w:r>
      <w:r w:rsidR="00344084" w:rsidRPr="00795E4A">
        <w:rPr>
          <w:rFonts w:ascii="Times" w:eastAsia="Times" w:hAnsi="Times" w:cs="Times"/>
        </w:rPr>
        <w:t>s</w:t>
      </w:r>
      <w:r w:rsidR="3408E547" w:rsidRPr="00795E4A">
        <w:rPr>
          <w:rFonts w:ascii="Times" w:eastAsia="Times" w:hAnsi="Times" w:cs="Times"/>
        </w:rPr>
        <w:t xml:space="preserve"> </w:t>
      </w:r>
      <w:r w:rsidR="7954EF3C" w:rsidRPr="00795E4A">
        <w:rPr>
          <w:rFonts w:ascii="Times" w:eastAsia="Times" w:hAnsi="Times" w:cs="Times"/>
        </w:rPr>
        <w:t>“</w:t>
      </w:r>
      <w:r w:rsidR="3408E547" w:rsidRPr="00795E4A">
        <w:rPr>
          <w:rFonts w:ascii="Times" w:eastAsia="Times" w:hAnsi="Times" w:cs="Times"/>
        </w:rPr>
        <w:t>autotransports pēc pieprasījuma</w:t>
      </w:r>
      <w:r w:rsidR="5B6E4D26" w:rsidRPr="00795E4A">
        <w:rPr>
          <w:rFonts w:ascii="Times" w:eastAsia="Times" w:hAnsi="Times" w:cs="Times"/>
        </w:rPr>
        <w:t>”</w:t>
      </w:r>
      <w:r w:rsidR="3408E547" w:rsidRPr="00795E4A">
        <w:rPr>
          <w:rFonts w:ascii="Times" w:eastAsia="Times" w:hAnsi="Times" w:cs="Times"/>
        </w:rPr>
        <w:t xml:space="preserve"> modeli</w:t>
      </w:r>
      <w:r w:rsidRPr="00795E4A">
        <w:rPr>
          <w:rFonts w:ascii="Times" w:eastAsia="Times" w:hAnsi="Times" w:cs="Times"/>
        </w:rPr>
        <w:t>s</w:t>
      </w:r>
      <w:r w:rsidR="3408E547" w:rsidRPr="00795E4A">
        <w:rPr>
          <w:rFonts w:ascii="Times" w:eastAsia="Times" w:hAnsi="Times" w:cs="Times"/>
        </w:rPr>
        <w:t xml:space="preserve">, kas </w:t>
      </w:r>
      <w:r w:rsidRPr="00795E4A">
        <w:rPr>
          <w:rFonts w:ascii="Times" w:eastAsia="Times" w:hAnsi="Times" w:cs="Times"/>
        </w:rPr>
        <w:t>reģionos ar zemu vai neregulāru pieprasījumu</w:t>
      </w:r>
      <w:r w:rsidR="00344084" w:rsidRPr="00795E4A">
        <w:rPr>
          <w:rFonts w:ascii="Times" w:eastAsia="Times" w:hAnsi="Times" w:cs="Times"/>
        </w:rPr>
        <w:t>,</w:t>
      </w:r>
      <w:r w:rsidRPr="00795E4A">
        <w:rPr>
          <w:rFonts w:ascii="Times" w:eastAsia="Times" w:hAnsi="Times" w:cs="Times"/>
        </w:rPr>
        <w:t xml:space="preserve"> </w:t>
      </w:r>
      <w:r w:rsidR="3408E547" w:rsidRPr="00795E4A">
        <w:rPr>
          <w:rFonts w:ascii="Times" w:eastAsia="Times" w:hAnsi="Times" w:cs="Times"/>
        </w:rPr>
        <w:t>iedzīvotā</w:t>
      </w:r>
      <w:r w:rsidR="5CFEB702" w:rsidRPr="00795E4A">
        <w:rPr>
          <w:rFonts w:ascii="Times" w:eastAsia="Times" w:hAnsi="Times" w:cs="Times"/>
        </w:rPr>
        <w:t xml:space="preserve">jiem </w:t>
      </w:r>
      <w:r w:rsidR="263446A4" w:rsidRPr="00795E4A">
        <w:rPr>
          <w:rFonts w:ascii="Times" w:eastAsia="Times" w:hAnsi="Times" w:cs="Times"/>
        </w:rPr>
        <w:t xml:space="preserve">nodrošinās plašākas mobilitātes iespējas </w:t>
      </w:r>
      <w:r w:rsidR="7715E959" w:rsidRPr="00795E4A">
        <w:rPr>
          <w:rFonts w:ascii="Times" w:eastAsia="Times" w:hAnsi="Times" w:cs="Times"/>
        </w:rPr>
        <w:t xml:space="preserve">pēc vajadzības </w:t>
      </w:r>
      <w:r w:rsidR="263446A4" w:rsidRPr="00795E4A">
        <w:rPr>
          <w:rFonts w:ascii="Times" w:eastAsia="Times" w:hAnsi="Times" w:cs="Times"/>
        </w:rPr>
        <w:t>nokļū</w:t>
      </w:r>
      <w:r w:rsidR="00AB20C1" w:rsidRPr="00795E4A">
        <w:rPr>
          <w:rFonts w:ascii="Times" w:eastAsia="Times" w:hAnsi="Times" w:cs="Times"/>
        </w:rPr>
        <w:t>t</w:t>
      </w:r>
      <w:r w:rsidR="263446A4" w:rsidRPr="00795E4A">
        <w:rPr>
          <w:rFonts w:ascii="Times" w:eastAsia="Times" w:hAnsi="Times" w:cs="Times"/>
        </w:rPr>
        <w:t xml:space="preserve"> </w:t>
      </w:r>
      <w:r w:rsidR="0034614A">
        <w:rPr>
          <w:rFonts w:ascii="Times" w:eastAsia="Times" w:hAnsi="Times" w:cs="Times"/>
        </w:rPr>
        <w:t>līdz transporta pārs</w:t>
      </w:r>
      <w:r w:rsidR="00ED0ADC">
        <w:rPr>
          <w:rFonts w:ascii="Times" w:eastAsia="Times" w:hAnsi="Times" w:cs="Times"/>
        </w:rPr>
        <w:t>ēšanās punktiem</w:t>
      </w:r>
      <w:r w:rsidR="00E20711">
        <w:rPr>
          <w:rFonts w:ascii="Times" w:eastAsia="Times" w:hAnsi="Times" w:cs="Times"/>
        </w:rPr>
        <w:t>, kā arī</w:t>
      </w:r>
      <w:r w:rsidR="263446A4" w:rsidRPr="00795E4A">
        <w:rPr>
          <w:rFonts w:ascii="Times" w:eastAsia="Times" w:hAnsi="Times" w:cs="Times"/>
        </w:rPr>
        <w:t xml:space="preserve"> nodrošinot </w:t>
      </w:r>
      <w:r w:rsidR="00E20711">
        <w:rPr>
          <w:rFonts w:ascii="Times" w:eastAsia="Times" w:hAnsi="Times" w:cs="Times"/>
        </w:rPr>
        <w:t>iespēju nokļūt tuvākajās pakalpojumu saņemšanas vietās</w:t>
      </w:r>
      <w:r w:rsidR="50AF2FB9" w:rsidRPr="00795E4A">
        <w:rPr>
          <w:rFonts w:ascii="Times" w:eastAsia="Times" w:hAnsi="Times" w:cs="Times"/>
        </w:rPr>
        <w:t>.</w:t>
      </w:r>
    </w:p>
    <w:p w14:paraId="0ABE1E49" w14:textId="77777777" w:rsidR="005D50E8" w:rsidRDefault="005D50E8" w:rsidP="005D50E8">
      <w:pPr>
        <w:pStyle w:val="ListParagraph"/>
        <w:jc w:val="both"/>
      </w:pPr>
    </w:p>
    <w:p w14:paraId="143D5495" w14:textId="3931632B" w:rsidR="7CDC4799" w:rsidRDefault="7CDC4799" w:rsidP="7CDC4799"/>
    <w:p w14:paraId="00A374DA" w14:textId="7EEB9FD2" w:rsidR="000D096A" w:rsidRPr="00746E0A" w:rsidRDefault="00A87AF1" w:rsidP="00A87AF1">
      <w:pPr>
        <w:pStyle w:val="naisf"/>
        <w:tabs>
          <w:tab w:val="left" w:pos="709"/>
          <w:tab w:val="right" w:pos="8505"/>
        </w:tabs>
        <w:spacing w:before="0" w:after="0"/>
        <w:ind w:firstLine="0"/>
      </w:pPr>
      <w:bookmarkStart w:id="6" w:name="_Hlk517161978"/>
      <w:r>
        <w:tab/>
      </w:r>
      <w:r w:rsidR="000D096A" w:rsidRPr="00746E0A">
        <w:t xml:space="preserve">Satiksmes ministrs </w:t>
      </w:r>
      <w:r w:rsidR="00737C2C">
        <w:tab/>
      </w:r>
      <w:proofErr w:type="spellStart"/>
      <w:r w:rsidR="00410ED9">
        <w:t>A.Švinka</w:t>
      </w:r>
      <w:proofErr w:type="spellEnd"/>
    </w:p>
    <w:p w14:paraId="19C67809" w14:textId="77777777" w:rsidR="000D096A" w:rsidRPr="00C659FA" w:rsidRDefault="000D096A" w:rsidP="00A87AF1">
      <w:pPr>
        <w:jc w:val="both"/>
        <w:rPr>
          <w:sz w:val="28"/>
          <w:szCs w:val="28"/>
        </w:rPr>
      </w:pPr>
    </w:p>
    <w:bookmarkEnd w:id="6"/>
    <w:p w14:paraId="4F4976F4" w14:textId="77777777" w:rsidR="007D252A" w:rsidRDefault="007D252A"/>
    <w:p w14:paraId="427F1B75" w14:textId="77777777" w:rsidR="00EA087C" w:rsidRDefault="00EA087C"/>
    <w:p w14:paraId="284B5B93" w14:textId="77777777" w:rsidR="00EA087C" w:rsidRDefault="00EA087C"/>
    <w:p w14:paraId="4CF49E0B" w14:textId="77777777" w:rsidR="00EA087C" w:rsidRDefault="00EA087C"/>
    <w:p w14:paraId="7BED20D3" w14:textId="77777777" w:rsidR="00EA087C" w:rsidRDefault="00EA087C"/>
    <w:p w14:paraId="595FD563" w14:textId="77777777" w:rsidR="00EA087C" w:rsidRDefault="00EA087C"/>
    <w:p w14:paraId="19A370BC" w14:textId="77777777" w:rsidR="00EC77B9" w:rsidRDefault="00EC77B9" w:rsidP="00EC77B9">
      <w:pPr>
        <w:widowControl w:val="0"/>
        <w:tabs>
          <w:tab w:val="left" w:pos="720"/>
          <w:tab w:val="center" w:pos="4320"/>
          <w:tab w:val="right" w:pos="8640"/>
        </w:tabs>
        <w:rPr>
          <w:rFonts w:eastAsia="Calibri"/>
          <w:sz w:val="20"/>
          <w:szCs w:val="20"/>
        </w:rPr>
      </w:pPr>
      <w:r w:rsidRPr="00ED2E61">
        <w:rPr>
          <w:rFonts w:eastAsia="Calibri"/>
          <w:sz w:val="20"/>
          <w:szCs w:val="20"/>
        </w:rPr>
        <w:t>Veidliņa, 67028059</w:t>
      </w:r>
    </w:p>
    <w:p w14:paraId="2E28A953" w14:textId="77777777" w:rsidR="00EC77B9" w:rsidRDefault="00EC77B9" w:rsidP="00EC77B9">
      <w:pPr>
        <w:widowControl w:val="0"/>
        <w:tabs>
          <w:tab w:val="left" w:pos="720"/>
          <w:tab w:val="center" w:pos="4320"/>
          <w:tab w:val="right" w:pos="8640"/>
        </w:tabs>
        <w:rPr>
          <w:rFonts w:eastAsia="Calibri"/>
          <w:sz w:val="20"/>
          <w:szCs w:val="20"/>
        </w:rPr>
      </w:pPr>
      <w:hyperlink r:id="rId10" w:history="1">
        <w:r w:rsidRPr="005865F1">
          <w:rPr>
            <w:rStyle w:val="Hyperlink"/>
            <w:rFonts w:eastAsia="Calibri"/>
            <w:sz w:val="20"/>
            <w:szCs w:val="20"/>
          </w:rPr>
          <w:t>ruta.veidlina@sam.gov.lv</w:t>
        </w:r>
      </w:hyperlink>
    </w:p>
    <w:p w14:paraId="15F44F83" w14:textId="6B6BF1EC" w:rsidR="00032250" w:rsidRPr="00ED2E61" w:rsidRDefault="00032250" w:rsidP="00ED2E61">
      <w:pPr>
        <w:widowControl w:val="0"/>
        <w:tabs>
          <w:tab w:val="left" w:pos="720"/>
          <w:tab w:val="center" w:pos="4320"/>
          <w:tab w:val="right" w:pos="8640"/>
        </w:tabs>
        <w:rPr>
          <w:rFonts w:eastAsia="Calibri"/>
          <w:sz w:val="20"/>
          <w:szCs w:val="20"/>
        </w:rPr>
      </w:pPr>
    </w:p>
    <w:sectPr w:rsidR="00032250" w:rsidRPr="00ED2E61" w:rsidSect="004C4D6C">
      <w:headerReference w:type="default" r:id="rId11"/>
      <w:pgSz w:w="11906" w:h="16838"/>
      <w:pgMar w:top="1134" w:right="99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7D95F" w14:textId="77777777" w:rsidR="000A08A7" w:rsidRDefault="000A08A7" w:rsidP="000D096A">
      <w:r>
        <w:separator/>
      </w:r>
    </w:p>
  </w:endnote>
  <w:endnote w:type="continuationSeparator" w:id="0">
    <w:p w14:paraId="4C5FA33A" w14:textId="77777777" w:rsidR="000A08A7" w:rsidRDefault="000A08A7" w:rsidP="000D096A">
      <w:r>
        <w:continuationSeparator/>
      </w:r>
    </w:p>
  </w:endnote>
  <w:endnote w:type="continuationNotice" w:id="1">
    <w:p w14:paraId="55376A71" w14:textId="77777777" w:rsidR="000A08A7" w:rsidRDefault="000A08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Tilde">
    <w:altName w:val="Times New Roman"/>
    <w:charset w:val="00"/>
    <w:family w:val="roman"/>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Times">
    <w:panose1 w:val="02020603050405020304"/>
    <w:charset w:val="BA"/>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798CF" w14:textId="77777777" w:rsidR="000A08A7" w:rsidRDefault="000A08A7" w:rsidP="000D096A">
      <w:r>
        <w:separator/>
      </w:r>
    </w:p>
  </w:footnote>
  <w:footnote w:type="continuationSeparator" w:id="0">
    <w:p w14:paraId="25890658" w14:textId="77777777" w:rsidR="000A08A7" w:rsidRDefault="000A08A7" w:rsidP="000D096A">
      <w:r>
        <w:continuationSeparator/>
      </w:r>
    </w:p>
  </w:footnote>
  <w:footnote w:type="continuationNotice" w:id="1">
    <w:p w14:paraId="6CE6B2C6" w14:textId="77777777" w:rsidR="000A08A7" w:rsidRDefault="000A08A7"/>
  </w:footnote>
  <w:footnote w:id="2">
    <w:p w14:paraId="5FD34CA4" w14:textId="77777777" w:rsidR="00AE6710" w:rsidRPr="002E700C" w:rsidRDefault="00AE6710" w:rsidP="00AE6710">
      <w:pPr>
        <w:pStyle w:val="FootnoteText"/>
      </w:pPr>
      <w:r w:rsidRPr="002E700C">
        <w:rPr>
          <w:rStyle w:val="FootnoteReference"/>
        </w:rPr>
        <w:footnoteRef/>
      </w:r>
      <w:r w:rsidRPr="002E700C">
        <w:t xml:space="preserve"> Izskatīts Ministru kabineta 2023. gada 20. jūnija sēdē (prot. Nr.33, 49.§);</w:t>
      </w:r>
    </w:p>
  </w:footnote>
  <w:footnote w:id="3">
    <w:p w14:paraId="48302AD6" w14:textId="77777777" w:rsidR="00AE6710" w:rsidRPr="002E700C" w:rsidRDefault="00AE6710" w:rsidP="00AE6710">
      <w:pPr>
        <w:pStyle w:val="FootnoteText"/>
      </w:pPr>
      <w:r w:rsidRPr="002E700C">
        <w:rPr>
          <w:rStyle w:val="FootnoteReference"/>
        </w:rPr>
        <w:footnoteRef/>
      </w:r>
      <w:r w:rsidRPr="002E700C">
        <w:t xml:space="preserve"> Izskatīts </w:t>
      </w:r>
      <w:r w:rsidRPr="002E700C">
        <w:rPr>
          <w:bCs/>
        </w:rPr>
        <w:t>Ministru kabineta 2023. gada 28. novembra sēdē (prot. Nr.59, 58.§)</w:t>
      </w:r>
    </w:p>
  </w:footnote>
  <w:footnote w:id="4">
    <w:p w14:paraId="7AE825DC" w14:textId="3FDE6E57" w:rsidR="00AE6710" w:rsidRPr="002E700C" w:rsidRDefault="00AE6710" w:rsidP="00AE6710">
      <w:pPr>
        <w:pStyle w:val="FootnoteText"/>
        <w:jc w:val="both"/>
      </w:pPr>
      <w:r w:rsidRPr="002E700C">
        <w:rPr>
          <w:rStyle w:val="FootnoteReference"/>
        </w:rPr>
        <w:footnoteRef/>
      </w:r>
      <w:r w:rsidRPr="002E700C">
        <w:t xml:space="preserve"> Ministru kabineta 2019. gada 4. jūnija sēdē izskatīts </w:t>
      </w:r>
      <w:r w:rsidR="00C00DD2">
        <w:t>i</w:t>
      </w:r>
      <w:r w:rsidRPr="002E700C">
        <w:t>nformatīvais ziņojums “Par reģionālās nozīmes sabiedriskā transporta pakalpojumu attīstību 2021.-2030. gadam” (prot. Nr.27/28.§)</w:t>
      </w:r>
    </w:p>
  </w:footnote>
  <w:footnote w:id="5">
    <w:p w14:paraId="37016C1F" w14:textId="4F3C3C16" w:rsidR="00AE6710" w:rsidRDefault="00AE6710" w:rsidP="00AE6710">
      <w:pPr>
        <w:pStyle w:val="FootnoteText"/>
        <w:jc w:val="both"/>
      </w:pPr>
      <w:r w:rsidRPr="00B17F11">
        <w:rPr>
          <w:rStyle w:val="FootnoteReference"/>
        </w:rPr>
        <w:footnoteRef/>
      </w:r>
      <w:r w:rsidRPr="00B17F11">
        <w:t xml:space="preserve"> Sabiedriskā transporta padomes </w:t>
      </w:r>
      <w:r w:rsidRPr="5AC2584F">
        <w:rPr>
          <w:color w:val="000000" w:themeColor="text1"/>
        </w:rPr>
        <w:t>2024.gada 27.septembr</w:t>
      </w:r>
      <w:r>
        <w:rPr>
          <w:color w:val="000000" w:themeColor="text1"/>
        </w:rPr>
        <w:t>a</w:t>
      </w:r>
      <w:r w:rsidRPr="5AC2584F">
        <w:rPr>
          <w:color w:val="000000" w:themeColor="text1"/>
        </w:rPr>
        <w:t xml:space="preserve"> </w:t>
      </w:r>
      <w:r>
        <w:rPr>
          <w:color w:val="000000" w:themeColor="text1"/>
        </w:rPr>
        <w:t>lēmums</w:t>
      </w:r>
      <w:r w:rsidRPr="5AC2584F">
        <w:rPr>
          <w:color w:val="000000" w:themeColor="text1"/>
        </w:rPr>
        <w:t xml:space="preserve"> (prot. Nr. 12</w:t>
      </w:r>
      <w:r w:rsidR="00C00DD2">
        <w:rPr>
          <w:color w:val="000000" w:themeColor="text1"/>
        </w:rPr>
        <w:t xml:space="preserve">, </w:t>
      </w:r>
      <w:r w:rsidRPr="5AC2584F">
        <w:rPr>
          <w:color w:val="000000" w:themeColor="text1"/>
        </w:rPr>
        <w:t>1</w:t>
      </w:r>
      <w:r w:rsidR="00674636">
        <w:rPr>
          <w:color w:val="000000" w:themeColor="text1"/>
        </w:rPr>
        <w:t>.</w:t>
      </w:r>
      <w:r w:rsidR="00674636" w:rsidRPr="5AC2584F">
        <w:rPr>
          <w:color w:val="000000" w:themeColor="text1"/>
        </w:rPr>
        <w:t>§</w:t>
      </w:r>
      <w:r w:rsidRPr="5AC2584F">
        <w:rPr>
          <w:color w:val="000000" w:themeColor="text1"/>
        </w:rPr>
        <w:t>), 2025.gada 24.janvār</w:t>
      </w:r>
      <w:r>
        <w:rPr>
          <w:color w:val="000000" w:themeColor="text1"/>
        </w:rPr>
        <w:t>a lēmums</w:t>
      </w:r>
      <w:r w:rsidRPr="5AC2584F">
        <w:rPr>
          <w:color w:val="000000" w:themeColor="text1"/>
        </w:rPr>
        <w:t xml:space="preserve"> (prot. Nr.2</w:t>
      </w:r>
      <w:r w:rsidR="00C00DD2">
        <w:rPr>
          <w:color w:val="000000" w:themeColor="text1"/>
        </w:rPr>
        <w:t>,</w:t>
      </w:r>
      <w:r w:rsidRPr="5AC2584F">
        <w:rPr>
          <w:color w:val="000000" w:themeColor="text1"/>
        </w:rPr>
        <w:t xml:space="preserve"> </w:t>
      </w:r>
      <w:r w:rsidR="00674636" w:rsidRPr="5AC2584F">
        <w:rPr>
          <w:color w:val="000000" w:themeColor="text1"/>
        </w:rPr>
        <w:t>4</w:t>
      </w:r>
      <w:r w:rsidR="00674636">
        <w:rPr>
          <w:color w:val="000000" w:themeColor="text1"/>
        </w:rPr>
        <w:t>.</w:t>
      </w:r>
      <w:r w:rsidRPr="5AC2584F">
        <w:rPr>
          <w:color w:val="000000" w:themeColor="text1"/>
        </w:rPr>
        <w:t>§), 2025.gada 11.jūnij</w:t>
      </w:r>
      <w:r>
        <w:rPr>
          <w:color w:val="000000" w:themeColor="text1"/>
        </w:rPr>
        <w:t>a lēmums</w:t>
      </w:r>
      <w:r w:rsidRPr="5AC2584F">
        <w:rPr>
          <w:color w:val="000000" w:themeColor="text1"/>
        </w:rPr>
        <w:t xml:space="preserve"> (prot. Nr. 10</w:t>
      </w:r>
      <w:r w:rsidR="00C00DD2">
        <w:rPr>
          <w:color w:val="000000" w:themeColor="text1"/>
        </w:rPr>
        <w:t>,</w:t>
      </w:r>
      <w:r w:rsidRPr="5AC2584F">
        <w:rPr>
          <w:color w:val="000000" w:themeColor="text1"/>
        </w:rPr>
        <w:t xml:space="preserve"> </w:t>
      </w:r>
      <w:r w:rsidR="00674636" w:rsidRPr="5AC2584F">
        <w:rPr>
          <w:color w:val="000000" w:themeColor="text1"/>
        </w:rPr>
        <w:t>1</w:t>
      </w:r>
      <w:r w:rsidR="00674636">
        <w:rPr>
          <w:color w:val="000000" w:themeColor="text1"/>
        </w:rPr>
        <w:t>.</w:t>
      </w:r>
      <w:r w:rsidRPr="5AC2584F">
        <w:rPr>
          <w:color w:val="000000" w:themeColor="text1"/>
        </w:rPr>
        <w:t>§), 2025.gada 18.jūlij</w:t>
      </w:r>
      <w:r>
        <w:rPr>
          <w:color w:val="000000" w:themeColor="text1"/>
        </w:rPr>
        <w:t>a lēmums</w:t>
      </w:r>
      <w:r w:rsidRPr="5AC2584F">
        <w:rPr>
          <w:color w:val="000000" w:themeColor="text1"/>
        </w:rPr>
        <w:t xml:space="preserve"> (prot. Nr. 12</w:t>
      </w:r>
      <w:r w:rsidR="00C00DD2">
        <w:rPr>
          <w:color w:val="000000" w:themeColor="text1"/>
        </w:rPr>
        <w:t>,</w:t>
      </w:r>
      <w:r w:rsidRPr="5AC2584F">
        <w:rPr>
          <w:color w:val="000000" w:themeColor="text1"/>
        </w:rPr>
        <w:t xml:space="preserve"> </w:t>
      </w:r>
      <w:r w:rsidR="00674636" w:rsidRPr="5AC2584F">
        <w:rPr>
          <w:color w:val="000000" w:themeColor="text1"/>
        </w:rPr>
        <w:t>1</w:t>
      </w:r>
      <w:r w:rsidR="00674636">
        <w:rPr>
          <w:color w:val="000000" w:themeColor="text1"/>
        </w:rPr>
        <w:t>.</w:t>
      </w:r>
      <w:r w:rsidRPr="5AC2584F">
        <w:rPr>
          <w:color w:val="000000" w:themeColor="text1"/>
        </w:rPr>
        <w:t>§) un 2025.gada 4.septembr</w:t>
      </w:r>
      <w:r>
        <w:rPr>
          <w:color w:val="000000" w:themeColor="text1"/>
        </w:rPr>
        <w:t>a lēmums</w:t>
      </w:r>
      <w:r w:rsidRPr="5AC2584F">
        <w:rPr>
          <w:color w:val="000000" w:themeColor="text1"/>
        </w:rPr>
        <w:t xml:space="preserve"> (prot. Nr. 14</w:t>
      </w:r>
      <w:r w:rsidR="00C00DD2">
        <w:rPr>
          <w:color w:val="000000" w:themeColor="text1"/>
        </w:rPr>
        <w:t xml:space="preserve">, </w:t>
      </w:r>
      <w:r w:rsidR="00674636" w:rsidRPr="5AC2584F">
        <w:rPr>
          <w:color w:val="000000" w:themeColor="text1"/>
        </w:rPr>
        <w:t>3</w:t>
      </w:r>
      <w:r w:rsidR="00674636">
        <w:rPr>
          <w:color w:val="000000" w:themeColor="text1"/>
        </w:rPr>
        <w:t>.</w:t>
      </w:r>
      <w:r w:rsidRPr="5AC2584F">
        <w:rPr>
          <w:color w:val="000000" w:themeColor="text1"/>
        </w:rPr>
        <w:t>§)</w:t>
      </w:r>
    </w:p>
  </w:footnote>
  <w:footnote w:id="6">
    <w:p w14:paraId="4C9DBD33" w14:textId="77777777" w:rsidR="00AE6710" w:rsidRPr="002E700C" w:rsidRDefault="00AE6710" w:rsidP="00AE6710">
      <w:pPr>
        <w:pStyle w:val="FootnoteText"/>
        <w:jc w:val="both"/>
      </w:pPr>
      <w:r w:rsidRPr="002E700C">
        <w:rPr>
          <w:rStyle w:val="FootnoteReference"/>
        </w:rPr>
        <w:footnoteRef/>
      </w:r>
      <w:r w:rsidRPr="002E700C">
        <w:t xml:space="preserve"> Jūrmalas domes 2023.gada 24.augusta saistošie noteikumi Nr.21 “Par pabalstu transporta izdevumu segšanai”</w:t>
      </w:r>
    </w:p>
  </w:footnote>
  <w:footnote w:id="7">
    <w:p w14:paraId="5A70227F" w14:textId="77777777" w:rsidR="00AE6710" w:rsidRPr="002E700C" w:rsidRDefault="00AE6710" w:rsidP="00AE6710">
      <w:pPr>
        <w:pStyle w:val="FootnoteText"/>
        <w:jc w:val="both"/>
      </w:pPr>
      <w:r w:rsidRPr="002E700C">
        <w:rPr>
          <w:rStyle w:val="FootnoteReference"/>
        </w:rPr>
        <w:footnoteRef/>
      </w:r>
      <w:r w:rsidRPr="002E700C">
        <w:t xml:space="preserve"> Vilcienu pārvadājumos abonementa biļetes vietā apstiprināt jaunu biļešu veidu – laika biļete: </w:t>
      </w:r>
    </w:p>
    <w:p w14:paraId="1AE83B3B" w14:textId="77777777" w:rsidR="00AE6710" w:rsidRPr="002E700C" w:rsidRDefault="00AE6710" w:rsidP="00AE6710">
      <w:pPr>
        <w:pStyle w:val="FootnoteText"/>
        <w:jc w:val="both"/>
      </w:pPr>
      <w:r w:rsidRPr="002E700C">
        <w:t xml:space="preserve">1. 30 dienām, braucieniem abos virzienos, kuras cenu veido 20 braucieni; </w:t>
      </w:r>
    </w:p>
    <w:p w14:paraId="5A34F8C9" w14:textId="77777777" w:rsidR="00AE6710" w:rsidRPr="002E700C" w:rsidRDefault="00AE6710" w:rsidP="00AE6710">
      <w:pPr>
        <w:pStyle w:val="FootnoteText"/>
        <w:jc w:val="both"/>
      </w:pPr>
      <w:r w:rsidRPr="002E700C">
        <w:t xml:space="preserve">2. 1 dienai, braucieniem abos virzienos, kuras cenu veido 3 braucieni; </w:t>
      </w:r>
    </w:p>
    <w:p w14:paraId="3D391342" w14:textId="77777777" w:rsidR="00AE6710" w:rsidRPr="002E700C" w:rsidRDefault="00AE6710" w:rsidP="00AE6710">
      <w:pPr>
        <w:pStyle w:val="FootnoteText"/>
        <w:jc w:val="both"/>
      </w:pPr>
      <w:r w:rsidRPr="002E700C">
        <w:t xml:space="preserve">3. 3 dienām, braucieniem abos virzienos, kuras cenu veido 4,5 braucieni; </w:t>
      </w:r>
    </w:p>
    <w:p w14:paraId="51A49574" w14:textId="77777777" w:rsidR="00AE6710" w:rsidRPr="002E700C" w:rsidRDefault="00AE6710" w:rsidP="00AE6710">
      <w:pPr>
        <w:pStyle w:val="FootnoteText"/>
        <w:jc w:val="both"/>
      </w:pPr>
      <w:r w:rsidRPr="002E700C">
        <w:t>4. 5 dienām, braucieniem abos virzienos, kuras cenu veido 7,5 braucieni.</w:t>
      </w:r>
    </w:p>
    <w:p w14:paraId="3206721C" w14:textId="77777777" w:rsidR="00AE6710" w:rsidRPr="002E700C" w:rsidRDefault="00AE6710" w:rsidP="00AE6710">
      <w:pPr>
        <w:pStyle w:val="FootnoteText"/>
        <w:jc w:val="both"/>
      </w:pPr>
      <w:r w:rsidRPr="002E700C">
        <w:t>Autobusu pārvadājumos:</w:t>
      </w:r>
    </w:p>
    <w:p w14:paraId="3C547663" w14:textId="77777777" w:rsidR="00AE6710" w:rsidRPr="002E700C" w:rsidRDefault="00AE6710" w:rsidP="00AE6710">
      <w:pPr>
        <w:pStyle w:val="FootnoteText"/>
        <w:jc w:val="both"/>
      </w:pPr>
      <w:r w:rsidRPr="002E700C">
        <w:t>1. abonementa biļetes vietā apstiprināt jaunu biļešu veidu – laika biļeti 30 dienām braucieniem abos virzienos, kuras cenu veido 20 braucieni;</w:t>
      </w:r>
    </w:p>
    <w:p w14:paraId="0F4E821E" w14:textId="77777777" w:rsidR="00AE6710" w:rsidRPr="002E700C" w:rsidRDefault="00AE6710" w:rsidP="00AE6710">
      <w:pPr>
        <w:pStyle w:val="FootnoteText"/>
        <w:jc w:val="both"/>
      </w:pPr>
      <w:r w:rsidRPr="002E700C">
        <w:t xml:space="preserve">2. vienreizējās biļetes vietā apstiprināt jaunu biļešu veidu –biļete vienam braucienam; </w:t>
      </w:r>
    </w:p>
    <w:p w14:paraId="51E27DAF" w14:textId="77777777" w:rsidR="00AE6710" w:rsidRPr="002E700C" w:rsidRDefault="00AE6710" w:rsidP="00AE6710">
      <w:pPr>
        <w:pStyle w:val="FootnoteText"/>
        <w:jc w:val="both"/>
      </w:pPr>
      <w:r w:rsidRPr="002E700C">
        <w:t>3. saglabāt šādus braucienu skaita abonementa biļešu veidus, kas izlietojami 60 dienās: abonementa biļete 10 līdz 19 braucieniem ar atlaidi 10%, abonementa biļete 20 līdz 34 braucieniem ar atlaidi 15% un abonementa biļete 35 un vairāk braucieniem ar atlaidi 20%.</w:t>
      </w:r>
    </w:p>
  </w:footnote>
  <w:footnote w:id="8">
    <w:p w14:paraId="78FC72AB" w14:textId="77777777" w:rsidR="00AE6710" w:rsidRPr="003136F0" w:rsidRDefault="00AE6710" w:rsidP="00AE6710">
      <w:pPr>
        <w:pStyle w:val="FootnoteText"/>
        <w:jc w:val="both"/>
      </w:pPr>
      <w:r>
        <w:rPr>
          <w:rStyle w:val="FootnoteReference"/>
        </w:rPr>
        <w:footnoteRef/>
      </w:r>
      <w:r>
        <w:t xml:space="preserve"> </w:t>
      </w:r>
      <w:r w:rsidRPr="00A81D73">
        <w:rPr>
          <w:sz w:val="24"/>
          <w:szCs w:val="24"/>
        </w:rPr>
        <w:t xml:space="preserve"> </w:t>
      </w:r>
      <w:hyperlink r:id="rId1" w:history="1">
        <w:r w:rsidRPr="003136F0">
          <w:rPr>
            <w:rStyle w:val="Hyperlink"/>
            <w:color w:val="auto"/>
            <w:u w:val="none"/>
          </w:rPr>
          <w:t xml:space="preserve">Strādājošo mēneša vidējā darba samaksa un mediāna (pārmaiņas pret iepriekšējo periodu (%)) – Sektors, Bruto/ Neto, Rādītāji un Laika periods. </w:t>
        </w:r>
        <w:proofErr w:type="spellStart"/>
        <w:r w:rsidRPr="003136F0">
          <w:rPr>
            <w:rStyle w:val="Hyperlink"/>
            <w:color w:val="auto"/>
            <w:u w:val="none"/>
          </w:rPr>
          <w:t>PxWeb</w:t>
        </w:r>
        <w:proofErr w:type="spellEnd"/>
      </w:hyperlink>
    </w:p>
  </w:footnote>
  <w:footnote w:id="9">
    <w:p w14:paraId="07C810FF" w14:textId="77777777" w:rsidR="00AE6710" w:rsidRDefault="00AE6710" w:rsidP="00AE6710">
      <w:pPr>
        <w:pStyle w:val="FootnoteText"/>
        <w:jc w:val="both"/>
      </w:pPr>
      <w:r w:rsidRPr="003136F0">
        <w:rPr>
          <w:rStyle w:val="FootnoteReference"/>
        </w:rPr>
        <w:footnoteRef/>
      </w:r>
      <w:r w:rsidRPr="003136F0">
        <w:t xml:space="preserve"> </w:t>
      </w:r>
      <w:hyperlink r:id="rId2" w:history="1">
        <w:r w:rsidRPr="003136F0">
          <w:rPr>
            <w:rStyle w:val="Hyperlink"/>
            <w:color w:val="auto"/>
            <w:u w:val="none"/>
          </w:rPr>
          <w:t xml:space="preserve">Patēriņa cenu pārmaiņas grupās un apakšgrupās (procentos pret iepriekšējo gadu) – Grupas un apakšgrupas (ECOICOP) un Laika periods. </w:t>
        </w:r>
        <w:proofErr w:type="spellStart"/>
        <w:r w:rsidRPr="003136F0">
          <w:rPr>
            <w:rStyle w:val="Hyperlink"/>
            <w:color w:val="auto"/>
            <w:u w:val="none"/>
          </w:rPr>
          <w:t>PxWeb</w:t>
        </w:r>
        <w:proofErr w:type="spellEnd"/>
      </w:hyperlink>
    </w:p>
  </w:footnote>
  <w:footnote w:id="10">
    <w:p w14:paraId="0557A904" w14:textId="439DFCA6" w:rsidR="00B002A8" w:rsidRDefault="00B002A8" w:rsidP="003136F0">
      <w:pPr>
        <w:pStyle w:val="FootnoteText"/>
        <w:jc w:val="both"/>
      </w:pPr>
      <w:r>
        <w:rPr>
          <w:rStyle w:val="FootnoteReference"/>
        </w:rPr>
        <w:footnoteRef/>
      </w:r>
      <w:r>
        <w:t xml:space="preserve"> Tabulā nav iekļauta informācija par kompensācijām, kas izmaksājama komercpārvadājumos radušos izdevumu segšanai par personu ar braukšanas maksas atvieglojumiem pārvadāšanu (Sabiedriskā transporta pakalpojumu likuma Pārejas noteikumu 35.punkts un MK noteikumu Nr.435 </w:t>
      </w:r>
      <w:r w:rsidR="008E1E23">
        <w:t>58.</w:t>
      </w:r>
      <w:r w:rsidR="008E1E23" w:rsidRPr="003136F0">
        <w:rPr>
          <w:vertAlign w:val="superscript"/>
        </w:rPr>
        <w:t>6</w:t>
      </w:r>
      <w:r w:rsidR="008E1E23">
        <w:t>-58.</w:t>
      </w:r>
      <w:r w:rsidR="008E1E23" w:rsidRPr="003136F0">
        <w:rPr>
          <w:vertAlign w:val="superscript"/>
        </w:rPr>
        <w:t>15</w:t>
      </w:r>
      <w:r w:rsidR="008E1E23">
        <w:t xml:space="preserve">punkts. Šim mērķim paredzētais finansējums ik gadu 850 000 </w:t>
      </w:r>
      <w:proofErr w:type="spellStart"/>
      <w:r w:rsidR="008E1E23" w:rsidRPr="003136F0">
        <w:rPr>
          <w:i/>
          <w:iCs/>
        </w:rPr>
        <w:t>euro</w:t>
      </w:r>
      <w:proofErr w:type="spellEnd"/>
      <w:r w:rsidR="008E1E23">
        <w:t>.</w:t>
      </w:r>
    </w:p>
  </w:footnote>
  <w:footnote w:id="11">
    <w:p w14:paraId="4FC4731D" w14:textId="6965488E" w:rsidR="00535A1E" w:rsidRDefault="00535A1E">
      <w:pPr>
        <w:pStyle w:val="FootnoteText"/>
      </w:pPr>
      <w:r>
        <w:rPr>
          <w:rStyle w:val="FootnoteReference"/>
        </w:rPr>
        <w:footnoteRef/>
      </w:r>
      <w:r>
        <w:t xml:space="preserve"> </w:t>
      </w:r>
      <w:r w:rsidRPr="00AE6710">
        <w:rPr>
          <w:rFonts w:eastAsiaTheme="minorHAnsi"/>
          <w:lang w:eastAsia="en-US"/>
        </w:rPr>
        <w:t xml:space="preserve">Latvijā 2022. – 2025. gadā strauji tika palielināta minimālā alga no 430 </w:t>
      </w:r>
      <w:proofErr w:type="spellStart"/>
      <w:r>
        <w:rPr>
          <w:rFonts w:eastAsiaTheme="minorHAnsi"/>
          <w:i/>
          <w:iCs/>
          <w:lang w:eastAsia="en-US"/>
        </w:rPr>
        <w:t>euro</w:t>
      </w:r>
      <w:proofErr w:type="spellEnd"/>
      <w:r w:rsidRPr="00AE6710">
        <w:rPr>
          <w:rFonts w:eastAsiaTheme="minorHAnsi"/>
          <w:lang w:eastAsia="en-US"/>
        </w:rPr>
        <w:t xml:space="preserve"> mēnesī līdz 740 </w:t>
      </w:r>
      <w:proofErr w:type="spellStart"/>
      <w:r>
        <w:rPr>
          <w:rFonts w:eastAsiaTheme="minorHAnsi"/>
          <w:i/>
          <w:iCs/>
          <w:lang w:eastAsia="en-US"/>
        </w:rPr>
        <w:t>euro</w:t>
      </w:r>
      <w:proofErr w:type="spellEnd"/>
      <w:r w:rsidRPr="00AE6710">
        <w:rPr>
          <w:rFonts w:eastAsiaTheme="minorHAnsi"/>
          <w:lang w:eastAsia="en-US"/>
        </w:rPr>
        <w:t xml:space="preserve"> mēnesī vai par 72 %, salīdzinot ar 2022. gadu</w:t>
      </w:r>
      <w:r>
        <w:rPr>
          <w:rFonts w:eastAsiaTheme="minorHAnsi"/>
          <w:lang w:eastAsia="en-US"/>
        </w:rPr>
        <w:t xml:space="preserve">. 2026.gadā minimālās algas apmērs ir jau </w:t>
      </w:r>
      <w:r w:rsidRPr="00535A1E">
        <w:rPr>
          <w:rFonts w:eastAsiaTheme="minorHAnsi"/>
          <w:lang w:eastAsia="en-US"/>
        </w:rPr>
        <w:t>780</w:t>
      </w:r>
      <w:r>
        <w:rPr>
          <w:rFonts w:eastAsiaTheme="minorHAnsi"/>
          <w:lang w:eastAsia="en-US"/>
        </w:rPr>
        <w:t xml:space="preserve"> </w:t>
      </w:r>
      <w:proofErr w:type="spellStart"/>
      <w:r w:rsidRPr="00D422DB">
        <w:rPr>
          <w:rFonts w:eastAsiaTheme="minorHAnsi"/>
          <w:i/>
          <w:iCs/>
          <w:lang w:eastAsia="en-US"/>
        </w:rPr>
        <w:t>euro</w:t>
      </w:r>
      <w:proofErr w:type="spellEnd"/>
      <w:r>
        <w:rPr>
          <w:rFonts w:eastAsiaTheme="minorHAnsi"/>
          <w:lang w:eastAsia="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5586"/>
      <w:docPartObj>
        <w:docPartGallery w:val="Page Numbers (Top of Page)"/>
        <w:docPartUnique/>
      </w:docPartObj>
    </w:sdtPr>
    <w:sdtEndPr>
      <w:rPr>
        <w:noProof/>
      </w:rPr>
    </w:sdtEndPr>
    <w:sdtContent>
      <w:p w14:paraId="07F41B8C" w14:textId="4C5FA071" w:rsidR="006A2CD5" w:rsidRDefault="006A2CD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D6A88B4" w14:textId="77777777" w:rsidR="006A2CD5" w:rsidRDefault="006A2C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E181B"/>
    <w:multiLevelType w:val="hybridMultilevel"/>
    <w:tmpl w:val="D0C0F960"/>
    <w:lvl w:ilvl="0" w:tplc="F7621B62">
      <w:start w:val="5"/>
      <w:numFmt w:val="bullet"/>
      <w:lvlText w:val="-"/>
      <w:lvlJc w:val="left"/>
      <w:pPr>
        <w:ind w:left="1069" w:hanging="360"/>
      </w:pPr>
      <w:rPr>
        <w:rFonts w:ascii="Times New Roman" w:eastAsia="Times New Roman"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 w15:restartNumberingAfterBreak="0">
    <w:nsid w:val="0EB31CBE"/>
    <w:multiLevelType w:val="hybridMultilevel"/>
    <w:tmpl w:val="CB4EFACA"/>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 w15:restartNumberingAfterBreak="0">
    <w:nsid w:val="12AC153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41B85DD"/>
    <w:multiLevelType w:val="hybridMultilevel"/>
    <w:tmpl w:val="FFFFFFFF"/>
    <w:lvl w:ilvl="0" w:tplc="F7BEDF6A">
      <w:start w:val="1"/>
      <w:numFmt w:val="bullet"/>
      <w:lvlText w:val="·"/>
      <w:lvlJc w:val="left"/>
      <w:pPr>
        <w:ind w:left="720" w:hanging="360"/>
      </w:pPr>
      <w:rPr>
        <w:rFonts w:ascii="Symbol" w:hAnsi="Symbol" w:hint="default"/>
      </w:rPr>
    </w:lvl>
    <w:lvl w:ilvl="1" w:tplc="63CE5396">
      <w:start w:val="1"/>
      <w:numFmt w:val="bullet"/>
      <w:lvlText w:val="o"/>
      <w:lvlJc w:val="left"/>
      <w:pPr>
        <w:ind w:left="1440" w:hanging="360"/>
      </w:pPr>
      <w:rPr>
        <w:rFonts w:ascii="Courier New" w:hAnsi="Courier New" w:hint="default"/>
      </w:rPr>
    </w:lvl>
    <w:lvl w:ilvl="2" w:tplc="2A56B372">
      <w:start w:val="1"/>
      <w:numFmt w:val="bullet"/>
      <w:lvlText w:val=""/>
      <w:lvlJc w:val="left"/>
      <w:pPr>
        <w:ind w:left="2160" w:hanging="360"/>
      </w:pPr>
      <w:rPr>
        <w:rFonts w:ascii="Wingdings" w:hAnsi="Wingdings" w:hint="default"/>
      </w:rPr>
    </w:lvl>
    <w:lvl w:ilvl="3" w:tplc="8B3E7592">
      <w:start w:val="1"/>
      <w:numFmt w:val="bullet"/>
      <w:lvlText w:val=""/>
      <w:lvlJc w:val="left"/>
      <w:pPr>
        <w:ind w:left="2880" w:hanging="360"/>
      </w:pPr>
      <w:rPr>
        <w:rFonts w:ascii="Symbol" w:hAnsi="Symbol" w:hint="default"/>
      </w:rPr>
    </w:lvl>
    <w:lvl w:ilvl="4" w:tplc="0234FE28">
      <w:start w:val="1"/>
      <w:numFmt w:val="bullet"/>
      <w:lvlText w:val="o"/>
      <w:lvlJc w:val="left"/>
      <w:pPr>
        <w:ind w:left="3600" w:hanging="360"/>
      </w:pPr>
      <w:rPr>
        <w:rFonts w:ascii="Courier New" w:hAnsi="Courier New" w:hint="default"/>
      </w:rPr>
    </w:lvl>
    <w:lvl w:ilvl="5" w:tplc="F67C84D2">
      <w:start w:val="1"/>
      <w:numFmt w:val="bullet"/>
      <w:lvlText w:val=""/>
      <w:lvlJc w:val="left"/>
      <w:pPr>
        <w:ind w:left="4320" w:hanging="360"/>
      </w:pPr>
      <w:rPr>
        <w:rFonts w:ascii="Wingdings" w:hAnsi="Wingdings" w:hint="default"/>
      </w:rPr>
    </w:lvl>
    <w:lvl w:ilvl="6" w:tplc="DD3866AE">
      <w:start w:val="1"/>
      <w:numFmt w:val="bullet"/>
      <w:lvlText w:val=""/>
      <w:lvlJc w:val="left"/>
      <w:pPr>
        <w:ind w:left="5040" w:hanging="360"/>
      </w:pPr>
      <w:rPr>
        <w:rFonts w:ascii="Symbol" w:hAnsi="Symbol" w:hint="default"/>
      </w:rPr>
    </w:lvl>
    <w:lvl w:ilvl="7" w:tplc="8A66CCD4">
      <w:start w:val="1"/>
      <w:numFmt w:val="bullet"/>
      <w:lvlText w:val="o"/>
      <w:lvlJc w:val="left"/>
      <w:pPr>
        <w:ind w:left="5760" w:hanging="360"/>
      </w:pPr>
      <w:rPr>
        <w:rFonts w:ascii="Courier New" w:hAnsi="Courier New" w:hint="default"/>
      </w:rPr>
    </w:lvl>
    <w:lvl w:ilvl="8" w:tplc="581810A6">
      <w:start w:val="1"/>
      <w:numFmt w:val="bullet"/>
      <w:lvlText w:val=""/>
      <w:lvlJc w:val="left"/>
      <w:pPr>
        <w:ind w:left="6480" w:hanging="360"/>
      </w:pPr>
      <w:rPr>
        <w:rFonts w:ascii="Wingdings" w:hAnsi="Wingdings" w:hint="default"/>
      </w:rPr>
    </w:lvl>
  </w:abstractNum>
  <w:abstractNum w:abstractNumId="4" w15:restartNumberingAfterBreak="0">
    <w:nsid w:val="1E445FEB"/>
    <w:multiLevelType w:val="hybridMultilevel"/>
    <w:tmpl w:val="038A25CE"/>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 w15:restartNumberingAfterBreak="0">
    <w:nsid w:val="207B3C79"/>
    <w:multiLevelType w:val="hybridMultilevel"/>
    <w:tmpl w:val="CDE8B708"/>
    <w:lvl w:ilvl="0" w:tplc="79A8B030">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10E54FC"/>
    <w:multiLevelType w:val="hybridMultilevel"/>
    <w:tmpl w:val="D7D0CF78"/>
    <w:lvl w:ilvl="0" w:tplc="0426000F">
      <w:start w:val="1"/>
      <w:numFmt w:val="decimal"/>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7" w15:restartNumberingAfterBreak="0">
    <w:nsid w:val="28613DB7"/>
    <w:multiLevelType w:val="hybridMultilevel"/>
    <w:tmpl w:val="1332B43A"/>
    <w:lvl w:ilvl="0" w:tplc="690EAD62">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8" w15:restartNumberingAfterBreak="0">
    <w:nsid w:val="29E608CA"/>
    <w:multiLevelType w:val="multilevel"/>
    <w:tmpl w:val="7AF6C64E"/>
    <w:lvl w:ilvl="0">
      <w:start w:val="1"/>
      <w:numFmt w:val="decimal"/>
      <w:lvlText w:val="%1."/>
      <w:lvlJc w:val="left"/>
      <w:pPr>
        <w:ind w:left="1069"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389" w:hanging="1800"/>
      </w:pPr>
      <w:rPr>
        <w:rFonts w:hint="default"/>
      </w:rPr>
    </w:lvl>
  </w:abstractNum>
  <w:abstractNum w:abstractNumId="9" w15:restartNumberingAfterBreak="0">
    <w:nsid w:val="2A856D42"/>
    <w:multiLevelType w:val="hybridMultilevel"/>
    <w:tmpl w:val="E6249BF6"/>
    <w:lvl w:ilvl="0" w:tplc="2B18C04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0" w15:restartNumberingAfterBreak="0">
    <w:nsid w:val="31D2091C"/>
    <w:multiLevelType w:val="multilevel"/>
    <w:tmpl w:val="98D23480"/>
    <w:lvl w:ilvl="0">
      <w:start w:val="1"/>
      <w:numFmt w:val="upperRoman"/>
      <w:lvlText w:val="%1."/>
      <w:lvlJc w:val="left"/>
      <w:pPr>
        <w:ind w:left="1429" w:hanging="72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1" w15:restartNumberingAfterBreak="0">
    <w:nsid w:val="33B9C0F1"/>
    <w:multiLevelType w:val="hybridMultilevel"/>
    <w:tmpl w:val="FFFFFFFF"/>
    <w:lvl w:ilvl="0" w:tplc="C78605FC">
      <w:start w:val="1"/>
      <w:numFmt w:val="decimal"/>
      <w:lvlText w:val="%1."/>
      <w:lvlJc w:val="left"/>
      <w:pPr>
        <w:ind w:left="720" w:hanging="360"/>
      </w:pPr>
    </w:lvl>
    <w:lvl w:ilvl="1" w:tplc="DC4C09BE">
      <w:start w:val="1"/>
      <w:numFmt w:val="lowerLetter"/>
      <w:lvlText w:val="%2."/>
      <w:lvlJc w:val="left"/>
      <w:pPr>
        <w:ind w:left="1440" w:hanging="360"/>
      </w:pPr>
    </w:lvl>
    <w:lvl w:ilvl="2" w:tplc="1A0C9D06">
      <w:start w:val="1"/>
      <w:numFmt w:val="lowerRoman"/>
      <w:lvlText w:val="%3."/>
      <w:lvlJc w:val="right"/>
      <w:pPr>
        <w:ind w:left="2160" w:hanging="180"/>
      </w:pPr>
    </w:lvl>
    <w:lvl w:ilvl="3" w:tplc="6FA0A592">
      <w:start w:val="1"/>
      <w:numFmt w:val="decimal"/>
      <w:lvlText w:val="%4."/>
      <w:lvlJc w:val="left"/>
      <w:pPr>
        <w:ind w:left="2880" w:hanging="360"/>
      </w:pPr>
    </w:lvl>
    <w:lvl w:ilvl="4" w:tplc="697ACF5C">
      <w:start w:val="1"/>
      <w:numFmt w:val="lowerLetter"/>
      <w:lvlText w:val="%5."/>
      <w:lvlJc w:val="left"/>
      <w:pPr>
        <w:ind w:left="3600" w:hanging="360"/>
      </w:pPr>
    </w:lvl>
    <w:lvl w:ilvl="5" w:tplc="8E7CA7D6">
      <w:start w:val="1"/>
      <w:numFmt w:val="lowerRoman"/>
      <w:lvlText w:val="%6."/>
      <w:lvlJc w:val="right"/>
      <w:pPr>
        <w:ind w:left="4320" w:hanging="180"/>
      </w:pPr>
    </w:lvl>
    <w:lvl w:ilvl="6" w:tplc="32A8B33C">
      <w:start w:val="1"/>
      <w:numFmt w:val="decimal"/>
      <w:lvlText w:val="%7."/>
      <w:lvlJc w:val="left"/>
      <w:pPr>
        <w:ind w:left="5040" w:hanging="360"/>
      </w:pPr>
    </w:lvl>
    <w:lvl w:ilvl="7" w:tplc="8D7080D0">
      <w:start w:val="1"/>
      <w:numFmt w:val="lowerLetter"/>
      <w:lvlText w:val="%8."/>
      <w:lvlJc w:val="left"/>
      <w:pPr>
        <w:ind w:left="5760" w:hanging="360"/>
      </w:pPr>
    </w:lvl>
    <w:lvl w:ilvl="8" w:tplc="214E2AA0">
      <w:start w:val="1"/>
      <w:numFmt w:val="lowerRoman"/>
      <w:lvlText w:val="%9."/>
      <w:lvlJc w:val="right"/>
      <w:pPr>
        <w:ind w:left="6480" w:hanging="180"/>
      </w:pPr>
    </w:lvl>
  </w:abstractNum>
  <w:abstractNum w:abstractNumId="12" w15:restartNumberingAfterBreak="0">
    <w:nsid w:val="401F16B3"/>
    <w:multiLevelType w:val="hybridMultilevel"/>
    <w:tmpl w:val="E6AC00EE"/>
    <w:lvl w:ilvl="0" w:tplc="BB007EF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4A9454E4"/>
    <w:multiLevelType w:val="hybridMultilevel"/>
    <w:tmpl w:val="F754F038"/>
    <w:lvl w:ilvl="0" w:tplc="7D3CE0B4">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4" w15:restartNumberingAfterBreak="0">
    <w:nsid w:val="4B135BE7"/>
    <w:multiLevelType w:val="hybridMultilevel"/>
    <w:tmpl w:val="478AF788"/>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5" w15:restartNumberingAfterBreak="0">
    <w:nsid w:val="4DE46E4F"/>
    <w:multiLevelType w:val="hybridMultilevel"/>
    <w:tmpl w:val="4A26ED0C"/>
    <w:lvl w:ilvl="0" w:tplc="F5126CA4">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6" w15:restartNumberingAfterBreak="0">
    <w:nsid w:val="534F5595"/>
    <w:multiLevelType w:val="hybridMultilevel"/>
    <w:tmpl w:val="DD8266B8"/>
    <w:lvl w:ilvl="0" w:tplc="C6E280A0">
      <w:start w:val="5"/>
      <w:numFmt w:val="bullet"/>
      <w:lvlText w:val="-"/>
      <w:lvlJc w:val="left"/>
      <w:pPr>
        <w:ind w:left="1069" w:hanging="360"/>
      </w:pPr>
      <w:rPr>
        <w:rFonts w:ascii="Times New Roman" w:eastAsia="Times New Roman" w:hAnsi="Times New Roman" w:cs="Times New Roman" w:hint="default"/>
        <w:i/>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7" w15:restartNumberingAfterBreak="0">
    <w:nsid w:val="58D34CBC"/>
    <w:multiLevelType w:val="hybridMultilevel"/>
    <w:tmpl w:val="AF8C2A54"/>
    <w:lvl w:ilvl="0" w:tplc="9C001178">
      <w:start w:val="2"/>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5A6A5F51"/>
    <w:multiLevelType w:val="hybridMultilevel"/>
    <w:tmpl w:val="41A02B1C"/>
    <w:lvl w:ilvl="0" w:tplc="F4CCD282">
      <w:start w:val="4"/>
      <w:numFmt w:val="bullet"/>
      <w:lvlText w:val="-"/>
      <w:lvlJc w:val="left"/>
      <w:pPr>
        <w:ind w:left="1069" w:hanging="360"/>
      </w:pPr>
      <w:rPr>
        <w:rFonts w:ascii="Times New Roman" w:eastAsia="Times New Roman"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9" w15:restartNumberingAfterBreak="0">
    <w:nsid w:val="5D5E2485"/>
    <w:multiLevelType w:val="hybridMultilevel"/>
    <w:tmpl w:val="FFFFFFFF"/>
    <w:lvl w:ilvl="0" w:tplc="0426000F">
      <w:start w:val="1"/>
      <w:numFmt w:val="decimal"/>
      <w:lvlText w:val="%1."/>
      <w:lvlJc w:val="left"/>
      <w:pPr>
        <w:ind w:left="720" w:hanging="360"/>
      </w:pPr>
      <w:rPr>
        <w:rFonts w:cs="Times New Roman" w:hint="default"/>
      </w:rPr>
    </w:lvl>
    <w:lvl w:ilvl="1" w:tplc="04260001">
      <w:start w:val="1"/>
      <w:numFmt w:val="bullet"/>
      <w:lvlText w:val=""/>
      <w:lvlJc w:val="left"/>
      <w:pPr>
        <w:ind w:left="1440" w:hanging="360"/>
      </w:pPr>
      <w:rPr>
        <w:rFonts w:ascii="Symbol" w:hAnsi="Symbol" w:hint="default"/>
      </w:rPr>
    </w:lvl>
    <w:lvl w:ilvl="2" w:tplc="04260009">
      <w:start w:val="1"/>
      <w:numFmt w:val="bullet"/>
      <w:lvlText w:val=""/>
      <w:lvlJc w:val="left"/>
      <w:pPr>
        <w:ind w:left="2160" w:hanging="180"/>
      </w:pPr>
      <w:rPr>
        <w:rFonts w:ascii="Wingdings" w:hAnsi="Wingdings" w:hint="default"/>
      </w:rPr>
    </w:lvl>
    <w:lvl w:ilvl="3" w:tplc="0426000F">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20" w15:restartNumberingAfterBreak="0">
    <w:nsid w:val="60015183"/>
    <w:multiLevelType w:val="hybridMultilevel"/>
    <w:tmpl w:val="DA324B1E"/>
    <w:lvl w:ilvl="0" w:tplc="166A65F4">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1" w15:restartNumberingAfterBreak="0">
    <w:nsid w:val="675B63AB"/>
    <w:multiLevelType w:val="hybridMultilevel"/>
    <w:tmpl w:val="D8526012"/>
    <w:lvl w:ilvl="0" w:tplc="280E1608">
      <w:start w:val="1"/>
      <w:numFmt w:val="bullet"/>
      <w:lvlText w:val=""/>
      <w:lvlJc w:val="left"/>
      <w:pPr>
        <w:ind w:left="720" w:hanging="360"/>
      </w:pPr>
      <w:rPr>
        <w:rFonts w:ascii="Symbol" w:hAnsi="Symbol"/>
      </w:rPr>
    </w:lvl>
    <w:lvl w:ilvl="1" w:tplc="9670DDCA">
      <w:start w:val="1"/>
      <w:numFmt w:val="bullet"/>
      <w:lvlText w:val=""/>
      <w:lvlJc w:val="left"/>
      <w:pPr>
        <w:ind w:left="720" w:hanging="360"/>
      </w:pPr>
      <w:rPr>
        <w:rFonts w:ascii="Symbol" w:hAnsi="Symbol"/>
      </w:rPr>
    </w:lvl>
    <w:lvl w:ilvl="2" w:tplc="4412F59C">
      <w:start w:val="1"/>
      <w:numFmt w:val="bullet"/>
      <w:lvlText w:val=""/>
      <w:lvlJc w:val="left"/>
      <w:pPr>
        <w:ind w:left="720" w:hanging="360"/>
      </w:pPr>
      <w:rPr>
        <w:rFonts w:ascii="Symbol" w:hAnsi="Symbol"/>
      </w:rPr>
    </w:lvl>
    <w:lvl w:ilvl="3" w:tplc="282A415C">
      <w:start w:val="1"/>
      <w:numFmt w:val="bullet"/>
      <w:lvlText w:val=""/>
      <w:lvlJc w:val="left"/>
      <w:pPr>
        <w:ind w:left="720" w:hanging="360"/>
      </w:pPr>
      <w:rPr>
        <w:rFonts w:ascii="Symbol" w:hAnsi="Symbol"/>
      </w:rPr>
    </w:lvl>
    <w:lvl w:ilvl="4" w:tplc="F3743D0E">
      <w:start w:val="1"/>
      <w:numFmt w:val="bullet"/>
      <w:lvlText w:val=""/>
      <w:lvlJc w:val="left"/>
      <w:pPr>
        <w:ind w:left="720" w:hanging="360"/>
      </w:pPr>
      <w:rPr>
        <w:rFonts w:ascii="Symbol" w:hAnsi="Symbol"/>
      </w:rPr>
    </w:lvl>
    <w:lvl w:ilvl="5" w:tplc="9CD2BD24">
      <w:start w:val="1"/>
      <w:numFmt w:val="bullet"/>
      <w:lvlText w:val=""/>
      <w:lvlJc w:val="left"/>
      <w:pPr>
        <w:ind w:left="720" w:hanging="360"/>
      </w:pPr>
      <w:rPr>
        <w:rFonts w:ascii="Symbol" w:hAnsi="Symbol"/>
      </w:rPr>
    </w:lvl>
    <w:lvl w:ilvl="6" w:tplc="8D02F6CC">
      <w:start w:val="1"/>
      <w:numFmt w:val="bullet"/>
      <w:lvlText w:val=""/>
      <w:lvlJc w:val="left"/>
      <w:pPr>
        <w:ind w:left="720" w:hanging="360"/>
      </w:pPr>
      <w:rPr>
        <w:rFonts w:ascii="Symbol" w:hAnsi="Symbol"/>
      </w:rPr>
    </w:lvl>
    <w:lvl w:ilvl="7" w:tplc="775EDB98">
      <w:start w:val="1"/>
      <w:numFmt w:val="bullet"/>
      <w:lvlText w:val=""/>
      <w:lvlJc w:val="left"/>
      <w:pPr>
        <w:ind w:left="720" w:hanging="360"/>
      </w:pPr>
      <w:rPr>
        <w:rFonts w:ascii="Symbol" w:hAnsi="Symbol"/>
      </w:rPr>
    </w:lvl>
    <w:lvl w:ilvl="8" w:tplc="F21230E2">
      <w:start w:val="1"/>
      <w:numFmt w:val="bullet"/>
      <w:lvlText w:val=""/>
      <w:lvlJc w:val="left"/>
      <w:pPr>
        <w:ind w:left="720" w:hanging="360"/>
      </w:pPr>
      <w:rPr>
        <w:rFonts w:ascii="Symbol" w:hAnsi="Symbol"/>
      </w:rPr>
    </w:lvl>
  </w:abstractNum>
  <w:abstractNum w:abstractNumId="22" w15:restartNumberingAfterBreak="0">
    <w:nsid w:val="69B46E26"/>
    <w:multiLevelType w:val="multilevel"/>
    <w:tmpl w:val="212AB222"/>
    <w:lvl w:ilvl="0">
      <w:start w:val="1"/>
      <w:numFmt w:val="decimal"/>
      <w:lvlText w:val="%1."/>
      <w:lvlJc w:val="left"/>
      <w:pPr>
        <w:ind w:left="853" w:hanging="360"/>
      </w:pPr>
    </w:lvl>
    <w:lvl w:ilvl="1">
      <w:start w:val="1"/>
      <w:numFmt w:val="decimal"/>
      <w:isLgl/>
      <w:lvlText w:val="%1.%2."/>
      <w:lvlJc w:val="left"/>
      <w:pPr>
        <w:ind w:left="360" w:hanging="360"/>
      </w:pPr>
    </w:lvl>
    <w:lvl w:ilvl="2">
      <w:start w:val="1"/>
      <w:numFmt w:val="decimal"/>
      <w:isLgl/>
      <w:lvlText w:val="%1.%2.%3."/>
      <w:lvlJc w:val="left"/>
      <w:pPr>
        <w:ind w:left="2422" w:hanging="720"/>
      </w:pPr>
    </w:lvl>
    <w:lvl w:ilvl="3">
      <w:start w:val="1"/>
      <w:numFmt w:val="decimal"/>
      <w:isLgl/>
      <w:lvlText w:val="%1.%2.%3.%4."/>
      <w:lvlJc w:val="left"/>
      <w:pPr>
        <w:ind w:left="1213" w:hanging="720"/>
      </w:pPr>
    </w:lvl>
    <w:lvl w:ilvl="4">
      <w:start w:val="1"/>
      <w:numFmt w:val="decimal"/>
      <w:isLgl/>
      <w:lvlText w:val="%1.%2.%3.%4.%5."/>
      <w:lvlJc w:val="left"/>
      <w:pPr>
        <w:ind w:left="1573" w:hanging="1080"/>
      </w:pPr>
    </w:lvl>
    <w:lvl w:ilvl="5">
      <w:start w:val="1"/>
      <w:numFmt w:val="decimal"/>
      <w:isLgl/>
      <w:lvlText w:val="%1.%2.%3.%4.%5.%6."/>
      <w:lvlJc w:val="left"/>
      <w:pPr>
        <w:ind w:left="1573" w:hanging="1080"/>
      </w:pPr>
    </w:lvl>
    <w:lvl w:ilvl="6">
      <w:start w:val="1"/>
      <w:numFmt w:val="decimal"/>
      <w:isLgl/>
      <w:lvlText w:val="%1.%2.%3.%4.%5.%6.%7."/>
      <w:lvlJc w:val="left"/>
      <w:pPr>
        <w:ind w:left="1933" w:hanging="1440"/>
      </w:pPr>
    </w:lvl>
    <w:lvl w:ilvl="7">
      <w:start w:val="1"/>
      <w:numFmt w:val="decimal"/>
      <w:isLgl/>
      <w:lvlText w:val="%1.%2.%3.%4.%5.%6.%7.%8."/>
      <w:lvlJc w:val="left"/>
      <w:pPr>
        <w:ind w:left="1933" w:hanging="1440"/>
      </w:pPr>
    </w:lvl>
    <w:lvl w:ilvl="8">
      <w:start w:val="1"/>
      <w:numFmt w:val="decimal"/>
      <w:isLgl/>
      <w:lvlText w:val="%1.%2.%3.%4.%5.%6.%7.%8.%9."/>
      <w:lvlJc w:val="left"/>
      <w:pPr>
        <w:ind w:left="2293" w:hanging="1800"/>
      </w:pPr>
    </w:lvl>
  </w:abstractNum>
  <w:abstractNum w:abstractNumId="23" w15:restartNumberingAfterBreak="0">
    <w:nsid w:val="6D1A40FE"/>
    <w:multiLevelType w:val="hybridMultilevel"/>
    <w:tmpl w:val="DD967C76"/>
    <w:lvl w:ilvl="0" w:tplc="4AC2667A">
      <w:start w:val="2023"/>
      <w:numFmt w:val="bullet"/>
      <w:lvlText w:val="-"/>
      <w:lvlJc w:val="left"/>
      <w:pPr>
        <w:ind w:left="1069" w:hanging="360"/>
      </w:pPr>
      <w:rPr>
        <w:rFonts w:ascii="Times New Roman" w:eastAsia="Times New Roman" w:hAnsi="Times New Roman" w:cs="Times New Roman" w:hint="default"/>
        <w:color w:val="auto"/>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24" w15:restartNumberingAfterBreak="0">
    <w:nsid w:val="6F0D2495"/>
    <w:multiLevelType w:val="hybridMultilevel"/>
    <w:tmpl w:val="6FE4DA38"/>
    <w:lvl w:ilvl="0" w:tplc="B11C16A8">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5" w15:restartNumberingAfterBreak="0">
    <w:nsid w:val="707640B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B013433"/>
    <w:multiLevelType w:val="hybridMultilevel"/>
    <w:tmpl w:val="73006AC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num w:numId="1" w16cid:durableId="1079788054">
    <w:abstractNumId w:val="11"/>
  </w:num>
  <w:num w:numId="2" w16cid:durableId="361983671">
    <w:abstractNumId w:val="10"/>
  </w:num>
  <w:num w:numId="3" w16cid:durableId="298192473">
    <w:abstractNumId w:val="24"/>
  </w:num>
  <w:num w:numId="4" w16cid:durableId="766921635">
    <w:abstractNumId w:val="18"/>
  </w:num>
  <w:num w:numId="5" w16cid:durableId="824858294">
    <w:abstractNumId w:val="5"/>
  </w:num>
  <w:num w:numId="6" w16cid:durableId="560870114">
    <w:abstractNumId w:val="20"/>
  </w:num>
  <w:num w:numId="7" w16cid:durableId="185186916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70389329">
    <w:abstractNumId w:val="13"/>
  </w:num>
  <w:num w:numId="9" w16cid:durableId="1502047115">
    <w:abstractNumId w:val="8"/>
  </w:num>
  <w:num w:numId="10" w16cid:durableId="272371087">
    <w:abstractNumId w:val="25"/>
  </w:num>
  <w:num w:numId="11" w16cid:durableId="1342514492">
    <w:abstractNumId w:val="7"/>
  </w:num>
  <w:num w:numId="12" w16cid:durableId="127283366">
    <w:abstractNumId w:val="0"/>
  </w:num>
  <w:num w:numId="13" w16cid:durableId="1702971041">
    <w:abstractNumId w:val="16"/>
  </w:num>
  <w:num w:numId="14" w16cid:durableId="1114983769">
    <w:abstractNumId w:val="23"/>
  </w:num>
  <w:num w:numId="15" w16cid:durableId="1141114238">
    <w:abstractNumId w:val="12"/>
  </w:num>
  <w:num w:numId="16" w16cid:durableId="744229726">
    <w:abstractNumId w:val="17"/>
  </w:num>
  <w:num w:numId="17" w16cid:durableId="71515906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044114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34403199">
    <w:abstractNumId w:val="1"/>
  </w:num>
  <w:num w:numId="20" w16cid:durableId="1853445859">
    <w:abstractNumId w:val="9"/>
  </w:num>
  <w:num w:numId="21" w16cid:durableId="1947998085">
    <w:abstractNumId w:val="15"/>
  </w:num>
  <w:num w:numId="22" w16cid:durableId="494610925">
    <w:abstractNumId w:val="4"/>
  </w:num>
  <w:num w:numId="23" w16cid:durableId="1339770886">
    <w:abstractNumId w:val="14"/>
  </w:num>
  <w:num w:numId="24" w16cid:durableId="1761952905">
    <w:abstractNumId w:val="3"/>
  </w:num>
  <w:num w:numId="25" w16cid:durableId="62876615">
    <w:abstractNumId w:val="19"/>
  </w:num>
  <w:num w:numId="26" w16cid:durableId="1433822919">
    <w:abstractNumId w:val="21"/>
  </w:num>
  <w:num w:numId="27" w16cid:durableId="1394112980">
    <w:abstractNumId w:val="2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96A"/>
    <w:rsid w:val="00000620"/>
    <w:rsid w:val="00000D1A"/>
    <w:rsid w:val="00003828"/>
    <w:rsid w:val="00003F6F"/>
    <w:rsid w:val="00004ACC"/>
    <w:rsid w:val="000115EB"/>
    <w:rsid w:val="00012F37"/>
    <w:rsid w:val="00012F4B"/>
    <w:rsid w:val="00013EC9"/>
    <w:rsid w:val="00014606"/>
    <w:rsid w:val="0001607D"/>
    <w:rsid w:val="00016981"/>
    <w:rsid w:val="00020BF9"/>
    <w:rsid w:val="00021316"/>
    <w:rsid w:val="00023254"/>
    <w:rsid w:val="000234F2"/>
    <w:rsid w:val="00024FBE"/>
    <w:rsid w:val="0003036C"/>
    <w:rsid w:val="00031CAB"/>
    <w:rsid w:val="00032250"/>
    <w:rsid w:val="00033333"/>
    <w:rsid w:val="0003352B"/>
    <w:rsid w:val="00034723"/>
    <w:rsid w:val="00040E3B"/>
    <w:rsid w:val="000414B6"/>
    <w:rsid w:val="000426DD"/>
    <w:rsid w:val="00042E3D"/>
    <w:rsid w:val="000431AC"/>
    <w:rsid w:val="0004728E"/>
    <w:rsid w:val="00050D6D"/>
    <w:rsid w:val="00050F30"/>
    <w:rsid w:val="00054CC9"/>
    <w:rsid w:val="00057ABE"/>
    <w:rsid w:val="00063942"/>
    <w:rsid w:val="00066443"/>
    <w:rsid w:val="00066967"/>
    <w:rsid w:val="00067589"/>
    <w:rsid w:val="0007088A"/>
    <w:rsid w:val="00071ADB"/>
    <w:rsid w:val="00073251"/>
    <w:rsid w:val="00073657"/>
    <w:rsid w:val="00073827"/>
    <w:rsid w:val="00076564"/>
    <w:rsid w:val="00076AE2"/>
    <w:rsid w:val="00077735"/>
    <w:rsid w:val="00080904"/>
    <w:rsid w:val="00082C7B"/>
    <w:rsid w:val="00083E2E"/>
    <w:rsid w:val="00085AFB"/>
    <w:rsid w:val="00085FE8"/>
    <w:rsid w:val="0008645A"/>
    <w:rsid w:val="00086E3A"/>
    <w:rsid w:val="000908CD"/>
    <w:rsid w:val="00090992"/>
    <w:rsid w:val="000919CC"/>
    <w:rsid w:val="00093336"/>
    <w:rsid w:val="000944C1"/>
    <w:rsid w:val="00094812"/>
    <w:rsid w:val="00094F6C"/>
    <w:rsid w:val="0009579C"/>
    <w:rsid w:val="000966AE"/>
    <w:rsid w:val="000967E1"/>
    <w:rsid w:val="00096D79"/>
    <w:rsid w:val="00096E0F"/>
    <w:rsid w:val="000A08A7"/>
    <w:rsid w:val="000A169B"/>
    <w:rsid w:val="000A2D71"/>
    <w:rsid w:val="000A31B3"/>
    <w:rsid w:val="000A371E"/>
    <w:rsid w:val="000A3C37"/>
    <w:rsid w:val="000A48F2"/>
    <w:rsid w:val="000A66ED"/>
    <w:rsid w:val="000A6A1D"/>
    <w:rsid w:val="000B0C9D"/>
    <w:rsid w:val="000B0E98"/>
    <w:rsid w:val="000B25C4"/>
    <w:rsid w:val="000B5034"/>
    <w:rsid w:val="000B54DF"/>
    <w:rsid w:val="000B6D76"/>
    <w:rsid w:val="000C07D0"/>
    <w:rsid w:val="000C39B8"/>
    <w:rsid w:val="000C42EC"/>
    <w:rsid w:val="000C47A8"/>
    <w:rsid w:val="000C4BCB"/>
    <w:rsid w:val="000C4D50"/>
    <w:rsid w:val="000C5223"/>
    <w:rsid w:val="000C6A24"/>
    <w:rsid w:val="000D01DB"/>
    <w:rsid w:val="000D04FB"/>
    <w:rsid w:val="000D096A"/>
    <w:rsid w:val="000D0C9F"/>
    <w:rsid w:val="000D1229"/>
    <w:rsid w:val="000D2A1E"/>
    <w:rsid w:val="000D31AB"/>
    <w:rsid w:val="000D4BD0"/>
    <w:rsid w:val="000D6335"/>
    <w:rsid w:val="000D6AD4"/>
    <w:rsid w:val="000D78D3"/>
    <w:rsid w:val="000E154E"/>
    <w:rsid w:val="000E2651"/>
    <w:rsid w:val="000E5075"/>
    <w:rsid w:val="000E57AA"/>
    <w:rsid w:val="000E5DAD"/>
    <w:rsid w:val="000E6626"/>
    <w:rsid w:val="000F1631"/>
    <w:rsid w:val="000F17EF"/>
    <w:rsid w:val="000F2A1D"/>
    <w:rsid w:val="000F2A5B"/>
    <w:rsid w:val="000F4281"/>
    <w:rsid w:val="000F4736"/>
    <w:rsid w:val="000F53B8"/>
    <w:rsid w:val="000F6F8A"/>
    <w:rsid w:val="00101BBD"/>
    <w:rsid w:val="00101C0C"/>
    <w:rsid w:val="00102BB7"/>
    <w:rsid w:val="00102DE9"/>
    <w:rsid w:val="00103937"/>
    <w:rsid w:val="0010482C"/>
    <w:rsid w:val="00104F2E"/>
    <w:rsid w:val="0010571F"/>
    <w:rsid w:val="00105ED6"/>
    <w:rsid w:val="00111021"/>
    <w:rsid w:val="0011146F"/>
    <w:rsid w:val="001119E4"/>
    <w:rsid w:val="00112A40"/>
    <w:rsid w:val="00112F12"/>
    <w:rsid w:val="00113AD5"/>
    <w:rsid w:val="00114BFE"/>
    <w:rsid w:val="00115433"/>
    <w:rsid w:val="001164F2"/>
    <w:rsid w:val="001170CE"/>
    <w:rsid w:val="001177A8"/>
    <w:rsid w:val="0012168E"/>
    <w:rsid w:val="00121D1C"/>
    <w:rsid w:val="00122B4A"/>
    <w:rsid w:val="00123846"/>
    <w:rsid w:val="00123D40"/>
    <w:rsid w:val="0012430D"/>
    <w:rsid w:val="00124AE6"/>
    <w:rsid w:val="0013049A"/>
    <w:rsid w:val="00130E70"/>
    <w:rsid w:val="001312EE"/>
    <w:rsid w:val="00132EE3"/>
    <w:rsid w:val="00134A74"/>
    <w:rsid w:val="00135555"/>
    <w:rsid w:val="00135B70"/>
    <w:rsid w:val="00135F8A"/>
    <w:rsid w:val="0013707F"/>
    <w:rsid w:val="00140C9E"/>
    <w:rsid w:val="00141304"/>
    <w:rsid w:val="00144C31"/>
    <w:rsid w:val="0014763F"/>
    <w:rsid w:val="00147B93"/>
    <w:rsid w:val="00151697"/>
    <w:rsid w:val="00151960"/>
    <w:rsid w:val="0015275B"/>
    <w:rsid w:val="001562A9"/>
    <w:rsid w:val="00156D1E"/>
    <w:rsid w:val="0015796B"/>
    <w:rsid w:val="00160424"/>
    <w:rsid w:val="001632DC"/>
    <w:rsid w:val="001636FE"/>
    <w:rsid w:val="001638BE"/>
    <w:rsid w:val="0016393D"/>
    <w:rsid w:val="00163BDB"/>
    <w:rsid w:val="00164114"/>
    <w:rsid w:val="00165703"/>
    <w:rsid w:val="00170F7A"/>
    <w:rsid w:val="00171328"/>
    <w:rsid w:val="00173B90"/>
    <w:rsid w:val="00174917"/>
    <w:rsid w:val="00174E35"/>
    <w:rsid w:val="00175688"/>
    <w:rsid w:val="00176551"/>
    <w:rsid w:val="00177FBE"/>
    <w:rsid w:val="00180BC5"/>
    <w:rsid w:val="00181AA4"/>
    <w:rsid w:val="00181F84"/>
    <w:rsid w:val="00183220"/>
    <w:rsid w:val="00183376"/>
    <w:rsid w:val="00183831"/>
    <w:rsid w:val="00193036"/>
    <w:rsid w:val="00195284"/>
    <w:rsid w:val="0019796A"/>
    <w:rsid w:val="00197A0E"/>
    <w:rsid w:val="00197AA7"/>
    <w:rsid w:val="001A07DE"/>
    <w:rsid w:val="001A0C74"/>
    <w:rsid w:val="001A2E1B"/>
    <w:rsid w:val="001A3DAA"/>
    <w:rsid w:val="001A4486"/>
    <w:rsid w:val="001B08EA"/>
    <w:rsid w:val="001B24D1"/>
    <w:rsid w:val="001B2987"/>
    <w:rsid w:val="001B2B10"/>
    <w:rsid w:val="001B3E3A"/>
    <w:rsid w:val="001B431F"/>
    <w:rsid w:val="001B49C7"/>
    <w:rsid w:val="001B5164"/>
    <w:rsid w:val="001B694A"/>
    <w:rsid w:val="001B6F4C"/>
    <w:rsid w:val="001B7B9D"/>
    <w:rsid w:val="001B7F18"/>
    <w:rsid w:val="001C0EE4"/>
    <w:rsid w:val="001C22B0"/>
    <w:rsid w:val="001C4042"/>
    <w:rsid w:val="001C44C5"/>
    <w:rsid w:val="001C4698"/>
    <w:rsid w:val="001C5251"/>
    <w:rsid w:val="001C5D6F"/>
    <w:rsid w:val="001C5F1A"/>
    <w:rsid w:val="001C61C8"/>
    <w:rsid w:val="001C68C7"/>
    <w:rsid w:val="001D0199"/>
    <w:rsid w:val="001D0352"/>
    <w:rsid w:val="001D0B3D"/>
    <w:rsid w:val="001D29EB"/>
    <w:rsid w:val="001D3DF9"/>
    <w:rsid w:val="001D55AC"/>
    <w:rsid w:val="001D716D"/>
    <w:rsid w:val="001E09C1"/>
    <w:rsid w:val="001E133C"/>
    <w:rsid w:val="001E22C6"/>
    <w:rsid w:val="001E34D3"/>
    <w:rsid w:val="001E3904"/>
    <w:rsid w:val="001E4577"/>
    <w:rsid w:val="001E57AD"/>
    <w:rsid w:val="001F44D9"/>
    <w:rsid w:val="001F6704"/>
    <w:rsid w:val="001F67CD"/>
    <w:rsid w:val="00201AF0"/>
    <w:rsid w:val="00203E2C"/>
    <w:rsid w:val="00204FAD"/>
    <w:rsid w:val="002052BF"/>
    <w:rsid w:val="0020564A"/>
    <w:rsid w:val="00206B1C"/>
    <w:rsid w:val="00207E9C"/>
    <w:rsid w:val="00211281"/>
    <w:rsid w:val="0021217F"/>
    <w:rsid w:val="002123BF"/>
    <w:rsid w:val="00212538"/>
    <w:rsid w:val="00213C4F"/>
    <w:rsid w:val="00214831"/>
    <w:rsid w:val="00215589"/>
    <w:rsid w:val="00215CBD"/>
    <w:rsid w:val="00216141"/>
    <w:rsid w:val="002178B0"/>
    <w:rsid w:val="00221015"/>
    <w:rsid w:val="002268C0"/>
    <w:rsid w:val="00226D85"/>
    <w:rsid w:val="00227758"/>
    <w:rsid w:val="00230241"/>
    <w:rsid w:val="002311AF"/>
    <w:rsid w:val="002315C1"/>
    <w:rsid w:val="002339F4"/>
    <w:rsid w:val="002344B8"/>
    <w:rsid w:val="00234A9F"/>
    <w:rsid w:val="00236293"/>
    <w:rsid w:val="002363C1"/>
    <w:rsid w:val="00237FA6"/>
    <w:rsid w:val="0024032F"/>
    <w:rsid w:val="002404DF"/>
    <w:rsid w:val="00240A50"/>
    <w:rsid w:val="00242F9C"/>
    <w:rsid w:val="0024404C"/>
    <w:rsid w:val="002458A6"/>
    <w:rsid w:val="00246D77"/>
    <w:rsid w:val="00246F20"/>
    <w:rsid w:val="00247705"/>
    <w:rsid w:val="002522E2"/>
    <w:rsid w:val="0025301A"/>
    <w:rsid w:val="00254177"/>
    <w:rsid w:val="00255AC6"/>
    <w:rsid w:val="0025705E"/>
    <w:rsid w:val="002601ED"/>
    <w:rsid w:val="002608BB"/>
    <w:rsid w:val="00261F6B"/>
    <w:rsid w:val="00262C64"/>
    <w:rsid w:val="00262D7E"/>
    <w:rsid w:val="00263A05"/>
    <w:rsid w:val="00264125"/>
    <w:rsid w:val="002653EE"/>
    <w:rsid w:val="00266330"/>
    <w:rsid w:val="002670A6"/>
    <w:rsid w:val="00267F8E"/>
    <w:rsid w:val="00271D8B"/>
    <w:rsid w:val="00271EE6"/>
    <w:rsid w:val="00272B36"/>
    <w:rsid w:val="002744C7"/>
    <w:rsid w:val="00274765"/>
    <w:rsid w:val="00274DA5"/>
    <w:rsid w:val="0027577A"/>
    <w:rsid w:val="00275A8D"/>
    <w:rsid w:val="002766CD"/>
    <w:rsid w:val="002769E4"/>
    <w:rsid w:val="00276C53"/>
    <w:rsid w:val="002777E3"/>
    <w:rsid w:val="00277C14"/>
    <w:rsid w:val="00277F9C"/>
    <w:rsid w:val="00282190"/>
    <w:rsid w:val="002827DC"/>
    <w:rsid w:val="00282A86"/>
    <w:rsid w:val="002839D3"/>
    <w:rsid w:val="00284B82"/>
    <w:rsid w:val="00287CF2"/>
    <w:rsid w:val="00290C21"/>
    <w:rsid w:val="00291CB6"/>
    <w:rsid w:val="00294D3E"/>
    <w:rsid w:val="0029530B"/>
    <w:rsid w:val="002959DF"/>
    <w:rsid w:val="00295DE3"/>
    <w:rsid w:val="00295F75"/>
    <w:rsid w:val="00296C80"/>
    <w:rsid w:val="002A2AE1"/>
    <w:rsid w:val="002A3F01"/>
    <w:rsid w:val="002A52C4"/>
    <w:rsid w:val="002A5944"/>
    <w:rsid w:val="002A6AC6"/>
    <w:rsid w:val="002B18BF"/>
    <w:rsid w:val="002B287E"/>
    <w:rsid w:val="002B37FB"/>
    <w:rsid w:val="002B4BE6"/>
    <w:rsid w:val="002B66E9"/>
    <w:rsid w:val="002C01F6"/>
    <w:rsid w:val="002C0A56"/>
    <w:rsid w:val="002C0FBC"/>
    <w:rsid w:val="002C1444"/>
    <w:rsid w:val="002C3953"/>
    <w:rsid w:val="002C3BBA"/>
    <w:rsid w:val="002C3BD9"/>
    <w:rsid w:val="002C664E"/>
    <w:rsid w:val="002D0E3A"/>
    <w:rsid w:val="002D1EBD"/>
    <w:rsid w:val="002D28BA"/>
    <w:rsid w:val="002D43B4"/>
    <w:rsid w:val="002D7FB0"/>
    <w:rsid w:val="002E1C9E"/>
    <w:rsid w:val="002E3464"/>
    <w:rsid w:val="002E469D"/>
    <w:rsid w:val="002E5287"/>
    <w:rsid w:val="002E67E9"/>
    <w:rsid w:val="002E7F12"/>
    <w:rsid w:val="002E7F67"/>
    <w:rsid w:val="002F03DF"/>
    <w:rsid w:val="002F60B1"/>
    <w:rsid w:val="002F68E5"/>
    <w:rsid w:val="002F7B85"/>
    <w:rsid w:val="002F7F1C"/>
    <w:rsid w:val="00300F93"/>
    <w:rsid w:val="00305321"/>
    <w:rsid w:val="00305395"/>
    <w:rsid w:val="00305B0E"/>
    <w:rsid w:val="00306518"/>
    <w:rsid w:val="00307603"/>
    <w:rsid w:val="003128A5"/>
    <w:rsid w:val="00312A9C"/>
    <w:rsid w:val="003136F0"/>
    <w:rsid w:val="0031453D"/>
    <w:rsid w:val="00315582"/>
    <w:rsid w:val="00315790"/>
    <w:rsid w:val="00315E36"/>
    <w:rsid w:val="00316188"/>
    <w:rsid w:val="00317869"/>
    <w:rsid w:val="00320774"/>
    <w:rsid w:val="00321597"/>
    <w:rsid w:val="00324CC3"/>
    <w:rsid w:val="00325885"/>
    <w:rsid w:val="00326D02"/>
    <w:rsid w:val="003274BE"/>
    <w:rsid w:val="003279BC"/>
    <w:rsid w:val="00327F8D"/>
    <w:rsid w:val="00330130"/>
    <w:rsid w:val="00330765"/>
    <w:rsid w:val="0033130C"/>
    <w:rsid w:val="00331A62"/>
    <w:rsid w:val="00331DB8"/>
    <w:rsid w:val="00331E90"/>
    <w:rsid w:val="00334630"/>
    <w:rsid w:val="00336108"/>
    <w:rsid w:val="00337215"/>
    <w:rsid w:val="003373C6"/>
    <w:rsid w:val="0033748F"/>
    <w:rsid w:val="00337496"/>
    <w:rsid w:val="0033799F"/>
    <w:rsid w:val="00337B96"/>
    <w:rsid w:val="00340EDF"/>
    <w:rsid w:val="00341C3B"/>
    <w:rsid w:val="003422D0"/>
    <w:rsid w:val="00344084"/>
    <w:rsid w:val="003448DB"/>
    <w:rsid w:val="003448F3"/>
    <w:rsid w:val="0034614A"/>
    <w:rsid w:val="00346DB1"/>
    <w:rsid w:val="00347EF6"/>
    <w:rsid w:val="00347FCB"/>
    <w:rsid w:val="0035071D"/>
    <w:rsid w:val="0035170D"/>
    <w:rsid w:val="00351ABE"/>
    <w:rsid w:val="003522A4"/>
    <w:rsid w:val="00352518"/>
    <w:rsid w:val="00354A02"/>
    <w:rsid w:val="003556E6"/>
    <w:rsid w:val="003562E8"/>
    <w:rsid w:val="003565F0"/>
    <w:rsid w:val="00356CAC"/>
    <w:rsid w:val="00356E0A"/>
    <w:rsid w:val="00361191"/>
    <w:rsid w:val="00361BE9"/>
    <w:rsid w:val="00362B35"/>
    <w:rsid w:val="00363FF8"/>
    <w:rsid w:val="003657D9"/>
    <w:rsid w:val="003674F7"/>
    <w:rsid w:val="00370FA2"/>
    <w:rsid w:val="003721E8"/>
    <w:rsid w:val="00372AB0"/>
    <w:rsid w:val="00372FDD"/>
    <w:rsid w:val="003744DB"/>
    <w:rsid w:val="00375889"/>
    <w:rsid w:val="003770D4"/>
    <w:rsid w:val="0038077A"/>
    <w:rsid w:val="00380D7A"/>
    <w:rsid w:val="00381D52"/>
    <w:rsid w:val="00381EAA"/>
    <w:rsid w:val="0038256C"/>
    <w:rsid w:val="00384C10"/>
    <w:rsid w:val="00384F72"/>
    <w:rsid w:val="00386337"/>
    <w:rsid w:val="00387A62"/>
    <w:rsid w:val="003921F2"/>
    <w:rsid w:val="0039470C"/>
    <w:rsid w:val="003947CC"/>
    <w:rsid w:val="00394D22"/>
    <w:rsid w:val="00395E5D"/>
    <w:rsid w:val="00397D84"/>
    <w:rsid w:val="003A1329"/>
    <w:rsid w:val="003A1C4E"/>
    <w:rsid w:val="003A21D5"/>
    <w:rsid w:val="003A2291"/>
    <w:rsid w:val="003A26C2"/>
    <w:rsid w:val="003A27E8"/>
    <w:rsid w:val="003A302E"/>
    <w:rsid w:val="003A340A"/>
    <w:rsid w:val="003A403A"/>
    <w:rsid w:val="003A4E96"/>
    <w:rsid w:val="003A7292"/>
    <w:rsid w:val="003B0757"/>
    <w:rsid w:val="003B0E96"/>
    <w:rsid w:val="003B19BA"/>
    <w:rsid w:val="003B19C9"/>
    <w:rsid w:val="003B3BA8"/>
    <w:rsid w:val="003B4B54"/>
    <w:rsid w:val="003B5815"/>
    <w:rsid w:val="003B7EAD"/>
    <w:rsid w:val="003C0365"/>
    <w:rsid w:val="003C078B"/>
    <w:rsid w:val="003C0B15"/>
    <w:rsid w:val="003C2AF3"/>
    <w:rsid w:val="003C2D66"/>
    <w:rsid w:val="003C33A4"/>
    <w:rsid w:val="003C41F3"/>
    <w:rsid w:val="003C4EA1"/>
    <w:rsid w:val="003C5342"/>
    <w:rsid w:val="003C5DD0"/>
    <w:rsid w:val="003C7734"/>
    <w:rsid w:val="003D07CE"/>
    <w:rsid w:val="003D0DE8"/>
    <w:rsid w:val="003D317C"/>
    <w:rsid w:val="003E014E"/>
    <w:rsid w:val="003E2388"/>
    <w:rsid w:val="003E25E3"/>
    <w:rsid w:val="003E467C"/>
    <w:rsid w:val="003E46E8"/>
    <w:rsid w:val="003E4D8E"/>
    <w:rsid w:val="003E56FB"/>
    <w:rsid w:val="003E7DC9"/>
    <w:rsid w:val="003F1714"/>
    <w:rsid w:val="003F1C70"/>
    <w:rsid w:val="003F44D1"/>
    <w:rsid w:val="003F507E"/>
    <w:rsid w:val="003F5D54"/>
    <w:rsid w:val="004013AE"/>
    <w:rsid w:val="00401472"/>
    <w:rsid w:val="00401B25"/>
    <w:rsid w:val="00401E64"/>
    <w:rsid w:val="004033EE"/>
    <w:rsid w:val="00403EA3"/>
    <w:rsid w:val="00404E81"/>
    <w:rsid w:val="00406033"/>
    <w:rsid w:val="00406FBE"/>
    <w:rsid w:val="00407E8A"/>
    <w:rsid w:val="004101EC"/>
    <w:rsid w:val="00410266"/>
    <w:rsid w:val="00410ED9"/>
    <w:rsid w:val="004120F1"/>
    <w:rsid w:val="00413146"/>
    <w:rsid w:val="00415A2E"/>
    <w:rsid w:val="00415EBC"/>
    <w:rsid w:val="004165D1"/>
    <w:rsid w:val="00416DFA"/>
    <w:rsid w:val="00417CDC"/>
    <w:rsid w:val="00421AC9"/>
    <w:rsid w:val="00421F44"/>
    <w:rsid w:val="004222B8"/>
    <w:rsid w:val="004222E4"/>
    <w:rsid w:val="00426112"/>
    <w:rsid w:val="004269C8"/>
    <w:rsid w:val="00427599"/>
    <w:rsid w:val="00427B5E"/>
    <w:rsid w:val="00427D95"/>
    <w:rsid w:val="00427F38"/>
    <w:rsid w:val="004303AF"/>
    <w:rsid w:val="004327A3"/>
    <w:rsid w:val="00434555"/>
    <w:rsid w:val="00434D87"/>
    <w:rsid w:val="00435250"/>
    <w:rsid w:val="004368D2"/>
    <w:rsid w:val="0044246B"/>
    <w:rsid w:val="00442985"/>
    <w:rsid w:val="00444249"/>
    <w:rsid w:val="0044502E"/>
    <w:rsid w:val="00445032"/>
    <w:rsid w:val="00445844"/>
    <w:rsid w:val="004462F1"/>
    <w:rsid w:val="00446F77"/>
    <w:rsid w:val="00450B85"/>
    <w:rsid w:val="00451CAF"/>
    <w:rsid w:val="00452083"/>
    <w:rsid w:val="00452734"/>
    <w:rsid w:val="004539CB"/>
    <w:rsid w:val="004560A3"/>
    <w:rsid w:val="00456F31"/>
    <w:rsid w:val="00457729"/>
    <w:rsid w:val="004578D6"/>
    <w:rsid w:val="0046093F"/>
    <w:rsid w:val="00460BF9"/>
    <w:rsid w:val="00462343"/>
    <w:rsid w:val="0047097F"/>
    <w:rsid w:val="00470FA6"/>
    <w:rsid w:val="0047154D"/>
    <w:rsid w:val="004719A1"/>
    <w:rsid w:val="00471C36"/>
    <w:rsid w:val="00472016"/>
    <w:rsid w:val="004736B0"/>
    <w:rsid w:val="00473721"/>
    <w:rsid w:val="00473767"/>
    <w:rsid w:val="0047464E"/>
    <w:rsid w:val="00474DFD"/>
    <w:rsid w:val="004761A0"/>
    <w:rsid w:val="00476602"/>
    <w:rsid w:val="00477578"/>
    <w:rsid w:val="004814B4"/>
    <w:rsid w:val="00481895"/>
    <w:rsid w:val="0048415C"/>
    <w:rsid w:val="004841A5"/>
    <w:rsid w:val="0048434F"/>
    <w:rsid w:val="004852A1"/>
    <w:rsid w:val="00485385"/>
    <w:rsid w:val="00486077"/>
    <w:rsid w:val="0049034D"/>
    <w:rsid w:val="0049077E"/>
    <w:rsid w:val="00490B20"/>
    <w:rsid w:val="004928A7"/>
    <w:rsid w:val="00493D44"/>
    <w:rsid w:val="00495BB8"/>
    <w:rsid w:val="004967AB"/>
    <w:rsid w:val="004977B3"/>
    <w:rsid w:val="004A06B4"/>
    <w:rsid w:val="004A22B7"/>
    <w:rsid w:val="004A2967"/>
    <w:rsid w:val="004A7F54"/>
    <w:rsid w:val="004B3BE0"/>
    <w:rsid w:val="004B4DD8"/>
    <w:rsid w:val="004B789F"/>
    <w:rsid w:val="004B7A46"/>
    <w:rsid w:val="004C01E1"/>
    <w:rsid w:val="004C10EF"/>
    <w:rsid w:val="004C3E6D"/>
    <w:rsid w:val="004C3F59"/>
    <w:rsid w:val="004C4D6C"/>
    <w:rsid w:val="004C565F"/>
    <w:rsid w:val="004C56EB"/>
    <w:rsid w:val="004C6379"/>
    <w:rsid w:val="004C7536"/>
    <w:rsid w:val="004D1A88"/>
    <w:rsid w:val="004D1E7E"/>
    <w:rsid w:val="004D22A4"/>
    <w:rsid w:val="004D2EBA"/>
    <w:rsid w:val="004D4FB0"/>
    <w:rsid w:val="004D56E1"/>
    <w:rsid w:val="004D5990"/>
    <w:rsid w:val="004D5A8E"/>
    <w:rsid w:val="004D5B93"/>
    <w:rsid w:val="004D661B"/>
    <w:rsid w:val="004D7103"/>
    <w:rsid w:val="004D78CE"/>
    <w:rsid w:val="004D7D3D"/>
    <w:rsid w:val="004E0609"/>
    <w:rsid w:val="004E1900"/>
    <w:rsid w:val="004E4B99"/>
    <w:rsid w:val="004E531A"/>
    <w:rsid w:val="004E61CB"/>
    <w:rsid w:val="004E63F4"/>
    <w:rsid w:val="004F1C3D"/>
    <w:rsid w:val="004F1DC9"/>
    <w:rsid w:val="004F208C"/>
    <w:rsid w:val="004F2BA2"/>
    <w:rsid w:val="004F3BFF"/>
    <w:rsid w:val="004F3F18"/>
    <w:rsid w:val="004F437D"/>
    <w:rsid w:val="004F5A18"/>
    <w:rsid w:val="004F5FE9"/>
    <w:rsid w:val="004F6A54"/>
    <w:rsid w:val="004F74DE"/>
    <w:rsid w:val="004F779B"/>
    <w:rsid w:val="004F7A5A"/>
    <w:rsid w:val="004F7ACA"/>
    <w:rsid w:val="004F7E56"/>
    <w:rsid w:val="00500A9C"/>
    <w:rsid w:val="005013AC"/>
    <w:rsid w:val="005018E3"/>
    <w:rsid w:val="00503B39"/>
    <w:rsid w:val="00504D19"/>
    <w:rsid w:val="0050686D"/>
    <w:rsid w:val="00506A15"/>
    <w:rsid w:val="00507E1C"/>
    <w:rsid w:val="00510450"/>
    <w:rsid w:val="0051227D"/>
    <w:rsid w:val="00513DF4"/>
    <w:rsid w:val="0051623B"/>
    <w:rsid w:val="00520117"/>
    <w:rsid w:val="00520DD4"/>
    <w:rsid w:val="00521011"/>
    <w:rsid w:val="005242B5"/>
    <w:rsid w:val="00524F3D"/>
    <w:rsid w:val="00525D3E"/>
    <w:rsid w:val="00525F36"/>
    <w:rsid w:val="00527B2A"/>
    <w:rsid w:val="00530EC2"/>
    <w:rsid w:val="00531387"/>
    <w:rsid w:val="005326E7"/>
    <w:rsid w:val="0053289B"/>
    <w:rsid w:val="00532F3E"/>
    <w:rsid w:val="0053358A"/>
    <w:rsid w:val="0053392A"/>
    <w:rsid w:val="0053420B"/>
    <w:rsid w:val="00534905"/>
    <w:rsid w:val="005350EB"/>
    <w:rsid w:val="00535A1E"/>
    <w:rsid w:val="00537CF3"/>
    <w:rsid w:val="00537EB4"/>
    <w:rsid w:val="00540EAB"/>
    <w:rsid w:val="00541052"/>
    <w:rsid w:val="00541C57"/>
    <w:rsid w:val="00543072"/>
    <w:rsid w:val="00543705"/>
    <w:rsid w:val="00545DA4"/>
    <w:rsid w:val="005468A0"/>
    <w:rsid w:val="0054725B"/>
    <w:rsid w:val="005475A3"/>
    <w:rsid w:val="0055016A"/>
    <w:rsid w:val="00552E60"/>
    <w:rsid w:val="00553548"/>
    <w:rsid w:val="00554043"/>
    <w:rsid w:val="00555D5B"/>
    <w:rsid w:val="005572DA"/>
    <w:rsid w:val="00557B0A"/>
    <w:rsid w:val="00557C48"/>
    <w:rsid w:val="0056021A"/>
    <w:rsid w:val="00560CB6"/>
    <w:rsid w:val="00561BB4"/>
    <w:rsid w:val="0056295C"/>
    <w:rsid w:val="00562F85"/>
    <w:rsid w:val="00565232"/>
    <w:rsid w:val="00570526"/>
    <w:rsid w:val="00571913"/>
    <w:rsid w:val="005729CC"/>
    <w:rsid w:val="00572CE4"/>
    <w:rsid w:val="00573574"/>
    <w:rsid w:val="00573C51"/>
    <w:rsid w:val="005745F7"/>
    <w:rsid w:val="0057491E"/>
    <w:rsid w:val="00575041"/>
    <w:rsid w:val="00575F69"/>
    <w:rsid w:val="005815CD"/>
    <w:rsid w:val="0058235F"/>
    <w:rsid w:val="005829B6"/>
    <w:rsid w:val="005850BB"/>
    <w:rsid w:val="00585AC7"/>
    <w:rsid w:val="00587D00"/>
    <w:rsid w:val="00591D8C"/>
    <w:rsid w:val="0059222C"/>
    <w:rsid w:val="00595C2F"/>
    <w:rsid w:val="005963DB"/>
    <w:rsid w:val="00596978"/>
    <w:rsid w:val="005972D5"/>
    <w:rsid w:val="0059754E"/>
    <w:rsid w:val="005A37BE"/>
    <w:rsid w:val="005A4EA3"/>
    <w:rsid w:val="005A6017"/>
    <w:rsid w:val="005B0009"/>
    <w:rsid w:val="005B2120"/>
    <w:rsid w:val="005B361C"/>
    <w:rsid w:val="005B370E"/>
    <w:rsid w:val="005B3896"/>
    <w:rsid w:val="005B4078"/>
    <w:rsid w:val="005B5044"/>
    <w:rsid w:val="005B7329"/>
    <w:rsid w:val="005C06F5"/>
    <w:rsid w:val="005C08A1"/>
    <w:rsid w:val="005C1179"/>
    <w:rsid w:val="005C1284"/>
    <w:rsid w:val="005C246F"/>
    <w:rsid w:val="005C2928"/>
    <w:rsid w:val="005C39FC"/>
    <w:rsid w:val="005C41AC"/>
    <w:rsid w:val="005C6F8E"/>
    <w:rsid w:val="005D0110"/>
    <w:rsid w:val="005D06BC"/>
    <w:rsid w:val="005D177B"/>
    <w:rsid w:val="005D24E2"/>
    <w:rsid w:val="005D29BE"/>
    <w:rsid w:val="005D2BDE"/>
    <w:rsid w:val="005D45B3"/>
    <w:rsid w:val="005D50E8"/>
    <w:rsid w:val="005D6267"/>
    <w:rsid w:val="005E0576"/>
    <w:rsid w:val="005E18FD"/>
    <w:rsid w:val="005E1DA4"/>
    <w:rsid w:val="005E247A"/>
    <w:rsid w:val="005E4103"/>
    <w:rsid w:val="005E4E24"/>
    <w:rsid w:val="005E54D9"/>
    <w:rsid w:val="005E6011"/>
    <w:rsid w:val="005E69C2"/>
    <w:rsid w:val="005E7D27"/>
    <w:rsid w:val="005F0DD2"/>
    <w:rsid w:val="005F206D"/>
    <w:rsid w:val="005F24FD"/>
    <w:rsid w:val="005F4BB6"/>
    <w:rsid w:val="005F7F8B"/>
    <w:rsid w:val="006009E7"/>
    <w:rsid w:val="00600B69"/>
    <w:rsid w:val="0060294D"/>
    <w:rsid w:val="00603B09"/>
    <w:rsid w:val="00605BE1"/>
    <w:rsid w:val="00605D0E"/>
    <w:rsid w:val="00605F25"/>
    <w:rsid w:val="00606F08"/>
    <w:rsid w:val="00607510"/>
    <w:rsid w:val="00607E07"/>
    <w:rsid w:val="0061171A"/>
    <w:rsid w:val="00612A00"/>
    <w:rsid w:val="00613670"/>
    <w:rsid w:val="006140DE"/>
    <w:rsid w:val="0061543F"/>
    <w:rsid w:val="00615E85"/>
    <w:rsid w:val="00616431"/>
    <w:rsid w:val="006166F5"/>
    <w:rsid w:val="00616D73"/>
    <w:rsid w:val="006174CC"/>
    <w:rsid w:val="00621021"/>
    <w:rsid w:val="00623505"/>
    <w:rsid w:val="00624E8C"/>
    <w:rsid w:val="00624FDB"/>
    <w:rsid w:val="006254BE"/>
    <w:rsid w:val="0062658A"/>
    <w:rsid w:val="006266A4"/>
    <w:rsid w:val="00631FF0"/>
    <w:rsid w:val="006324B6"/>
    <w:rsid w:val="00633996"/>
    <w:rsid w:val="00634D06"/>
    <w:rsid w:val="00635476"/>
    <w:rsid w:val="006356CC"/>
    <w:rsid w:val="00635B84"/>
    <w:rsid w:val="006364DC"/>
    <w:rsid w:val="00637AD7"/>
    <w:rsid w:val="00637B51"/>
    <w:rsid w:val="00641561"/>
    <w:rsid w:val="00641632"/>
    <w:rsid w:val="00641DC3"/>
    <w:rsid w:val="006420DA"/>
    <w:rsid w:val="00642256"/>
    <w:rsid w:val="006426DF"/>
    <w:rsid w:val="00643C63"/>
    <w:rsid w:val="006461FC"/>
    <w:rsid w:val="006477EC"/>
    <w:rsid w:val="006516E3"/>
    <w:rsid w:val="006517B6"/>
    <w:rsid w:val="006517FA"/>
    <w:rsid w:val="006519DE"/>
    <w:rsid w:val="00652361"/>
    <w:rsid w:val="00652C36"/>
    <w:rsid w:val="00652EC1"/>
    <w:rsid w:val="00653812"/>
    <w:rsid w:val="0065469B"/>
    <w:rsid w:val="006557EE"/>
    <w:rsid w:val="006564A6"/>
    <w:rsid w:val="00657595"/>
    <w:rsid w:val="006578B0"/>
    <w:rsid w:val="0066707D"/>
    <w:rsid w:val="006679FD"/>
    <w:rsid w:val="00667C8E"/>
    <w:rsid w:val="00670524"/>
    <w:rsid w:val="006711B2"/>
    <w:rsid w:val="00671C90"/>
    <w:rsid w:val="00671CC3"/>
    <w:rsid w:val="006729D7"/>
    <w:rsid w:val="00673662"/>
    <w:rsid w:val="00673C88"/>
    <w:rsid w:val="00674636"/>
    <w:rsid w:val="006746F7"/>
    <w:rsid w:val="006747BF"/>
    <w:rsid w:val="00675543"/>
    <w:rsid w:val="00676069"/>
    <w:rsid w:val="006763ED"/>
    <w:rsid w:val="00676736"/>
    <w:rsid w:val="00680AE7"/>
    <w:rsid w:val="00681D20"/>
    <w:rsid w:val="00681F1D"/>
    <w:rsid w:val="00683415"/>
    <w:rsid w:val="00684EB2"/>
    <w:rsid w:val="0068528B"/>
    <w:rsid w:val="006859EE"/>
    <w:rsid w:val="00685D35"/>
    <w:rsid w:val="006866F3"/>
    <w:rsid w:val="00687A8B"/>
    <w:rsid w:val="00691D9E"/>
    <w:rsid w:val="006926D4"/>
    <w:rsid w:val="00693EA0"/>
    <w:rsid w:val="00695237"/>
    <w:rsid w:val="00695FD8"/>
    <w:rsid w:val="0069639C"/>
    <w:rsid w:val="006966D1"/>
    <w:rsid w:val="006A007C"/>
    <w:rsid w:val="006A15C4"/>
    <w:rsid w:val="006A2CD5"/>
    <w:rsid w:val="006A3018"/>
    <w:rsid w:val="006A3423"/>
    <w:rsid w:val="006A4EA9"/>
    <w:rsid w:val="006A6320"/>
    <w:rsid w:val="006A760D"/>
    <w:rsid w:val="006A7EEE"/>
    <w:rsid w:val="006B0326"/>
    <w:rsid w:val="006B18D1"/>
    <w:rsid w:val="006B214D"/>
    <w:rsid w:val="006B3E67"/>
    <w:rsid w:val="006B4431"/>
    <w:rsid w:val="006B5E87"/>
    <w:rsid w:val="006C090B"/>
    <w:rsid w:val="006C12C7"/>
    <w:rsid w:val="006C2BE4"/>
    <w:rsid w:val="006C71F3"/>
    <w:rsid w:val="006C79D0"/>
    <w:rsid w:val="006C7B5D"/>
    <w:rsid w:val="006D0FCE"/>
    <w:rsid w:val="006D1046"/>
    <w:rsid w:val="006D3FF5"/>
    <w:rsid w:val="006D48E5"/>
    <w:rsid w:val="006D51B5"/>
    <w:rsid w:val="006D78AC"/>
    <w:rsid w:val="006E11C0"/>
    <w:rsid w:val="006E42CD"/>
    <w:rsid w:val="006E4FE5"/>
    <w:rsid w:val="006E72A1"/>
    <w:rsid w:val="006F0DC4"/>
    <w:rsid w:val="006F2622"/>
    <w:rsid w:val="006F26C8"/>
    <w:rsid w:val="006F3B51"/>
    <w:rsid w:val="006F611D"/>
    <w:rsid w:val="006F69DA"/>
    <w:rsid w:val="006F6EE0"/>
    <w:rsid w:val="007009AE"/>
    <w:rsid w:val="00700B96"/>
    <w:rsid w:val="00701374"/>
    <w:rsid w:val="0070209E"/>
    <w:rsid w:val="00702602"/>
    <w:rsid w:val="007027AF"/>
    <w:rsid w:val="00705142"/>
    <w:rsid w:val="00706365"/>
    <w:rsid w:val="00707CFD"/>
    <w:rsid w:val="00707E77"/>
    <w:rsid w:val="0071056E"/>
    <w:rsid w:val="00711160"/>
    <w:rsid w:val="007112E1"/>
    <w:rsid w:val="00712245"/>
    <w:rsid w:val="007124A7"/>
    <w:rsid w:val="00713BE2"/>
    <w:rsid w:val="00713EC4"/>
    <w:rsid w:val="0071486B"/>
    <w:rsid w:val="007152C1"/>
    <w:rsid w:val="00715D86"/>
    <w:rsid w:val="00716BFD"/>
    <w:rsid w:val="00716CC1"/>
    <w:rsid w:val="00720442"/>
    <w:rsid w:val="00720724"/>
    <w:rsid w:val="00720F89"/>
    <w:rsid w:val="00722A53"/>
    <w:rsid w:val="00723F9E"/>
    <w:rsid w:val="0072484F"/>
    <w:rsid w:val="00724DF8"/>
    <w:rsid w:val="00725BD1"/>
    <w:rsid w:val="00726B82"/>
    <w:rsid w:val="00730F7C"/>
    <w:rsid w:val="00731086"/>
    <w:rsid w:val="007332A4"/>
    <w:rsid w:val="007337E3"/>
    <w:rsid w:val="00734417"/>
    <w:rsid w:val="00734F26"/>
    <w:rsid w:val="007369CF"/>
    <w:rsid w:val="00736C6D"/>
    <w:rsid w:val="00737293"/>
    <w:rsid w:val="00737C2C"/>
    <w:rsid w:val="00740EED"/>
    <w:rsid w:val="0074145A"/>
    <w:rsid w:val="0074164F"/>
    <w:rsid w:val="007416C5"/>
    <w:rsid w:val="00742820"/>
    <w:rsid w:val="007447B4"/>
    <w:rsid w:val="00746111"/>
    <w:rsid w:val="00746E0A"/>
    <w:rsid w:val="007475A1"/>
    <w:rsid w:val="00750719"/>
    <w:rsid w:val="007508F5"/>
    <w:rsid w:val="00750C78"/>
    <w:rsid w:val="00751684"/>
    <w:rsid w:val="0075240F"/>
    <w:rsid w:val="00756739"/>
    <w:rsid w:val="00756911"/>
    <w:rsid w:val="00756C7E"/>
    <w:rsid w:val="00760500"/>
    <w:rsid w:val="00760CF1"/>
    <w:rsid w:val="00760E0D"/>
    <w:rsid w:val="00761590"/>
    <w:rsid w:val="00765B1A"/>
    <w:rsid w:val="00766C34"/>
    <w:rsid w:val="00766FFA"/>
    <w:rsid w:val="007676BB"/>
    <w:rsid w:val="007703C7"/>
    <w:rsid w:val="00771D45"/>
    <w:rsid w:val="00771FF2"/>
    <w:rsid w:val="00772831"/>
    <w:rsid w:val="00780914"/>
    <w:rsid w:val="007818F3"/>
    <w:rsid w:val="00782C78"/>
    <w:rsid w:val="00785981"/>
    <w:rsid w:val="007933FE"/>
    <w:rsid w:val="007946B9"/>
    <w:rsid w:val="00794C85"/>
    <w:rsid w:val="00795524"/>
    <w:rsid w:val="00795E4A"/>
    <w:rsid w:val="007976AC"/>
    <w:rsid w:val="007A0E43"/>
    <w:rsid w:val="007A2D3A"/>
    <w:rsid w:val="007A42C5"/>
    <w:rsid w:val="007A48B6"/>
    <w:rsid w:val="007A7687"/>
    <w:rsid w:val="007B01FE"/>
    <w:rsid w:val="007B0473"/>
    <w:rsid w:val="007B0B2A"/>
    <w:rsid w:val="007B0DA2"/>
    <w:rsid w:val="007B0FC3"/>
    <w:rsid w:val="007B22A3"/>
    <w:rsid w:val="007B2B6A"/>
    <w:rsid w:val="007B4271"/>
    <w:rsid w:val="007B4819"/>
    <w:rsid w:val="007B61F2"/>
    <w:rsid w:val="007B68AD"/>
    <w:rsid w:val="007B6F9A"/>
    <w:rsid w:val="007C29AB"/>
    <w:rsid w:val="007C2E37"/>
    <w:rsid w:val="007C3683"/>
    <w:rsid w:val="007C4845"/>
    <w:rsid w:val="007C6E48"/>
    <w:rsid w:val="007C7861"/>
    <w:rsid w:val="007D081A"/>
    <w:rsid w:val="007D1489"/>
    <w:rsid w:val="007D15D0"/>
    <w:rsid w:val="007D1999"/>
    <w:rsid w:val="007D19B7"/>
    <w:rsid w:val="007D1CC7"/>
    <w:rsid w:val="007D20B1"/>
    <w:rsid w:val="007D252A"/>
    <w:rsid w:val="007D277D"/>
    <w:rsid w:val="007D3DC3"/>
    <w:rsid w:val="007D4903"/>
    <w:rsid w:val="007D7568"/>
    <w:rsid w:val="007D7D9C"/>
    <w:rsid w:val="007E072C"/>
    <w:rsid w:val="007E0DB7"/>
    <w:rsid w:val="007E213D"/>
    <w:rsid w:val="007E2194"/>
    <w:rsid w:val="007E23BA"/>
    <w:rsid w:val="007E5333"/>
    <w:rsid w:val="007E5A79"/>
    <w:rsid w:val="007E63DC"/>
    <w:rsid w:val="007E6DF5"/>
    <w:rsid w:val="007E79CB"/>
    <w:rsid w:val="007F0DCD"/>
    <w:rsid w:val="007F1AA1"/>
    <w:rsid w:val="007F2CEB"/>
    <w:rsid w:val="007F47F9"/>
    <w:rsid w:val="007F5419"/>
    <w:rsid w:val="007F66E6"/>
    <w:rsid w:val="007F6F3D"/>
    <w:rsid w:val="007F784F"/>
    <w:rsid w:val="008007C4"/>
    <w:rsid w:val="00800CB0"/>
    <w:rsid w:val="00800EA5"/>
    <w:rsid w:val="008024B6"/>
    <w:rsid w:val="00802F42"/>
    <w:rsid w:val="00803B81"/>
    <w:rsid w:val="008046BE"/>
    <w:rsid w:val="008115F4"/>
    <w:rsid w:val="00813A35"/>
    <w:rsid w:val="00813BF2"/>
    <w:rsid w:val="00813D3D"/>
    <w:rsid w:val="00814F9C"/>
    <w:rsid w:val="00815E3C"/>
    <w:rsid w:val="00816161"/>
    <w:rsid w:val="00816D54"/>
    <w:rsid w:val="00817115"/>
    <w:rsid w:val="00820477"/>
    <w:rsid w:val="00821035"/>
    <w:rsid w:val="0082127D"/>
    <w:rsid w:val="008237E0"/>
    <w:rsid w:val="008243F0"/>
    <w:rsid w:val="00825830"/>
    <w:rsid w:val="0082714E"/>
    <w:rsid w:val="00830ED6"/>
    <w:rsid w:val="00831FF0"/>
    <w:rsid w:val="0083216A"/>
    <w:rsid w:val="00832323"/>
    <w:rsid w:val="0083252F"/>
    <w:rsid w:val="00833068"/>
    <w:rsid w:val="0083331E"/>
    <w:rsid w:val="008337D3"/>
    <w:rsid w:val="00835808"/>
    <w:rsid w:val="00836999"/>
    <w:rsid w:val="008375DB"/>
    <w:rsid w:val="00837A81"/>
    <w:rsid w:val="008403B0"/>
    <w:rsid w:val="008407D9"/>
    <w:rsid w:val="00843B73"/>
    <w:rsid w:val="00845AD9"/>
    <w:rsid w:val="0084689C"/>
    <w:rsid w:val="00850D47"/>
    <w:rsid w:val="0085187C"/>
    <w:rsid w:val="00851944"/>
    <w:rsid w:val="00851BD2"/>
    <w:rsid w:val="00851BE9"/>
    <w:rsid w:val="00851F54"/>
    <w:rsid w:val="008546E4"/>
    <w:rsid w:val="0085595D"/>
    <w:rsid w:val="00855DB0"/>
    <w:rsid w:val="00855FE3"/>
    <w:rsid w:val="0085654E"/>
    <w:rsid w:val="008573BD"/>
    <w:rsid w:val="008574E2"/>
    <w:rsid w:val="008601B3"/>
    <w:rsid w:val="00860A8E"/>
    <w:rsid w:val="00860D50"/>
    <w:rsid w:val="0086532F"/>
    <w:rsid w:val="008656A7"/>
    <w:rsid w:val="00865A9E"/>
    <w:rsid w:val="0086646D"/>
    <w:rsid w:val="00867B0F"/>
    <w:rsid w:val="008726BB"/>
    <w:rsid w:val="008728EC"/>
    <w:rsid w:val="0087389E"/>
    <w:rsid w:val="00875EF6"/>
    <w:rsid w:val="008766FA"/>
    <w:rsid w:val="00877EBF"/>
    <w:rsid w:val="008809BE"/>
    <w:rsid w:val="0088152B"/>
    <w:rsid w:val="00883EC9"/>
    <w:rsid w:val="00886E3B"/>
    <w:rsid w:val="008909AD"/>
    <w:rsid w:val="00892632"/>
    <w:rsid w:val="008927F6"/>
    <w:rsid w:val="0089350F"/>
    <w:rsid w:val="00895494"/>
    <w:rsid w:val="00895CCB"/>
    <w:rsid w:val="008971E7"/>
    <w:rsid w:val="008A2F3E"/>
    <w:rsid w:val="008A5062"/>
    <w:rsid w:val="008A6655"/>
    <w:rsid w:val="008A6CF8"/>
    <w:rsid w:val="008A7786"/>
    <w:rsid w:val="008B1FFF"/>
    <w:rsid w:val="008B231B"/>
    <w:rsid w:val="008B27F5"/>
    <w:rsid w:val="008B2ACC"/>
    <w:rsid w:val="008B3712"/>
    <w:rsid w:val="008B4057"/>
    <w:rsid w:val="008B70B9"/>
    <w:rsid w:val="008B7F89"/>
    <w:rsid w:val="008C0D8E"/>
    <w:rsid w:val="008C1C99"/>
    <w:rsid w:val="008C28DB"/>
    <w:rsid w:val="008C69D7"/>
    <w:rsid w:val="008C75E5"/>
    <w:rsid w:val="008D069B"/>
    <w:rsid w:val="008D0924"/>
    <w:rsid w:val="008D12D2"/>
    <w:rsid w:val="008D3990"/>
    <w:rsid w:val="008D4163"/>
    <w:rsid w:val="008D4B99"/>
    <w:rsid w:val="008D5161"/>
    <w:rsid w:val="008D51DC"/>
    <w:rsid w:val="008D5324"/>
    <w:rsid w:val="008D6EDE"/>
    <w:rsid w:val="008D7950"/>
    <w:rsid w:val="008D7CEB"/>
    <w:rsid w:val="008E059A"/>
    <w:rsid w:val="008E0B55"/>
    <w:rsid w:val="008E1229"/>
    <w:rsid w:val="008E15ED"/>
    <w:rsid w:val="008E19B7"/>
    <w:rsid w:val="008E1E23"/>
    <w:rsid w:val="008E40E6"/>
    <w:rsid w:val="008E4AB6"/>
    <w:rsid w:val="008E6639"/>
    <w:rsid w:val="008E7A3A"/>
    <w:rsid w:val="008F061A"/>
    <w:rsid w:val="008F0CB7"/>
    <w:rsid w:val="008F0EF9"/>
    <w:rsid w:val="008F1BCA"/>
    <w:rsid w:val="008F5E75"/>
    <w:rsid w:val="008F6284"/>
    <w:rsid w:val="008F6A2D"/>
    <w:rsid w:val="008F6BB4"/>
    <w:rsid w:val="008F7959"/>
    <w:rsid w:val="008F79FD"/>
    <w:rsid w:val="0090026B"/>
    <w:rsid w:val="00902430"/>
    <w:rsid w:val="00905444"/>
    <w:rsid w:val="009062DF"/>
    <w:rsid w:val="009072FC"/>
    <w:rsid w:val="009104CF"/>
    <w:rsid w:val="009118D8"/>
    <w:rsid w:val="00911985"/>
    <w:rsid w:val="00912897"/>
    <w:rsid w:val="00912F13"/>
    <w:rsid w:val="009138CA"/>
    <w:rsid w:val="00914C97"/>
    <w:rsid w:val="00915875"/>
    <w:rsid w:val="00917874"/>
    <w:rsid w:val="00922886"/>
    <w:rsid w:val="00922FEC"/>
    <w:rsid w:val="00924B57"/>
    <w:rsid w:val="009267B6"/>
    <w:rsid w:val="009272C1"/>
    <w:rsid w:val="00927493"/>
    <w:rsid w:val="0092781C"/>
    <w:rsid w:val="00927A1A"/>
    <w:rsid w:val="00927EE5"/>
    <w:rsid w:val="00927F2A"/>
    <w:rsid w:val="009300C3"/>
    <w:rsid w:val="00930FF4"/>
    <w:rsid w:val="00931832"/>
    <w:rsid w:val="00931C63"/>
    <w:rsid w:val="00932D82"/>
    <w:rsid w:val="0093317F"/>
    <w:rsid w:val="00933553"/>
    <w:rsid w:val="00933697"/>
    <w:rsid w:val="00934B11"/>
    <w:rsid w:val="009350AB"/>
    <w:rsid w:val="00935FE5"/>
    <w:rsid w:val="00937042"/>
    <w:rsid w:val="009379DE"/>
    <w:rsid w:val="00942816"/>
    <w:rsid w:val="00943860"/>
    <w:rsid w:val="00943A19"/>
    <w:rsid w:val="009463AF"/>
    <w:rsid w:val="00947831"/>
    <w:rsid w:val="00947B3E"/>
    <w:rsid w:val="00950B8B"/>
    <w:rsid w:val="00951EA0"/>
    <w:rsid w:val="00952340"/>
    <w:rsid w:val="00952B2C"/>
    <w:rsid w:val="00953164"/>
    <w:rsid w:val="009538C2"/>
    <w:rsid w:val="00953EBC"/>
    <w:rsid w:val="009579BC"/>
    <w:rsid w:val="0096252A"/>
    <w:rsid w:val="0096274A"/>
    <w:rsid w:val="00964DC7"/>
    <w:rsid w:val="00965432"/>
    <w:rsid w:val="009660D5"/>
    <w:rsid w:val="009670CC"/>
    <w:rsid w:val="0096755D"/>
    <w:rsid w:val="0096777F"/>
    <w:rsid w:val="00971613"/>
    <w:rsid w:val="009717D0"/>
    <w:rsid w:val="00971F51"/>
    <w:rsid w:val="00972061"/>
    <w:rsid w:val="00972322"/>
    <w:rsid w:val="00973C07"/>
    <w:rsid w:val="00973C6E"/>
    <w:rsid w:val="0097543D"/>
    <w:rsid w:val="00975A63"/>
    <w:rsid w:val="00976C6C"/>
    <w:rsid w:val="00976F51"/>
    <w:rsid w:val="009820C6"/>
    <w:rsid w:val="0098257F"/>
    <w:rsid w:val="00984BDE"/>
    <w:rsid w:val="00985F6F"/>
    <w:rsid w:val="00986809"/>
    <w:rsid w:val="009902E2"/>
    <w:rsid w:val="00990E59"/>
    <w:rsid w:val="00990ED0"/>
    <w:rsid w:val="00991204"/>
    <w:rsid w:val="00992672"/>
    <w:rsid w:val="00993FE2"/>
    <w:rsid w:val="0099742C"/>
    <w:rsid w:val="009A1853"/>
    <w:rsid w:val="009A1E19"/>
    <w:rsid w:val="009A1F3A"/>
    <w:rsid w:val="009A3A3D"/>
    <w:rsid w:val="009A4AB6"/>
    <w:rsid w:val="009A4E0E"/>
    <w:rsid w:val="009A5178"/>
    <w:rsid w:val="009A59C5"/>
    <w:rsid w:val="009A5F1A"/>
    <w:rsid w:val="009A640D"/>
    <w:rsid w:val="009A7C5E"/>
    <w:rsid w:val="009B1B40"/>
    <w:rsid w:val="009B3552"/>
    <w:rsid w:val="009B4A90"/>
    <w:rsid w:val="009B60D9"/>
    <w:rsid w:val="009B6F47"/>
    <w:rsid w:val="009C0565"/>
    <w:rsid w:val="009C0647"/>
    <w:rsid w:val="009C0CB9"/>
    <w:rsid w:val="009C1B53"/>
    <w:rsid w:val="009C6172"/>
    <w:rsid w:val="009C6A8D"/>
    <w:rsid w:val="009D08C0"/>
    <w:rsid w:val="009D243A"/>
    <w:rsid w:val="009D25F5"/>
    <w:rsid w:val="009D2726"/>
    <w:rsid w:val="009D5C86"/>
    <w:rsid w:val="009D74C8"/>
    <w:rsid w:val="009D7B26"/>
    <w:rsid w:val="009E0696"/>
    <w:rsid w:val="009E0C67"/>
    <w:rsid w:val="009E24BC"/>
    <w:rsid w:val="009E3A61"/>
    <w:rsid w:val="009E4E5C"/>
    <w:rsid w:val="009E55BF"/>
    <w:rsid w:val="009E5ECC"/>
    <w:rsid w:val="009E6752"/>
    <w:rsid w:val="009E77ED"/>
    <w:rsid w:val="009F031B"/>
    <w:rsid w:val="009F0B89"/>
    <w:rsid w:val="009F0BF8"/>
    <w:rsid w:val="009F13EE"/>
    <w:rsid w:val="009F26CC"/>
    <w:rsid w:val="009F4464"/>
    <w:rsid w:val="009F5594"/>
    <w:rsid w:val="009F5E29"/>
    <w:rsid w:val="009F6105"/>
    <w:rsid w:val="009F6285"/>
    <w:rsid w:val="009F65AC"/>
    <w:rsid w:val="009F6734"/>
    <w:rsid w:val="009F6A4C"/>
    <w:rsid w:val="009F6AD3"/>
    <w:rsid w:val="00A007B3"/>
    <w:rsid w:val="00A0165B"/>
    <w:rsid w:val="00A01A3B"/>
    <w:rsid w:val="00A01F76"/>
    <w:rsid w:val="00A02633"/>
    <w:rsid w:val="00A0315A"/>
    <w:rsid w:val="00A05C4D"/>
    <w:rsid w:val="00A0681B"/>
    <w:rsid w:val="00A10598"/>
    <w:rsid w:val="00A124E9"/>
    <w:rsid w:val="00A137AA"/>
    <w:rsid w:val="00A14BF6"/>
    <w:rsid w:val="00A156AD"/>
    <w:rsid w:val="00A20086"/>
    <w:rsid w:val="00A22074"/>
    <w:rsid w:val="00A22FA4"/>
    <w:rsid w:val="00A24524"/>
    <w:rsid w:val="00A25943"/>
    <w:rsid w:val="00A25D98"/>
    <w:rsid w:val="00A26FA0"/>
    <w:rsid w:val="00A27947"/>
    <w:rsid w:val="00A27F08"/>
    <w:rsid w:val="00A30352"/>
    <w:rsid w:val="00A31C34"/>
    <w:rsid w:val="00A326AA"/>
    <w:rsid w:val="00A33022"/>
    <w:rsid w:val="00A3444F"/>
    <w:rsid w:val="00A348AA"/>
    <w:rsid w:val="00A41210"/>
    <w:rsid w:val="00A413D3"/>
    <w:rsid w:val="00A41557"/>
    <w:rsid w:val="00A42673"/>
    <w:rsid w:val="00A438CE"/>
    <w:rsid w:val="00A44C00"/>
    <w:rsid w:val="00A51381"/>
    <w:rsid w:val="00A5168D"/>
    <w:rsid w:val="00A52282"/>
    <w:rsid w:val="00A5433A"/>
    <w:rsid w:val="00A54825"/>
    <w:rsid w:val="00A565B8"/>
    <w:rsid w:val="00A6035D"/>
    <w:rsid w:val="00A61596"/>
    <w:rsid w:val="00A61B47"/>
    <w:rsid w:val="00A622E0"/>
    <w:rsid w:val="00A62C10"/>
    <w:rsid w:val="00A6347D"/>
    <w:rsid w:val="00A643A6"/>
    <w:rsid w:val="00A64C84"/>
    <w:rsid w:val="00A723F3"/>
    <w:rsid w:val="00A7271D"/>
    <w:rsid w:val="00A73C65"/>
    <w:rsid w:val="00A73EDE"/>
    <w:rsid w:val="00A77280"/>
    <w:rsid w:val="00A77D9E"/>
    <w:rsid w:val="00A804C8"/>
    <w:rsid w:val="00A8102D"/>
    <w:rsid w:val="00A815BF"/>
    <w:rsid w:val="00A81693"/>
    <w:rsid w:val="00A820EC"/>
    <w:rsid w:val="00A82BD7"/>
    <w:rsid w:val="00A83C0E"/>
    <w:rsid w:val="00A83C7B"/>
    <w:rsid w:val="00A84B39"/>
    <w:rsid w:val="00A85411"/>
    <w:rsid w:val="00A86AD0"/>
    <w:rsid w:val="00A87AF1"/>
    <w:rsid w:val="00A87CC3"/>
    <w:rsid w:val="00A91354"/>
    <w:rsid w:val="00A939DE"/>
    <w:rsid w:val="00A93F58"/>
    <w:rsid w:val="00A9421A"/>
    <w:rsid w:val="00A94DB6"/>
    <w:rsid w:val="00A95EA5"/>
    <w:rsid w:val="00A96B87"/>
    <w:rsid w:val="00A9738E"/>
    <w:rsid w:val="00A97EC2"/>
    <w:rsid w:val="00AA0B96"/>
    <w:rsid w:val="00AA0F60"/>
    <w:rsid w:val="00AA3E9F"/>
    <w:rsid w:val="00AA44C0"/>
    <w:rsid w:val="00AA4C06"/>
    <w:rsid w:val="00AA59C0"/>
    <w:rsid w:val="00AA5DC1"/>
    <w:rsid w:val="00AA5DD4"/>
    <w:rsid w:val="00AA5E8E"/>
    <w:rsid w:val="00AA720E"/>
    <w:rsid w:val="00AB0038"/>
    <w:rsid w:val="00AB03EB"/>
    <w:rsid w:val="00AB0FF1"/>
    <w:rsid w:val="00AB1404"/>
    <w:rsid w:val="00AB1DAF"/>
    <w:rsid w:val="00AB20C1"/>
    <w:rsid w:val="00AB26FD"/>
    <w:rsid w:val="00AB29A3"/>
    <w:rsid w:val="00AB3CC1"/>
    <w:rsid w:val="00AB47EA"/>
    <w:rsid w:val="00AB53F5"/>
    <w:rsid w:val="00AB55EA"/>
    <w:rsid w:val="00AB5B0E"/>
    <w:rsid w:val="00AC2793"/>
    <w:rsid w:val="00AC4167"/>
    <w:rsid w:val="00AC4C18"/>
    <w:rsid w:val="00AC5F43"/>
    <w:rsid w:val="00AC5F6B"/>
    <w:rsid w:val="00AC7BF6"/>
    <w:rsid w:val="00AD15BF"/>
    <w:rsid w:val="00AD2442"/>
    <w:rsid w:val="00AD55D2"/>
    <w:rsid w:val="00AD64A0"/>
    <w:rsid w:val="00AD755D"/>
    <w:rsid w:val="00AE3843"/>
    <w:rsid w:val="00AE4E35"/>
    <w:rsid w:val="00AE515C"/>
    <w:rsid w:val="00AE54EF"/>
    <w:rsid w:val="00AE570C"/>
    <w:rsid w:val="00AE6710"/>
    <w:rsid w:val="00AE7050"/>
    <w:rsid w:val="00AE7123"/>
    <w:rsid w:val="00AE7D70"/>
    <w:rsid w:val="00AF0E8B"/>
    <w:rsid w:val="00AF1916"/>
    <w:rsid w:val="00AF429D"/>
    <w:rsid w:val="00AF4FBF"/>
    <w:rsid w:val="00AF5827"/>
    <w:rsid w:val="00AF60A0"/>
    <w:rsid w:val="00AF6C38"/>
    <w:rsid w:val="00B002A8"/>
    <w:rsid w:val="00B059C3"/>
    <w:rsid w:val="00B071D5"/>
    <w:rsid w:val="00B10842"/>
    <w:rsid w:val="00B12A0E"/>
    <w:rsid w:val="00B1391D"/>
    <w:rsid w:val="00B14F8B"/>
    <w:rsid w:val="00B14FCA"/>
    <w:rsid w:val="00B1649B"/>
    <w:rsid w:val="00B16886"/>
    <w:rsid w:val="00B17FFD"/>
    <w:rsid w:val="00B202DE"/>
    <w:rsid w:val="00B20634"/>
    <w:rsid w:val="00B2421A"/>
    <w:rsid w:val="00B24F35"/>
    <w:rsid w:val="00B2547F"/>
    <w:rsid w:val="00B25CDA"/>
    <w:rsid w:val="00B26336"/>
    <w:rsid w:val="00B26924"/>
    <w:rsid w:val="00B300A8"/>
    <w:rsid w:val="00B300F8"/>
    <w:rsid w:val="00B304F5"/>
    <w:rsid w:val="00B31368"/>
    <w:rsid w:val="00B32A4F"/>
    <w:rsid w:val="00B3352F"/>
    <w:rsid w:val="00B339BA"/>
    <w:rsid w:val="00B340ED"/>
    <w:rsid w:val="00B3439B"/>
    <w:rsid w:val="00B37069"/>
    <w:rsid w:val="00B373CF"/>
    <w:rsid w:val="00B41A51"/>
    <w:rsid w:val="00B41D04"/>
    <w:rsid w:val="00B420AC"/>
    <w:rsid w:val="00B424ED"/>
    <w:rsid w:val="00B42804"/>
    <w:rsid w:val="00B4404E"/>
    <w:rsid w:val="00B4574D"/>
    <w:rsid w:val="00B46DC8"/>
    <w:rsid w:val="00B47318"/>
    <w:rsid w:val="00B47F15"/>
    <w:rsid w:val="00B50736"/>
    <w:rsid w:val="00B50956"/>
    <w:rsid w:val="00B53C43"/>
    <w:rsid w:val="00B54922"/>
    <w:rsid w:val="00B550C0"/>
    <w:rsid w:val="00B55648"/>
    <w:rsid w:val="00B55684"/>
    <w:rsid w:val="00B55C0D"/>
    <w:rsid w:val="00B55C71"/>
    <w:rsid w:val="00B55E8E"/>
    <w:rsid w:val="00B56045"/>
    <w:rsid w:val="00B560D5"/>
    <w:rsid w:val="00B56522"/>
    <w:rsid w:val="00B569CB"/>
    <w:rsid w:val="00B57230"/>
    <w:rsid w:val="00B61000"/>
    <w:rsid w:val="00B62C20"/>
    <w:rsid w:val="00B63067"/>
    <w:rsid w:val="00B64EA8"/>
    <w:rsid w:val="00B7027A"/>
    <w:rsid w:val="00B7039F"/>
    <w:rsid w:val="00B71164"/>
    <w:rsid w:val="00B71595"/>
    <w:rsid w:val="00B71A91"/>
    <w:rsid w:val="00B71F40"/>
    <w:rsid w:val="00B72485"/>
    <w:rsid w:val="00B7334A"/>
    <w:rsid w:val="00B741EC"/>
    <w:rsid w:val="00B74283"/>
    <w:rsid w:val="00B75A3B"/>
    <w:rsid w:val="00B77271"/>
    <w:rsid w:val="00B8042C"/>
    <w:rsid w:val="00B8131C"/>
    <w:rsid w:val="00B8182C"/>
    <w:rsid w:val="00B81FCD"/>
    <w:rsid w:val="00B846F6"/>
    <w:rsid w:val="00B84BAB"/>
    <w:rsid w:val="00B87D6E"/>
    <w:rsid w:val="00B900A4"/>
    <w:rsid w:val="00B908EA"/>
    <w:rsid w:val="00B9100A"/>
    <w:rsid w:val="00B91DC2"/>
    <w:rsid w:val="00B92332"/>
    <w:rsid w:val="00B92945"/>
    <w:rsid w:val="00B93548"/>
    <w:rsid w:val="00B941C1"/>
    <w:rsid w:val="00B96933"/>
    <w:rsid w:val="00BA02BA"/>
    <w:rsid w:val="00BA34C9"/>
    <w:rsid w:val="00BA369F"/>
    <w:rsid w:val="00BA489E"/>
    <w:rsid w:val="00BA5C2F"/>
    <w:rsid w:val="00BA73AD"/>
    <w:rsid w:val="00BB0200"/>
    <w:rsid w:val="00BB0582"/>
    <w:rsid w:val="00BB0639"/>
    <w:rsid w:val="00BB11B7"/>
    <w:rsid w:val="00BB26A4"/>
    <w:rsid w:val="00BB26F1"/>
    <w:rsid w:val="00BB33EF"/>
    <w:rsid w:val="00BB3EE7"/>
    <w:rsid w:val="00BB5C0D"/>
    <w:rsid w:val="00BB6407"/>
    <w:rsid w:val="00BB730F"/>
    <w:rsid w:val="00BC2C56"/>
    <w:rsid w:val="00BC3916"/>
    <w:rsid w:val="00BC40B0"/>
    <w:rsid w:val="00BC7200"/>
    <w:rsid w:val="00BC76F2"/>
    <w:rsid w:val="00BC7FAE"/>
    <w:rsid w:val="00BD017D"/>
    <w:rsid w:val="00BD12F2"/>
    <w:rsid w:val="00BD37EF"/>
    <w:rsid w:val="00BD516C"/>
    <w:rsid w:val="00BD5277"/>
    <w:rsid w:val="00BD6B8C"/>
    <w:rsid w:val="00BD783D"/>
    <w:rsid w:val="00BD7A2A"/>
    <w:rsid w:val="00BE05DD"/>
    <w:rsid w:val="00BE0644"/>
    <w:rsid w:val="00BE15BD"/>
    <w:rsid w:val="00BE163A"/>
    <w:rsid w:val="00BE1FDB"/>
    <w:rsid w:val="00BE419F"/>
    <w:rsid w:val="00BE450A"/>
    <w:rsid w:val="00BE5B75"/>
    <w:rsid w:val="00BE5F32"/>
    <w:rsid w:val="00BE7370"/>
    <w:rsid w:val="00BF616F"/>
    <w:rsid w:val="00BF6BFD"/>
    <w:rsid w:val="00BF7737"/>
    <w:rsid w:val="00BF7A8E"/>
    <w:rsid w:val="00C00585"/>
    <w:rsid w:val="00C00B31"/>
    <w:rsid w:val="00C00DD2"/>
    <w:rsid w:val="00C01357"/>
    <w:rsid w:val="00C0138B"/>
    <w:rsid w:val="00C027FB"/>
    <w:rsid w:val="00C02CA3"/>
    <w:rsid w:val="00C03D99"/>
    <w:rsid w:val="00C05053"/>
    <w:rsid w:val="00C0589D"/>
    <w:rsid w:val="00C069B0"/>
    <w:rsid w:val="00C109BC"/>
    <w:rsid w:val="00C11DEF"/>
    <w:rsid w:val="00C12975"/>
    <w:rsid w:val="00C12F6B"/>
    <w:rsid w:val="00C13067"/>
    <w:rsid w:val="00C13505"/>
    <w:rsid w:val="00C15B3C"/>
    <w:rsid w:val="00C17CDF"/>
    <w:rsid w:val="00C20396"/>
    <w:rsid w:val="00C21AD5"/>
    <w:rsid w:val="00C21D62"/>
    <w:rsid w:val="00C21E69"/>
    <w:rsid w:val="00C23B60"/>
    <w:rsid w:val="00C24752"/>
    <w:rsid w:val="00C25334"/>
    <w:rsid w:val="00C25ED2"/>
    <w:rsid w:val="00C25F70"/>
    <w:rsid w:val="00C26E72"/>
    <w:rsid w:val="00C277D4"/>
    <w:rsid w:val="00C33831"/>
    <w:rsid w:val="00C361EA"/>
    <w:rsid w:val="00C3632E"/>
    <w:rsid w:val="00C36FE7"/>
    <w:rsid w:val="00C404BC"/>
    <w:rsid w:val="00C42073"/>
    <w:rsid w:val="00C439FB"/>
    <w:rsid w:val="00C43A7E"/>
    <w:rsid w:val="00C43B87"/>
    <w:rsid w:val="00C45368"/>
    <w:rsid w:val="00C45CA6"/>
    <w:rsid w:val="00C4633A"/>
    <w:rsid w:val="00C46592"/>
    <w:rsid w:val="00C46CCC"/>
    <w:rsid w:val="00C47DAA"/>
    <w:rsid w:val="00C50976"/>
    <w:rsid w:val="00C51264"/>
    <w:rsid w:val="00C51573"/>
    <w:rsid w:val="00C51D3A"/>
    <w:rsid w:val="00C550AA"/>
    <w:rsid w:val="00C55831"/>
    <w:rsid w:val="00C56388"/>
    <w:rsid w:val="00C57180"/>
    <w:rsid w:val="00C5734E"/>
    <w:rsid w:val="00C61B7E"/>
    <w:rsid w:val="00C62C91"/>
    <w:rsid w:val="00C639C3"/>
    <w:rsid w:val="00C653D6"/>
    <w:rsid w:val="00C67185"/>
    <w:rsid w:val="00C67554"/>
    <w:rsid w:val="00C705C6"/>
    <w:rsid w:val="00C71725"/>
    <w:rsid w:val="00C72173"/>
    <w:rsid w:val="00C725D2"/>
    <w:rsid w:val="00C72DAA"/>
    <w:rsid w:val="00C737C8"/>
    <w:rsid w:val="00C75B89"/>
    <w:rsid w:val="00C7690E"/>
    <w:rsid w:val="00C76FEE"/>
    <w:rsid w:val="00C80306"/>
    <w:rsid w:val="00C80B71"/>
    <w:rsid w:val="00C80C3A"/>
    <w:rsid w:val="00C80E75"/>
    <w:rsid w:val="00C8197A"/>
    <w:rsid w:val="00C83637"/>
    <w:rsid w:val="00C8390C"/>
    <w:rsid w:val="00C83FEA"/>
    <w:rsid w:val="00C840BC"/>
    <w:rsid w:val="00C84342"/>
    <w:rsid w:val="00C84FB0"/>
    <w:rsid w:val="00C8581A"/>
    <w:rsid w:val="00C86A5E"/>
    <w:rsid w:val="00C90685"/>
    <w:rsid w:val="00C90CBA"/>
    <w:rsid w:val="00C917A5"/>
    <w:rsid w:val="00C91893"/>
    <w:rsid w:val="00C94308"/>
    <w:rsid w:val="00C94B78"/>
    <w:rsid w:val="00C95DE6"/>
    <w:rsid w:val="00C961B9"/>
    <w:rsid w:val="00C96A33"/>
    <w:rsid w:val="00CA16E9"/>
    <w:rsid w:val="00CA1794"/>
    <w:rsid w:val="00CA2FE3"/>
    <w:rsid w:val="00CA4B94"/>
    <w:rsid w:val="00CA4D7D"/>
    <w:rsid w:val="00CA64BE"/>
    <w:rsid w:val="00CB1B97"/>
    <w:rsid w:val="00CB29F1"/>
    <w:rsid w:val="00CB302C"/>
    <w:rsid w:val="00CB3CE0"/>
    <w:rsid w:val="00CB4B05"/>
    <w:rsid w:val="00CB5DC7"/>
    <w:rsid w:val="00CB6256"/>
    <w:rsid w:val="00CB63CC"/>
    <w:rsid w:val="00CB6D78"/>
    <w:rsid w:val="00CB7CFA"/>
    <w:rsid w:val="00CC0820"/>
    <w:rsid w:val="00CC0E60"/>
    <w:rsid w:val="00CC11E5"/>
    <w:rsid w:val="00CC2015"/>
    <w:rsid w:val="00CC3124"/>
    <w:rsid w:val="00CC3B20"/>
    <w:rsid w:val="00CC4845"/>
    <w:rsid w:val="00CC4BB9"/>
    <w:rsid w:val="00CC6813"/>
    <w:rsid w:val="00CC6DE6"/>
    <w:rsid w:val="00CC738F"/>
    <w:rsid w:val="00CC73A1"/>
    <w:rsid w:val="00CD08B6"/>
    <w:rsid w:val="00CD2C10"/>
    <w:rsid w:val="00CD3CE0"/>
    <w:rsid w:val="00CD4052"/>
    <w:rsid w:val="00CD584B"/>
    <w:rsid w:val="00CD5994"/>
    <w:rsid w:val="00CD59C7"/>
    <w:rsid w:val="00CD645A"/>
    <w:rsid w:val="00CD754B"/>
    <w:rsid w:val="00CE01B4"/>
    <w:rsid w:val="00CE0664"/>
    <w:rsid w:val="00CE07D2"/>
    <w:rsid w:val="00CE4C4A"/>
    <w:rsid w:val="00CE7FD6"/>
    <w:rsid w:val="00CF1816"/>
    <w:rsid w:val="00CF1E66"/>
    <w:rsid w:val="00CF3B2A"/>
    <w:rsid w:val="00CF4366"/>
    <w:rsid w:val="00CF4DE3"/>
    <w:rsid w:val="00CF526D"/>
    <w:rsid w:val="00CF729E"/>
    <w:rsid w:val="00D04343"/>
    <w:rsid w:val="00D050CC"/>
    <w:rsid w:val="00D058C4"/>
    <w:rsid w:val="00D07466"/>
    <w:rsid w:val="00D1021A"/>
    <w:rsid w:val="00D11469"/>
    <w:rsid w:val="00D11E87"/>
    <w:rsid w:val="00D12194"/>
    <w:rsid w:val="00D14349"/>
    <w:rsid w:val="00D15E74"/>
    <w:rsid w:val="00D21DD6"/>
    <w:rsid w:val="00D21E82"/>
    <w:rsid w:val="00D2253C"/>
    <w:rsid w:val="00D22B74"/>
    <w:rsid w:val="00D239BC"/>
    <w:rsid w:val="00D2484A"/>
    <w:rsid w:val="00D24EC2"/>
    <w:rsid w:val="00D274C3"/>
    <w:rsid w:val="00D30F65"/>
    <w:rsid w:val="00D32D2B"/>
    <w:rsid w:val="00D336E4"/>
    <w:rsid w:val="00D338C0"/>
    <w:rsid w:val="00D33A5B"/>
    <w:rsid w:val="00D33A61"/>
    <w:rsid w:val="00D35ECC"/>
    <w:rsid w:val="00D3689F"/>
    <w:rsid w:val="00D408C1"/>
    <w:rsid w:val="00D422DB"/>
    <w:rsid w:val="00D4269C"/>
    <w:rsid w:val="00D44AE6"/>
    <w:rsid w:val="00D503B5"/>
    <w:rsid w:val="00D507F8"/>
    <w:rsid w:val="00D51F32"/>
    <w:rsid w:val="00D537F0"/>
    <w:rsid w:val="00D539AF"/>
    <w:rsid w:val="00D53E84"/>
    <w:rsid w:val="00D579E1"/>
    <w:rsid w:val="00D57D89"/>
    <w:rsid w:val="00D60632"/>
    <w:rsid w:val="00D61F75"/>
    <w:rsid w:val="00D6316B"/>
    <w:rsid w:val="00D64508"/>
    <w:rsid w:val="00D65CB2"/>
    <w:rsid w:val="00D73D4E"/>
    <w:rsid w:val="00D74277"/>
    <w:rsid w:val="00D7510B"/>
    <w:rsid w:val="00D81533"/>
    <w:rsid w:val="00D828EA"/>
    <w:rsid w:val="00D8414A"/>
    <w:rsid w:val="00D8784E"/>
    <w:rsid w:val="00D90ECF"/>
    <w:rsid w:val="00D93A20"/>
    <w:rsid w:val="00D95339"/>
    <w:rsid w:val="00D954DB"/>
    <w:rsid w:val="00D95822"/>
    <w:rsid w:val="00D970C1"/>
    <w:rsid w:val="00D97D52"/>
    <w:rsid w:val="00DA07FE"/>
    <w:rsid w:val="00DA23B6"/>
    <w:rsid w:val="00DA36DD"/>
    <w:rsid w:val="00DA39E2"/>
    <w:rsid w:val="00DA5C79"/>
    <w:rsid w:val="00DA6B38"/>
    <w:rsid w:val="00DA733C"/>
    <w:rsid w:val="00DA73CE"/>
    <w:rsid w:val="00DA7DEF"/>
    <w:rsid w:val="00DB09D7"/>
    <w:rsid w:val="00DB1B82"/>
    <w:rsid w:val="00DB42D7"/>
    <w:rsid w:val="00DB45A8"/>
    <w:rsid w:val="00DB51B2"/>
    <w:rsid w:val="00DB6CA2"/>
    <w:rsid w:val="00DB7996"/>
    <w:rsid w:val="00DC1336"/>
    <w:rsid w:val="00DC19E0"/>
    <w:rsid w:val="00DC2B6B"/>
    <w:rsid w:val="00DC3167"/>
    <w:rsid w:val="00DC447E"/>
    <w:rsid w:val="00DC44D0"/>
    <w:rsid w:val="00DC4517"/>
    <w:rsid w:val="00DD0A19"/>
    <w:rsid w:val="00DD0DA1"/>
    <w:rsid w:val="00DD369B"/>
    <w:rsid w:val="00DD47C6"/>
    <w:rsid w:val="00DD5496"/>
    <w:rsid w:val="00DD63CC"/>
    <w:rsid w:val="00DD6522"/>
    <w:rsid w:val="00DD7FE2"/>
    <w:rsid w:val="00DE011A"/>
    <w:rsid w:val="00DE1801"/>
    <w:rsid w:val="00DE1905"/>
    <w:rsid w:val="00DE1E2E"/>
    <w:rsid w:val="00DE3628"/>
    <w:rsid w:val="00DE39CB"/>
    <w:rsid w:val="00DE53E8"/>
    <w:rsid w:val="00DE5DC8"/>
    <w:rsid w:val="00DE5EB3"/>
    <w:rsid w:val="00DE6B78"/>
    <w:rsid w:val="00DE766C"/>
    <w:rsid w:val="00DE7815"/>
    <w:rsid w:val="00DE7F8E"/>
    <w:rsid w:val="00DF0CBB"/>
    <w:rsid w:val="00DF1BDB"/>
    <w:rsid w:val="00DF38B6"/>
    <w:rsid w:val="00DF4B30"/>
    <w:rsid w:val="00DF552C"/>
    <w:rsid w:val="00DF69EF"/>
    <w:rsid w:val="00DF703F"/>
    <w:rsid w:val="00DF7A64"/>
    <w:rsid w:val="00E00550"/>
    <w:rsid w:val="00E006ED"/>
    <w:rsid w:val="00E008B6"/>
    <w:rsid w:val="00E010C2"/>
    <w:rsid w:val="00E01CCC"/>
    <w:rsid w:val="00E02116"/>
    <w:rsid w:val="00E034E8"/>
    <w:rsid w:val="00E036A8"/>
    <w:rsid w:val="00E0493C"/>
    <w:rsid w:val="00E05D18"/>
    <w:rsid w:val="00E1006C"/>
    <w:rsid w:val="00E107D5"/>
    <w:rsid w:val="00E11ECD"/>
    <w:rsid w:val="00E12870"/>
    <w:rsid w:val="00E13497"/>
    <w:rsid w:val="00E13D05"/>
    <w:rsid w:val="00E147CC"/>
    <w:rsid w:val="00E1488B"/>
    <w:rsid w:val="00E14C5F"/>
    <w:rsid w:val="00E16428"/>
    <w:rsid w:val="00E1679C"/>
    <w:rsid w:val="00E1683A"/>
    <w:rsid w:val="00E1757C"/>
    <w:rsid w:val="00E179B4"/>
    <w:rsid w:val="00E2043A"/>
    <w:rsid w:val="00E20711"/>
    <w:rsid w:val="00E21096"/>
    <w:rsid w:val="00E21F64"/>
    <w:rsid w:val="00E22034"/>
    <w:rsid w:val="00E22035"/>
    <w:rsid w:val="00E2272B"/>
    <w:rsid w:val="00E228FD"/>
    <w:rsid w:val="00E2298B"/>
    <w:rsid w:val="00E23798"/>
    <w:rsid w:val="00E2407E"/>
    <w:rsid w:val="00E24D73"/>
    <w:rsid w:val="00E25E18"/>
    <w:rsid w:val="00E276D1"/>
    <w:rsid w:val="00E30BA2"/>
    <w:rsid w:val="00E31D63"/>
    <w:rsid w:val="00E3270C"/>
    <w:rsid w:val="00E3621F"/>
    <w:rsid w:val="00E364ED"/>
    <w:rsid w:val="00E40124"/>
    <w:rsid w:val="00E40A91"/>
    <w:rsid w:val="00E40DA2"/>
    <w:rsid w:val="00E4137A"/>
    <w:rsid w:val="00E4162E"/>
    <w:rsid w:val="00E417D4"/>
    <w:rsid w:val="00E41E7D"/>
    <w:rsid w:val="00E44C5E"/>
    <w:rsid w:val="00E450BD"/>
    <w:rsid w:val="00E454CE"/>
    <w:rsid w:val="00E476EB"/>
    <w:rsid w:val="00E507AA"/>
    <w:rsid w:val="00E51B2A"/>
    <w:rsid w:val="00E52226"/>
    <w:rsid w:val="00E5463D"/>
    <w:rsid w:val="00E561F6"/>
    <w:rsid w:val="00E5652D"/>
    <w:rsid w:val="00E5702D"/>
    <w:rsid w:val="00E61013"/>
    <w:rsid w:val="00E6238F"/>
    <w:rsid w:val="00E6282B"/>
    <w:rsid w:val="00E6326F"/>
    <w:rsid w:val="00E637AA"/>
    <w:rsid w:val="00E63E0A"/>
    <w:rsid w:val="00E643C1"/>
    <w:rsid w:val="00E652E1"/>
    <w:rsid w:val="00E65F16"/>
    <w:rsid w:val="00E671DE"/>
    <w:rsid w:val="00E67359"/>
    <w:rsid w:val="00E6746B"/>
    <w:rsid w:val="00E6761D"/>
    <w:rsid w:val="00E67659"/>
    <w:rsid w:val="00E7005C"/>
    <w:rsid w:val="00E717BD"/>
    <w:rsid w:val="00E71B87"/>
    <w:rsid w:val="00E720E2"/>
    <w:rsid w:val="00E8141C"/>
    <w:rsid w:val="00E82A42"/>
    <w:rsid w:val="00E879A1"/>
    <w:rsid w:val="00E87ED2"/>
    <w:rsid w:val="00E90939"/>
    <w:rsid w:val="00E912CB"/>
    <w:rsid w:val="00E92B1F"/>
    <w:rsid w:val="00E9383A"/>
    <w:rsid w:val="00E941DD"/>
    <w:rsid w:val="00E945D0"/>
    <w:rsid w:val="00E94AD0"/>
    <w:rsid w:val="00E960A5"/>
    <w:rsid w:val="00EA0770"/>
    <w:rsid w:val="00EA087C"/>
    <w:rsid w:val="00EA1448"/>
    <w:rsid w:val="00EA3EC5"/>
    <w:rsid w:val="00EA3F8C"/>
    <w:rsid w:val="00EA5110"/>
    <w:rsid w:val="00EA5414"/>
    <w:rsid w:val="00EA5CBE"/>
    <w:rsid w:val="00EA7754"/>
    <w:rsid w:val="00EA7B51"/>
    <w:rsid w:val="00EA7B8B"/>
    <w:rsid w:val="00EB09AC"/>
    <w:rsid w:val="00EB1911"/>
    <w:rsid w:val="00EB1FCB"/>
    <w:rsid w:val="00EB32EC"/>
    <w:rsid w:val="00EB35AD"/>
    <w:rsid w:val="00EB3AFB"/>
    <w:rsid w:val="00EB3C7A"/>
    <w:rsid w:val="00EB3E2F"/>
    <w:rsid w:val="00EB4EE1"/>
    <w:rsid w:val="00EB718A"/>
    <w:rsid w:val="00EC0BEB"/>
    <w:rsid w:val="00EC0F46"/>
    <w:rsid w:val="00EC3CDD"/>
    <w:rsid w:val="00EC4F1D"/>
    <w:rsid w:val="00EC5E18"/>
    <w:rsid w:val="00EC77B9"/>
    <w:rsid w:val="00EC77C1"/>
    <w:rsid w:val="00EC78F6"/>
    <w:rsid w:val="00ED0159"/>
    <w:rsid w:val="00ED0ADC"/>
    <w:rsid w:val="00ED0D96"/>
    <w:rsid w:val="00ED1B26"/>
    <w:rsid w:val="00ED1CD8"/>
    <w:rsid w:val="00ED1EAA"/>
    <w:rsid w:val="00ED2E61"/>
    <w:rsid w:val="00ED59E9"/>
    <w:rsid w:val="00ED5A42"/>
    <w:rsid w:val="00ED5E6F"/>
    <w:rsid w:val="00ED623A"/>
    <w:rsid w:val="00ED7CDC"/>
    <w:rsid w:val="00EE1F12"/>
    <w:rsid w:val="00EE200D"/>
    <w:rsid w:val="00EE2324"/>
    <w:rsid w:val="00EE3178"/>
    <w:rsid w:val="00EE31EF"/>
    <w:rsid w:val="00EE34A7"/>
    <w:rsid w:val="00EE3D98"/>
    <w:rsid w:val="00EE41AC"/>
    <w:rsid w:val="00EE7AF3"/>
    <w:rsid w:val="00EF0A94"/>
    <w:rsid w:val="00EF41D9"/>
    <w:rsid w:val="00EF4A0C"/>
    <w:rsid w:val="00EF6733"/>
    <w:rsid w:val="00EF7B49"/>
    <w:rsid w:val="00F007E6"/>
    <w:rsid w:val="00F00ED2"/>
    <w:rsid w:val="00F0117C"/>
    <w:rsid w:val="00F03455"/>
    <w:rsid w:val="00F040F4"/>
    <w:rsid w:val="00F05FEB"/>
    <w:rsid w:val="00F06817"/>
    <w:rsid w:val="00F06BC4"/>
    <w:rsid w:val="00F07460"/>
    <w:rsid w:val="00F11191"/>
    <w:rsid w:val="00F116A1"/>
    <w:rsid w:val="00F14778"/>
    <w:rsid w:val="00F15161"/>
    <w:rsid w:val="00F16251"/>
    <w:rsid w:val="00F20AF9"/>
    <w:rsid w:val="00F20BDB"/>
    <w:rsid w:val="00F22612"/>
    <w:rsid w:val="00F22999"/>
    <w:rsid w:val="00F24089"/>
    <w:rsid w:val="00F2653D"/>
    <w:rsid w:val="00F26FC4"/>
    <w:rsid w:val="00F303BF"/>
    <w:rsid w:val="00F310BB"/>
    <w:rsid w:val="00F32109"/>
    <w:rsid w:val="00F325B9"/>
    <w:rsid w:val="00F34168"/>
    <w:rsid w:val="00F36051"/>
    <w:rsid w:val="00F37A82"/>
    <w:rsid w:val="00F40067"/>
    <w:rsid w:val="00F40596"/>
    <w:rsid w:val="00F40963"/>
    <w:rsid w:val="00F41C7D"/>
    <w:rsid w:val="00F42C55"/>
    <w:rsid w:val="00F42CFD"/>
    <w:rsid w:val="00F4319D"/>
    <w:rsid w:val="00F4362C"/>
    <w:rsid w:val="00F43B93"/>
    <w:rsid w:val="00F4421B"/>
    <w:rsid w:val="00F4599A"/>
    <w:rsid w:val="00F46450"/>
    <w:rsid w:val="00F501DC"/>
    <w:rsid w:val="00F5038D"/>
    <w:rsid w:val="00F50CBB"/>
    <w:rsid w:val="00F518A4"/>
    <w:rsid w:val="00F51C66"/>
    <w:rsid w:val="00F52561"/>
    <w:rsid w:val="00F53ADF"/>
    <w:rsid w:val="00F53B5A"/>
    <w:rsid w:val="00F53FCE"/>
    <w:rsid w:val="00F561E1"/>
    <w:rsid w:val="00F61CCF"/>
    <w:rsid w:val="00F62B5E"/>
    <w:rsid w:val="00F64508"/>
    <w:rsid w:val="00F653BB"/>
    <w:rsid w:val="00F66AC0"/>
    <w:rsid w:val="00F71616"/>
    <w:rsid w:val="00F73BBE"/>
    <w:rsid w:val="00F74861"/>
    <w:rsid w:val="00F757B1"/>
    <w:rsid w:val="00F77D0F"/>
    <w:rsid w:val="00F81DEC"/>
    <w:rsid w:val="00F81E4F"/>
    <w:rsid w:val="00F834F8"/>
    <w:rsid w:val="00F86C9F"/>
    <w:rsid w:val="00F87BFD"/>
    <w:rsid w:val="00F91DEE"/>
    <w:rsid w:val="00F94A2E"/>
    <w:rsid w:val="00F94ABA"/>
    <w:rsid w:val="00F94BC7"/>
    <w:rsid w:val="00F95C18"/>
    <w:rsid w:val="00F970B2"/>
    <w:rsid w:val="00F97D35"/>
    <w:rsid w:val="00FA114A"/>
    <w:rsid w:val="00FA1E17"/>
    <w:rsid w:val="00FA2199"/>
    <w:rsid w:val="00FA3250"/>
    <w:rsid w:val="00FA4CDE"/>
    <w:rsid w:val="00FB163F"/>
    <w:rsid w:val="00FB544A"/>
    <w:rsid w:val="00FB5C62"/>
    <w:rsid w:val="00FB63E4"/>
    <w:rsid w:val="00FB77B1"/>
    <w:rsid w:val="00FC1264"/>
    <w:rsid w:val="00FC1842"/>
    <w:rsid w:val="00FC1DCF"/>
    <w:rsid w:val="00FC2BD3"/>
    <w:rsid w:val="00FC3840"/>
    <w:rsid w:val="00FC6349"/>
    <w:rsid w:val="00FD0E48"/>
    <w:rsid w:val="00FD1543"/>
    <w:rsid w:val="00FD1893"/>
    <w:rsid w:val="00FD18B3"/>
    <w:rsid w:val="00FD228F"/>
    <w:rsid w:val="00FD3333"/>
    <w:rsid w:val="00FD3FBF"/>
    <w:rsid w:val="00FD42D7"/>
    <w:rsid w:val="00FD4DCE"/>
    <w:rsid w:val="00FD5A27"/>
    <w:rsid w:val="00FD6C16"/>
    <w:rsid w:val="00FE0632"/>
    <w:rsid w:val="00FE17B0"/>
    <w:rsid w:val="00FE17F1"/>
    <w:rsid w:val="00FE525F"/>
    <w:rsid w:val="00FE67E8"/>
    <w:rsid w:val="00FE7217"/>
    <w:rsid w:val="00FF31BF"/>
    <w:rsid w:val="00FF3DBD"/>
    <w:rsid w:val="00FF4D19"/>
    <w:rsid w:val="00FF571B"/>
    <w:rsid w:val="00FF5D7A"/>
    <w:rsid w:val="00FF7882"/>
    <w:rsid w:val="00FF79C4"/>
    <w:rsid w:val="013F5AEB"/>
    <w:rsid w:val="01548667"/>
    <w:rsid w:val="0195B191"/>
    <w:rsid w:val="01E85E2F"/>
    <w:rsid w:val="0248953F"/>
    <w:rsid w:val="0297FCAB"/>
    <w:rsid w:val="02E095A0"/>
    <w:rsid w:val="03132F91"/>
    <w:rsid w:val="03415C03"/>
    <w:rsid w:val="035A5034"/>
    <w:rsid w:val="04DF8A69"/>
    <w:rsid w:val="05A010BC"/>
    <w:rsid w:val="0616AC03"/>
    <w:rsid w:val="0621C6D5"/>
    <w:rsid w:val="062A1D18"/>
    <w:rsid w:val="066799AB"/>
    <w:rsid w:val="0679943D"/>
    <w:rsid w:val="06A58EE6"/>
    <w:rsid w:val="06A59D57"/>
    <w:rsid w:val="06ADA91B"/>
    <w:rsid w:val="06D0C58C"/>
    <w:rsid w:val="07AECCB0"/>
    <w:rsid w:val="07C7B6DB"/>
    <w:rsid w:val="07DAB81A"/>
    <w:rsid w:val="07ED2956"/>
    <w:rsid w:val="08996C4A"/>
    <w:rsid w:val="08F0F2D4"/>
    <w:rsid w:val="09C191CC"/>
    <w:rsid w:val="09E7DC61"/>
    <w:rsid w:val="0A474C61"/>
    <w:rsid w:val="0AC7EB01"/>
    <w:rsid w:val="0AE3F1A2"/>
    <w:rsid w:val="0B0E02BE"/>
    <w:rsid w:val="0B274F8A"/>
    <w:rsid w:val="0BC039C8"/>
    <w:rsid w:val="0BCFBD6A"/>
    <w:rsid w:val="0C0DCAF0"/>
    <w:rsid w:val="0C0F73B8"/>
    <w:rsid w:val="0C536D3F"/>
    <w:rsid w:val="0C774208"/>
    <w:rsid w:val="0CBB8CCF"/>
    <w:rsid w:val="0CCE7238"/>
    <w:rsid w:val="0CEB6C4E"/>
    <w:rsid w:val="0D00AD24"/>
    <w:rsid w:val="0D35FFC8"/>
    <w:rsid w:val="0D54D1B8"/>
    <w:rsid w:val="0DC0309C"/>
    <w:rsid w:val="0E16A22E"/>
    <w:rsid w:val="0E9031DC"/>
    <w:rsid w:val="0EB5BE11"/>
    <w:rsid w:val="0EC9C967"/>
    <w:rsid w:val="0F7A1B25"/>
    <w:rsid w:val="106923D6"/>
    <w:rsid w:val="108159FC"/>
    <w:rsid w:val="10E542BB"/>
    <w:rsid w:val="11BBC6FA"/>
    <w:rsid w:val="11CF7881"/>
    <w:rsid w:val="12080FE7"/>
    <w:rsid w:val="12795FB0"/>
    <w:rsid w:val="12942D3C"/>
    <w:rsid w:val="12E78C3C"/>
    <w:rsid w:val="13262E4D"/>
    <w:rsid w:val="135683AE"/>
    <w:rsid w:val="137F2D7E"/>
    <w:rsid w:val="139BAC73"/>
    <w:rsid w:val="13B9FED4"/>
    <w:rsid w:val="13CBE9AC"/>
    <w:rsid w:val="1441E2BA"/>
    <w:rsid w:val="14800D06"/>
    <w:rsid w:val="1545E32A"/>
    <w:rsid w:val="163AE707"/>
    <w:rsid w:val="167EB541"/>
    <w:rsid w:val="16D52A9D"/>
    <w:rsid w:val="1703BA11"/>
    <w:rsid w:val="176861E4"/>
    <w:rsid w:val="178EFDF2"/>
    <w:rsid w:val="178F1B73"/>
    <w:rsid w:val="179F000B"/>
    <w:rsid w:val="17FE4EF4"/>
    <w:rsid w:val="180674C3"/>
    <w:rsid w:val="181FDC3C"/>
    <w:rsid w:val="1856B5EB"/>
    <w:rsid w:val="18792CA1"/>
    <w:rsid w:val="18EF3DCB"/>
    <w:rsid w:val="191733FB"/>
    <w:rsid w:val="1A09BF07"/>
    <w:rsid w:val="1B5410B4"/>
    <w:rsid w:val="1B807F6C"/>
    <w:rsid w:val="1C523F8A"/>
    <w:rsid w:val="1C6D83C9"/>
    <w:rsid w:val="1CB50DC7"/>
    <w:rsid w:val="1CE59E5D"/>
    <w:rsid w:val="1D15A5A8"/>
    <w:rsid w:val="1D356F99"/>
    <w:rsid w:val="1E26DC42"/>
    <w:rsid w:val="1E4123DF"/>
    <w:rsid w:val="1E717ED8"/>
    <w:rsid w:val="1F0239B0"/>
    <w:rsid w:val="1F1D1759"/>
    <w:rsid w:val="1F70E917"/>
    <w:rsid w:val="1F8CF3BD"/>
    <w:rsid w:val="1FC0CED1"/>
    <w:rsid w:val="1FD286B4"/>
    <w:rsid w:val="20021DDE"/>
    <w:rsid w:val="20C9AAB9"/>
    <w:rsid w:val="211889F6"/>
    <w:rsid w:val="212F6D65"/>
    <w:rsid w:val="21B032A2"/>
    <w:rsid w:val="21EC3420"/>
    <w:rsid w:val="221A3C1B"/>
    <w:rsid w:val="22A12EBF"/>
    <w:rsid w:val="22C69248"/>
    <w:rsid w:val="233D9675"/>
    <w:rsid w:val="23BE28EA"/>
    <w:rsid w:val="23C8E519"/>
    <w:rsid w:val="2408884A"/>
    <w:rsid w:val="241A0340"/>
    <w:rsid w:val="241EBC14"/>
    <w:rsid w:val="24502AB8"/>
    <w:rsid w:val="245BC523"/>
    <w:rsid w:val="2483E6D0"/>
    <w:rsid w:val="24D966D6"/>
    <w:rsid w:val="260D1C75"/>
    <w:rsid w:val="2623F525"/>
    <w:rsid w:val="263446A4"/>
    <w:rsid w:val="263853EF"/>
    <w:rsid w:val="264034A1"/>
    <w:rsid w:val="26852B90"/>
    <w:rsid w:val="26946BC6"/>
    <w:rsid w:val="2794A9CB"/>
    <w:rsid w:val="2845DA17"/>
    <w:rsid w:val="28797C4D"/>
    <w:rsid w:val="287C0A84"/>
    <w:rsid w:val="288F498E"/>
    <w:rsid w:val="293A3309"/>
    <w:rsid w:val="2A18A007"/>
    <w:rsid w:val="2A55356A"/>
    <w:rsid w:val="2AE5F8A6"/>
    <w:rsid w:val="2B52EF64"/>
    <w:rsid w:val="2B93BEC9"/>
    <w:rsid w:val="2BA09133"/>
    <w:rsid w:val="2C34990A"/>
    <w:rsid w:val="2C615D0F"/>
    <w:rsid w:val="2CC3A7D6"/>
    <w:rsid w:val="2CE478BB"/>
    <w:rsid w:val="2D20A148"/>
    <w:rsid w:val="2D4E8B66"/>
    <w:rsid w:val="2D8C3BCA"/>
    <w:rsid w:val="2E6018C5"/>
    <w:rsid w:val="2E80491C"/>
    <w:rsid w:val="2E881E19"/>
    <w:rsid w:val="2EB9E0F8"/>
    <w:rsid w:val="2F2CB130"/>
    <w:rsid w:val="2F58E32D"/>
    <w:rsid w:val="302842B3"/>
    <w:rsid w:val="3029E2C7"/>
    <w:rsid w:val="30380C3A"/>
    <w:rsid w:val="303F23BA"/>
    <w:rsid w:val="30900186"/>
    <w:rsid w:val="30E888DC"/>
    <w:rsid w:val="30FCF7EF"/>
    <w:rsid w:val="313553A6"/>
    <w:rsid w:val="31D1EF0B"/>
    <w:rsid w:val="31D3C6D1"/>
    <w:rsid w:val="32A6BED9"/>
    <w:rsid w:val="32CEE6C7"/>
    <w:rsid w:val="32D48663"/>
    <w:rsid w:val="33365959"/>
    <w:rsid w:val="33AAB6F4"/>
    <w:rsid w:val="33F2ACF1"/>
    <w:rsid w:val="3408E547"/>
    <w:rsid w:val="34AC827C"/>
    <w:rsid w:val="34F36E26"/>
    <w:rsid w:val="34FB26B5"/>
    <w:rsid w:val="3596E908"/>
    <w:rsid w:val="35FD70C1"/>
    <w:rsid w:val="360C4FF9"/>
    <w:rsid w:val="36829DFD"/>
    <w:rsid w:val="36A9292D"/>
    <w:rsid w:val="377B5E20"/>
    <w:rsid w:val="378E162E"/>
    <w:rsid w:val="37FF7327"/>
    <w:rsid w:val="3884B7E0"/>
    <w:rsid w:val="388E0B49"/>
    <w:rsid w:val="38AFD2C2"/>
    <w:rsid w:val="38BF3B10"/>
    <w:rsid w:val="38FCB63C"/>
    <w:rsid w:val="393108D1"/>
    <w:rsid w:val="395DA794"/>
    <w:rsid w:val="39655C61"/>
    <w:rsid w:val="3988851F"/>
    <w:rsid w:val="39D06F7A"/>
    <w:rsid w:val="39F0138D"/>
    <w:rsid w:val="3A6A3E21"/>
    <w:rsid w:val="3A8594EB"/>
    <w:rsid w:val="3B31A53F"/>
    <w:rsid w:val="3B66B9AA"/>
    <w:rsid w:val="3BBA889A"/>
    <w:rsid w:val="3BD766A2"/>
    <w:rsid w:val="3C04FB9C"/>
    <w:rsid w:val="3C392640"/>
    <w:rsid w:val="3CB46AED"/>
    <w:rsid w:val="3CDA6C2E"/>
    <w:rsid w:val="3CDFFAF8"/>
    <w:rsid w:val="3CE0BB4C"/>
    <w:rsid w:val="3D01E89F"/>
    <w:rsid w:val="3E9E5A6C"/>
    <w:rsid w:val="3EC87CDE"/>
    <w:rsid w:val="3ECC09AE"/>
    <w:rsid w:val="3F22786C"/>
    <w:rsid w:val="3FE22226"/>
    <w:rsid w:val="402590C4"/>
    <w:rsid w:val="403225B9"/>
    <w:rsid w:val="413A5549"/>
    <w:rsid w:val="41513BE3"/>
    <w:rsid w:val="41F436CD"/>
    <w:rsid w:val="42211EFE"/>
    <w:rsid w:val="424D0EE8"/>
    <w:rsid w:val="44189C87"/>
    <w:rsid w:val="4458EAA5"/>
    <w:rsid w:val="4471CE32"/>
    <w:rsid w:val="44765097"/>
    <w:rsid w:val="44915E37"/>
    <w:rsid w:val="46CB7886"/>
    <w:rsid w:val="472B2436"/>
    <w:rsid w:val="473E1B51"/>
    <w:rsid w:val="473EC599"/>
    <w:rsid w:val="4786817C"/>
    <w:rsid w:val="479304CE"/>
    <w:rsid w:val="4798CB10"/>
    <w:rsid w:val="47F3A09A"/>
    <w:rsid w:val="480A574B"/>
    <w:rsid w:val="48E7736E"/>
    <w:rsid w:val="48EA12EE"/>
    <w:rsid w:val="4965083D"/>
    <w:rsid w:val="49725092"/>
    <w:rsid w:val="49DD4539"/>
    <w:rsid w:val="4A01AFA4"/>
    <w:rsid w:val="4A421BE3"/>
    <w:rsid w:val="4A4F0FF1"/>
    <w:rsid w:val="4A87D09A"/>
    <w:rsid w:val="4A970327"/>
    <w:rsid w:val="4AA64010"/>
    <w:rsid w:val="4B2B559C"/>
    <w:rsid w:val="4B7C4AA9"/>
    <w:rsid w:val="4BD8BB6F"/>
    <w:rsid w:val="4BD92AAA"/>
    <w:rsid w:val="4BDD442E"/>
    <w:rsid w:val="4CC13D2B"/>
    <w:rsid w:val="4CE51D39"/>
    <w:rsid w:val="4CE5F89D"/>
    <w:rsid w:val="4CE7A653"/>
    <w:rsid w:val="4D619142"/>
    <w:rsid w:val="4E02F4AF"/>
    <w:rsid w:val="4E3E3EF2"/>
    <w:rsid w:val="4E54552A"/>
    <w:rsid w:val="4E8D6C64"/>
    <w:rsid w:val="4F754E29"/>
    <w:rsid w:val="4F7706D6"/>
    <w:rsid w:val="4F8F18CC"/>
    <w:rsid w:val="50029365"/>
    <w:rsid w:val="500EDF33"/>
    <w:rsid w:val="504EAB91"/>
    <w:rsid w:val="50A185CE"/>
    <w:rsid w:val="50AF2FB9"/>
    <w:rsid w:val="50B5B505"/>
    <w:rsid w:val="50C0E877"/>
    <w:rsid w:val="51336CAC"/>
    <w:rsid w:val="51B527F2"/>
    <w:rsid w:val="51BC4666"/>
    <w:rsid w:val="51E2E10D"/>
    <w:rsid w:val="520E32F4"/>
    <w:rsid w:val="52105D39"/>
    <w:rsid w:val="521AFE8F"/>
    <w:rsid w:val="523D1553"/>
    <w:rsid w:val="5254E67F"/>
    <w:rsid w:val="52E8E77A"/>
    <w:rsid w:val="530A43BF"/>
    <w:rsid w:val="533C629E"/>
    <w:rsid w:val="53D5F3D2"/>
    <w:rsid w:val="53F77861"/>
    <w:rsid w:val="53FFF25F"/>
    <w:rsid w:val="542AFC5B"/>
    <w:rsid w:val="54B3020A"/>
    <w:rsid w:val="55FADE19"/>
    <w:rsid w:val="5628A22B"/>
    <w:rsid w:val="5657737D"/>
    <w:rsid w:val="56B2B9BE"/>
    <w:rsid w:val="56E0E7DF"/>
    <w:rsid w:val="5737EFAA"/>
    <w:rsid w:val="5753BCD6"/>
    <w:rsid w:val="582A58FA"/>
    <w:rsid w:val="5938896E"/>
    <w:rsid w:val="595EF28D"/>
    <w:rsid w:val="598F5B1A"/>
    <w:rsid w:val="5A0C9511"/>
    <w:rsid w:val="5A7DE994"/>
    <w:rsid w:val="5B1D6FC6"/>
    <w:rsid w:val="5B6322B1"/>
    <w:rsid w:val="5B6E4D26"/>
    <w:rsid w:val="5B81C366"/>
    <w:rsid w:val="5BC446ED"/>
    <w:rsid w:val="5BDC8AB9"/>
    <w:rsid w:val="5C0F64FA"/>
    <w:rsid w:val="5C3D4C9C"/>
    <w:rsid w:val="5CA7E1E6"/>
    <w:rsid w:val="5CFEB702"/>
    <w:rsid w:val="5D422994"/>
    <w:rsid w:val="5D4850B2"/>
    <w:rsid w:val="5D62412B"/>
    <w:rsid w:val="5D9B3F91"/>
    <w:rsid w:val="5DB23FA0"/>
    <w:rsid w:val="5FAD4762"/>
    <w:rsid w:val="605229A9"/>
    <w:rsid w:val="606D4368"/>
    <w:rsid w:val="60DCAEFF"/>
    <w:rsid w:val="612B7EE7"/>
    <w:rsid w:val="61896CC4"/>
    <w:rsid w:val="6275EBC8"/>
    <w:rsid w:val="63082EBA"/>
    <w:rsid w:val="63E78510"/>
    <w:rsid w:val="64260595"/>
    <w:rsid w:val="64498357"/>
    <w:rsid w:val="645B63AF"/>
    <w:rsid w:val="645F855C"/>
    <w:rsid w:val="646EB067"/>
    <w:rsid w:val="650941A4"/>
    <w:rsid w:val="655B81F3"/>
    <w:rsid w:val="65A6E08E"/>
    <w:rsid w:val="65E27FEE"/>
    <w:rsid w:val="665506BA"/>
    <w:rsid w:val="6665AABC"/>
    <w:rsid w:val="66C6173D"/>
    <w:rsid w:val="67485256"/>
    <w:rsid w:val="676A42E4"/>
    <w:rsid w:val="677A6754"/>
    <w:rsid w:val="678E72BA"/>
    <w:rsid w:val="67FA57E0"/>
    <w:rsid w:val="68A5FAA3"/>
    <w:rsid w:val="68D6E84D"/>
    <w:rsid w:val="68DD61D8"/>
    <w:rsid w:val="68DD88E2"/>
    <w:rsid w:val="691637B5"/>
    <w:rsid w:val="691898ED"/>
    <w:rsid w:val="691CF17C"/>
    <w:rsid w:val="69356AC3"/>
    <w:rsid w:val="69684A47"/>
    <w:rsid w:val="69D22ABB"/>
    <w:rsid w:val="6A4384E3"/>
    <w:rsid w:val="6A500EF1"/>
    <w:rsid w:val="6B282146"/>
    <w:rsid w:val="6B3E45E3"/>
    <w:rsid w:val="6B7AD56C"/>
    <w:rsid w:val="6B7E44A4"/>
    <w:rsid w:val="6BFE4CBE"/>
    <w:rsid w:val="6C3C7A8D"/>
    <w:rsid w:val="6C77FF91"/>
    <w:rsid w:val="6CF727B7"/>
    <w:rsid w:val="6D2806B9"/>
    <w:rsid w:val="6D836E8F"/>
    <w:rsid w:val="6D8946EF"/>
    <w:rsid w:val="6DC18AFB"/>
    <w:rsid w:val="6E296552"/>
    <w:rsid w:val="6E2B6010"/>
    <w:rsid w:val="6F323CCB"/>
    <w:rsid w:val="6F4FC85F"/>
    <w:rsid w:val="6F7091CA"/>
    <w:rsid w:val="6F746C2F"/>
    <w:rsid w:val="6F8B2327"/>
    <w:rsid w:val="70226A5B"/>
    <w:rsid w:val="709ECC12"/>
    <w:rsid w:val="70CA5A45"/>
    <w:rsid w:val="710582CB"/>
    <w:rsid w:val="71A3C856"/>
    <w:rsid w:val="71B9AD1F"/>
    <w:rsid w:val="7264A4DD"/>
    <w:rsid w:val="72CBC17D"/>
    <w:rsid w:val="72D8F6EE"/>
    <w:rsid w:val="738235F2"/>
    <w:rsid w:val="73B55F66"/>
    <w:rsid w:val="74447D16"/>
    <w:rsid w:val="748683AF"/>
    <w:rsid w:val="74912172"/>
    <w:rsid w:val="74C6E4DC"/>
    <w:rsid w:val="74CDC634"/>
    <w:rsid w:val="7541328C"/>
    <w:rsid w:val="755D5EAB"/>
    <w:rsid w:val="756B0A48"/>
    <w:rsid w:val="75A2205F"/>
    <w:rsid w:val="75D16B58"/>
    <w:rsid w:val="75E65A47"/>
    <w:rsid w:val="7619670D"/>
    <w:rsid w:val="76742B5F"/>
    <w:rsid w:val="76B16921"/>
    <w:rsid w:val="76BC554C"/>
    <w:rsid w:val="7715E959"/>
    <w:rsid w:val="77422E55"/>
    <w:rsid w:val="77580A31"/>
    <w:rsid w:val="77FD4C02"/>
    <w:rsid w:val="78C3DA3A"/>
    <w:rsid w:val="7908E03D"/>
    <w:rsid w:val="79436647"/>
    <w:rsid w:val="7954EF3C"/>
    <w:rsid w:val="79666D18"/>
    <w:rsid w:val="796E4588"/>
    <w:rsid w:val="7A35C988"/>
    <w:rsid w:val="7A3944ED"/>
    <w:rsid w:val="7A4A50F3"/>
    <w:rsid w:val="7A8A127F"/>
    <w:rsid w:val="7B0D2DC3"/>
    <w:rsid w:val="7B8C7BE3"/>
    <w:rsid w:val="7BF2D418"/>
    <w:rsid w:val="7C8070AC"/>
    <w:rsid w:val="7C95C1B8"/>
    <w:rsid w:val="7CDC4799"/>
    <w:rsid w:val="7D63E260"/>
    <w:rsid w:val="7E0FCE92"/>
    <w:rsid w:val="7EC4B41D"/>
    <w:rsid w:val="7EE76734"/>
    <w:rsid w:val="7F0E8908"/>
    <w:rsid w:val="7F4B47FC"/>
    <w:rsid w:val="7F96BBF9"/>
    <w:rsid w:val="7F9BBCD6"/>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472B3"/>
  <w15:chartTrackingRefBased/>
  <w15:docId w15:val="{4053CC04-FB12-4E47-B58E-83D97D5C0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096A"/>
    <w:pPr>
      <w:spacing w:after="0" w:line="240" w:lineRule="auto"/>
    </w:pPr>
    <w:rPr>
      <w:rFonts w:ascii="Times New Roman" w:eastAsia="Times New Roman" w:hAnsi="Times New Roman" w:cs="Times New Roman"/>
      <w:sz w:val="24"/>
      <w:szCs w:val="24"/>
      <w:lang w:eastAsia="lv-LV"/>
    </w:rPr>
  </w:style>
  <w:style w:type="paragraph" w:styleId="Heading1">
    <w:name w:val="heading 1"/>
    <w:basedOn w:val="Normal"/>
    <w:next w:val="Normal"/>
    <w:link w:val="Heading1Char"/>
    <w:qFormat/>
    <w:rsid w:val="004539CB"/>
    <w:pPr>
      <w:keepNext/>
      <w:jc w:val="both"/>
      <w:outlineLvl w:val="0"/>
    </w:pPr>
    <w:rPr>
      <w:rFonts w:ascii="Times New Roman Tilde" w:hAnsi="Times New Roman Tilde"/>
      <w:i/>
      <w:sz w:val="2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096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096A"/>
    <w:rPr>
      <w:rFonts w:ascii="Segoe UI" w:eastAsia="Times New Roman" w:hAnsi="Segoe UI" w:cs="Segoe UI"/>
      <w:sz w:val="18"/>
      <w:szCs w:val="18"/>
      <w:lang w:eastAsia="lv-LV"/>
    </w:rPr>
  </w:style>
  <w:style w:type="paragraph" w:customStyle="1" w:styleId="tv213">
    <w:name w:val="tv213"/>
    <w:basedOn w:val="Normal"/>
    <w:rsid w:val="000D096A"/>
    <w:pPr>
      <w:spacing w:before="100" w:beforeAutospacing="1" w:after="100" w:afterAutospacing="1"/>
    </w:pPr>
  </w:style>
  <w:style w:type="paragraph" w:styleId="Header">
    <w:name w:val="header"/>
    <w:basedOn w:val="Normal"/>
    <w:link w:val="HeaderChar"/>
    <w:uiPriority w:val="99"/>
    <w:unhideWhenUsed/>
    <w:rsid w:val="000D096A"/>
    <w:pPr>
      <w:tabs>
        <w:tab w:val="center" w:pos="4153"/>
        <w:tab w:val="right" w:pos="8306"/>
      </w:tabs>
    </w:pPr>
  </w:style>
  <w:style w:type="character" w:customStyle="1" w:styleId="HeaderChar">
    <w:name w:val="Header Char"/>
    <w:basedOn w:val="DefaultParagraphFont"/>
    <w:link w:val="Header"/>
    <w:uiPriority w:val="99"/>
    <w:rsid w:val="000D096A"/>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0D096A"/>
    <w:pPr>
      <w:tabs>
        <w:tab w:val="center" w:pos="4153"/>
        <w:tab w:val="right" w:pos="8306"/>
      </w:tabs>
    </w:pPr>
  </w:style>
  <w:style w:type="character" w:customStyle="1" w:styleId="FooterChar">
    <w:name w:val="Footer Char"/>
    <w:basedOn w:val="DefaultParagraphFont"/>
    <w:link w:val="Footer"/>
    <w:uiPriority w:val="99"/>
    <w:rsid w:val="000D096A"/>
    <w:rPr>
      <w:rFonts w:ascii="Times New Roman" w:eastAsia="Times New Roman" w:hAnsi="Times New Roman" w:cs="Times New Roman"/>
      <w:sz w:val="24"/>
      <w:szCs w:val="24"/>
      <w:lang w:eastAsia="lv-LV"/>
    </w:rPr>
  </w:style>
  <w:style w:type="paragraph" w:styleId="ListParagraph">
    <w:name w:val="List Paragraph"/>
    <w:aliases w:val="Strip,Párrafo de lista,Normal bullet 2,Bullet list,List Paragraph1,2,LP1.,Numbered Para 1,Dot pt,No Spacing1,List Paragraph Char Char Char,Indicator Text,Bullet 1,Bullet Points,MAIN CONTENT,IFCL - List Paragraph,List Paragraph12"/>
    <w:basedOn w:val="Normal"/>
    <w:link w:val="ListParagraphChar"/>
    <w:uiPriority w:val="99"/>
    <w:qFormat/>
    <w:rsid w:val="000D096A"/>
    <w:pPr>
      <w:ind w:left="720"/>
      <w:contextualSpacing/>
    </w:pPr>
  </w:style>
  <w:style w:type="paragraph" w:styleId="CommentText">
    <w:name w:val="annotation text"/>
    <w:basedOn w:val="Normal"/>
    <w:link w:val="CommentTextChar"/>
    <w:uiPriority w:val="99"/>
    <w:unhideWhenUsed/>
    <w:rsid w:val="000D096A"/>
    <w:rPr>
      <w:sz w:val="20"/>
      <w:szCs w:val="20"/>
    </w:rPr>
  </w:style>
  <w:style w:type="character" w:customStyle="1" w:styleId="CommentTextChar">
    <w:name w:val="Comment Text Char"/>
    <w:basedOn w:val="DefaultParagraphFont"/>
    <w:link w:val="CommentText"/>
    <w:uiPriority w:val="99"/>
    <w:rsid w:val="000D096A"/>
    <w:rPr>
      <w:rFonts w:ascii="Times New Roman" w:eastAsia="Times New Roman" w:hAnsi="Times New Roman" w:cs="Times New Roman"/>
      <w:sz w:val="20"/>
      <w:szCs w:val="20"/>
      <w:lang w:eastAsia="lv-LV"/>
    </w:rPr>
  </w:style>
  <w:style w:type="character" w:styleId="CommentReference">
    <w:name w:val="annotation reference"/>
    <w:basedOn w:val="DefaultParagraphFont"/>
    <w:uiPriority w:val="99"/>
    <w:semiHidden/>
    <w:unhideWhenUsed/>
    <w:rsid w:val="000D096A"/>
    <w:rPr>
      <w:sz w:val="16"/>
      <w:szCs w:val="16"/>
    </w:rPr>
  </w:style>
  <w:style w:type="paragraph" w:styleId="CommentSubject">
    <w:name w:val="annotation subject"/>
    <w:basedOn w:val="CommentText"/>
    <w:next w:val="CommentText"/>
    <w:link w:val="CommentSubjectChar"/>
    <w:uiPriority w:val="99"/>
    <w:semiHidden/>
    <w:unhideWhenUsed/>
    <w:rsid w:val="000D096A"/>
    <w:rPr>
      <w:b/>
      <w:bCs/>
    </w:rPr>
  </w:style>
  <w:style w:type="character" w:customStyle="1" w:styleId="CommentSubjectChar">
    <w:name w:val="Comment Subject Char"/>
    <w:basedOn w:val="CommentTextChar"/>
    <w:link w:val="CommentSubject"/>
    <w:uiPriority w:val="99"/>
    <w:semiHidden/>
    <w:rsid w:val="000D096A"/>
    <w:rPr>
      <w:rFonts w:ascii="Times New Roman" w:eastAsia="Times New Roman" w:hAnsi="Times New Roman" w:cs="Times New Roman"/>
      <w:b/>
      <w:bCs/>
      <w:sz w:val="20"/>
      <w:szCs w:val="20"/>
      <w:lang w:eastAsia="lv-LV"/>
    </w:rPr>
  </w:style>
  <w:style w:type="paragraph" w:styleId="BodyText">
    <w:name w:val="Body Text"/>
    <w:basedOn w:val="Normal"/>
    <w:link w:val="BodyTextChar"/>
    <w:rsid w:val="000D096A"/>
    <w:pPr>
      <w:jc w:val="center"/>
    </w:pPr>
    <w:rPr>
      <w:szCs w:val="20"/>
      <w:lang w:eastAsia="en-US"/>
    </w:rPr>
  </w:style>
  <w:style w:type="character" w:customStyle="1" w:styleId="BodyTextChar">
    <w:name w:val="Body Text Char"/>
    <w:basedOn w:val="DefaultParagraphFont"/>
    <w:link w:val="BodyText"/>
    <w:rsid w:val="000D096A"/>
    <w:rPr>
      <w:rFonts w:ascii="Times New Roman" w:eastAsia="Times New Roman" w:hAnsi="Times New Roman" w:cs="Times New Roman"/>
      <w:sz w:val="24"/>
      <w:szCs w:val="20"/>
    </w:rPr>
  </w:style>
  <w:style w:type="paragraph" w:styleId="FootnoteText">
    <w:name w:val="footnote text"/>
    <w:aliases w:val="Footnote,Fußnote,Fußnote Char Char,Fußnote Char Char Char Char Char Char,Footnote Text Char1,Footnote Text Char Char,Footnote Text Char1 Char Char,Footnote Text Char Char Char Char,Footnote Text Char1 Char Char1 Char Char,f"/>
    <w:basedOn w:val="Normal"/>
    <w:link w:val="FootnoteTextChar"/>
    <w:uiPriority w:val="99"/>
    <w:unhideWhenUsed/>
    <w:rsid w:val="000D096A"/>
    <w:rPr>
      <w:sz w:val="20"/>
      <w:szCs w:val="20"/>
    </w:rPr>
  </w:style>
  <w:style w:type="character" w:customStyle="1" w:styleId="FootnoteTextChar">
    <w:name w:val="Footnote Text Char"/>
    <w:aliases w:val="Footnote Char,Fußnote Char,Fußnote Char Char Char,Fußnote Char Char Char Char Char Char Char,Footnote Text Char1 Char,Footnote Text Char Char Char,Footnote Text Char1 Char Char Char,Footnote Text Char Char Char Char Char,f Char"/>
    <w:basedOn w:val="DefaultParagraphFont"/>
    <w:link w:val="FootnoteText"/>
    <w:uiPriority w:val="99"/>
    <w:rsid w:val="000D096A"/>
    <w:rPr>
      <w:rFonts w:ascii="Times New Roman" w:eastAsia="Times New Roman" w:hAnsi="Times New Roman" w:cs="Times New Roman"/>
      <w:sz w:val="20"/>
      <w:szCs w:val="20"/>
      <w:lang w:eastAsia="lv-LV"/>
    </w:rPr>
  </w:style>
  <w:style w:type="character" w:styleId="FootnoteReference">
    <w:name w:val="footnote reference"/>
    <w:aliases w:val="Footnote symbol,Footnote Reference Number,SUPERS,Footnote Reference Superscript,Footnote Refernece,ftref,Odwołanie przypisu,BVI fnr,Footnotes refss,Ref,de nota al pie,-E Fußnotenzeichen,Footnote reference number,E,E FNZ,Times 10 Point"/>
    <w:basedOn w:val="DefaultParagraphFont"/>
    <w:link w:val="CharCharCharChar"/>
    <w:uiPriority w:val="99"/>
    <w:unhideWhenUsed/>
    <w:qFormat/>
    <w:rsid w:val="000D096A"/>
    <w:rPr>
      <w:vertAlign w:val="superscript"/>
    </w:rPr>
  </w:style>
  <w:style w:type="paragraph" w:styleId="NoSpacing">
    <w:name w:val="No Spacing"/>
    <w:link w:val="NoSpacingChar"/>
    <w:uiPriority w:val="1"/>
    <w:qFormat/>
    <w:rsid w:val="000D096A"/>
    <w:pPr>
      <w:spacing w:after="0" w:line="240" w:lineRule="auto"/>
    </w:pPr>
    <w:rPr>
      <w:rFonts w:ascii="Times New Roman" w:eastAsia="Calibri" w:hAnsi="Times New Roman" w:cs="Times New Roman"/>
    </w:rPr>
  </w:style>
  <w:style w:type="character" w:customStyle="1" w:styleId="NoSpacingChar">
    <w:name w:val="No Spacing Char"/>
    <w:basedOn w:val="DefaultParagraphFont"/>
    <w:link w:val="NoSpacing"/>
    <w:uiPriority w:val="1"/>
    <w:rsid w:val="000D096A"/>
    <w:rPr>
      <w:rFonts w:ascii="Times New Roman" w:eastAsia="Calibri" w:hAnsi="Times New Roman" w:cs="Times New Roman"/>
    </w:rPr>
  </w:style>
  <w:style w:type="paragraph" w:customStyle="1" w:styleId="naisf">
    <w:name w:val="naisf"/>
    <w:basedOn w:val="Normal"/>
    <w:rsid w:val="000D096A"/>
    <w:pPr>
      <w:spacing w:before="75" w:after="75"/>
      <w:ind w:firstLine="375"/>
      <w:jc w:val="both"/>
    </w:pPr>
  </w:style>
  <w:style w:type="character" w:styleId="Hyperlink">
    <w:name w:val="Hyperlink"/>
    <w:basedOn w:val="DefaultParagraphFont"/>
    <w:uiPriority w:val="99"/>
    <w:unhideWhenUsed/>
    <w:rsid w:val="000D096A"/>
    <w:rPr>
      <w:color w:val="0563C1"/>
      <w:u w:val="single"/>
    </w:rPr>
  </w:style>
  <w:style w:type="character" w:customStyle="1" w:styleId="ListParagraphChar">
    <w:name w:val="List Paragraph Char"/>
    <w:aliases w:val="Strip Char,Párrafo de lista Char,Normal bullet 2 Char,Bullet list Char,List Paragraph1 Char,2 Char,LP1. Char,Numbered Para 1 Char,Dot pt Char,No Spacing1 Char,List Paragraph Char Char Char Char,Indicator Text Char,Bullet 1 Char"/>
    <w:link w:val="ListParagraph"/>
    <w:uiPriority w:val="99"/>
    <w:locked/>
    <w:rsid w:val="000D096A"/>
    <w:rPr>
      <w:rFonts w:ascii="Times New Roman" w:eastAsia="Times New Roman" w:hAnsi="Times New Roman" w:cs="Times New Roman"/>
      <w:sz w:val="24"/>
      <w:szCs w:val="24"/>
      <w:lang w:eastAsia="lv-LV"/>
    </w:rPr>
  </w:style>
  <w:style w:type="table" w:styleId="TableGrid">
    <w:name w:val="Table Grid"/>
    <w:basedOn w:val="TableNormal"/>
    <w:uiPriority w:val="39"/>
    <w:rsid w:val="000D096A"/>
    <w:pPr>
      <w:spacing w:after="0" w:line="240" w:lineRule="auto"/>
    </w:pPr>
    <w:rPr>
      <w:rFonts w:ascii="Calibri" w:eastAsia="Calibri"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D096A"/>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rsid w:val="000D096A"/>
    <w:pPr>
      <w:spacing w:after="0" w:line="240" w:lineRule="auto"/>
    </w:pPr>
    <w:rPr>
      <w:rFonts w:ascii="Times New Roman" w:eastAsia="Times New Roman" w:hAnsi="Times New Roman" w:cs="Times New Roman"/>
      <w:sz w:val="24"/>
      <w:szCs w:val="24"/>
      <w:lang w:eastAsia="lv-LV"/>
    </w:rPr>
  </w:style>
  <w:style w:type="character" w:styleId="Emphasis">
    <w:name w:val="Emphasis"/>
    <w:basedOn w:val="DefaultParagraphFont"/>
    <w:uiPriority w:val="20"/>
    <w:qFormat/>
    <w:rsid w:val="000D096A"/>
    <w:rPr>
      <w:i/>
      <w:iCs/>
    </w:rPr>
  </w:style>
  <w:style w:type="character" w:customStyle="1" w:styleId="markedcontent">
    <w:name w:val="markedcontent"/>
    <w:basedOn w:val="DefaultParagraphFont"/>
    <w:rsid w:val="000D096A"/>
  </w:style>
  <w:style w:type="paragraph" w:styleId="NormalWeb">
    <w:name w:val="Normal (Web)"/>
    <w:basedOn w:val="Normal"/>
    <w:uiPriority w:val="99"/>
    <w:rsid w:val="008F061A"/>
    <w:pPr>
      <w:spacing w:before="100" w:beforeAutospacing="1" w:after="100" w:afterAutospacing="1"/>
    </w:pPr>
  </w:style>
  <w:style w:type="character" w:customStyle="1" w:styleId="Heading1Char">
    <w:name w:val="Heading 1 Char"/>
    <w:basedOn w:val="DefaultParagraphFont"/>
    <w:link w:val="Heading1"/>
    <w:rsid w:val="004539CB"/>
    <w:rPr>
      <w:rFonts w:ascii="Times New Roman Tilde" w:eastAsia="Times New Roman" w:hAnsi="Times New Roman Tilde" w:cs="Times New Roman"/>
      <w:i/>
      <w:sz w:val="28"/>
      <w:szCs w:val="20"/>
      <w:lang w:eastAsia="lv-LV"/>
    </w:rPr>
  </w:style>
  <w:style w:type="paragraph" w:customStyle="1" w:styleId="CharCharCharChar">
    <w:name w:val="Char Char Char Char"/>
    <w:aliases w:val="Char2"/>
    <w:basedOn w:val="Normal"/>
    <w:next w:val="Normal"/>
    <w:link w:val="FootnoteReference"/>
    <w:uiPriority w:val="99"/>
    <w:rsid w:val="004539CB"/>
    <w:pPr>
      <w:spacing w:after="160" w:line="240" w:lineRule="exact"/>
      <w:jc w:val="both"/>
    </w:pPr>
    <w:rPr>
      <w:rFonts w:asciiTheme="minorHAnsi" w:eastAsiaTheme="minorHAnsi" w:hAnsiTheme="minorHAnsi" w:cstheme="minorBidi"/>
      <w:sz w:val="22"/>
      <w:szCs w:val="22"/>
      <w:vertAlign w:val="superscript"/>
      <w:lang w:eastAsia="en-US"/>
    </w:rPr>
  </w:style>
  <w:style w:type="character" w:customStyle="1" w:styleId="contentpasted0">
    <w:name w:val="contentpasted0"/>
    <w:basedOn w:val="DefaultParagraphFont"/>
    <w:rsid w:val="004539CB"/>
  </w:style>
  <w:style w:type="character" w:styleId="FollowedHyperlink">
    <w:name w:val="FollowedHyperlink"/>
    <w:basedOn w:val="DefaultParagraphFont"/>
    <w:uiPriority w:val="99"/>
    <w:semiHidden/>
    <w:unhideWhenUsed/>
    <w:rsid w:val="00DF69EF"/>
    <w:rPr>
      <w:color w:val="954F72" w:themeColor="followedHyperlink"/>
      <w:u w:val="single"/>
    </w:rPr>
  </w:style>
  <w:style w:type="paragraph" w:styleId="BodyTextIndent2">
    <w:name w:val="Body Text Indent 2"/>
    <w:basedOn w:val="Normal"/>
    <w:link w:val="BodyTextIndent2Char"/>
    <w:uiPriority w:val="99"/>
    <w:unhideWhenUsed/>
    <w:rsid w:val="00886E3B"/>
    <w:pPr>
      <w:spacing w:after="120" w:line="480" w:lineRule="auto"/>
      <w:ind w:left="283"/>
    </w:pPr>
  </w:style>
  <w:style w:type="character" w:customStyle="1" w:styleId="BodyTextIndent2Char">
    <w:name w:val="Body Text Indent 2 Char"/>
    <w:basedOn w:val="DefaultParagraphFont"/>
    <w:link w:val="BodyTextIndent2"/>
    <w:uiPriority w:val="99"/>
    <w:rsid w:val="00886E3B"/>
    <w:rPr>
      <w:rFonts w:ascii="Times New Roman" w:eastAsia="Times New Roman" w:hAnsi="Times New Roman" w:cs="Times New Roman"/>
      <w:sz w:val="24"/>
      <w:szCs w:val="24"/>
      <w:lang w:eastAsia="lv-LV"/>
    </w:rPr>
  </w:style>
  <w:style w:type="character" w:styleId="Mention">
    <w:name w:val="Mention"/>
    <w:basedOn w:val="DefaultParagraphFont"/>
    <w:uiPriority w:val="99"/>
    <w:unhideWhenUsed/>
    <w:rsid w:val="009A1E19"/>
    <w:rPr>
      <w:color w:val="2B579A"/>
      <w:shd w:val="clear" w:color="auto" w:fill="E1DFDD"/>
    </w:rPr>
  </w:style>
  <w:style w:type="character" w:styleId="UnresolvedMention">
    <w:name w:val="Unresolved Mention"/>
    <w:basedOn w:val="DefaultParagraphFont"/>
    <w:uiPriority w:val="99"/>
    <w:semiHidden/>
    <w:unhideWhenUsed/>
    <w:rsid w:val="002821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36124">
      <w:bodyDiv w:val="1"/>
      <w:marLeft w:val="0"/>
      <w:marRight w:val="0"/>
      <w:marTop w:val="0"/>
      <w:marBottom w:val="0"/>
      <w:divBdr>
        <w:top w:val="none" w:sz="0" w:space="0" w:color="auto"/>
        <w:left w:val="none" w:sz="0" w:space="0" w:color="auto"/>
        <w:bottom w:val="none" w:sz="0" w:space="0" w:color="auto"/>
        <w:right w:val="none" w:sz="0" w:space="0" w:color="auto"/>
      </w:divBdr>
    </w:div>
    <w:div w:id="102456376">
      <w:bodyDiv w:val="1"/>
      <w:marLeft w:val="0"/>
      <w:marRight w:val="0"/>
      <w:marTop w:val="0"/>
      <w:marBottom w:val="0"/>
      <w:divBdr>
        <w:top w:val="none" w:sz="0" w:space="0" w:color="auto"/>
        <w:left w:val="none" w:sz="0" w:space="0" w:color="auto"/>
        <w:bottom w:val="none" w:sz="0" w:space="0" w:color="auto"/>
        <w:right w:val="none" w:sz="0" w:space="0" w:color="auto"/>
      </w:divBdr>
    </w:div>
    <w:div w:id="168181713">
      <w:bodyDiv w:val="1"/>
      <w:marLeft w:val="0"/>
      <w:marRight w:val="0"/>
      <w:marTop w:val="0"/>
      <w:marBottom w:val="0"/>
      <w:divBdr>
        <w:top w:val="none" w:sz="0" w:space="0" w:color="auto"/>
        <w:left w:val="none" w:sz="0" w:space="0" w:color="auto"/>
        <w:bottom w:val="none" w:sz="0" w:space="0" w:color="auto"/>
        <w:right w:val="none" w:sz="0" w:space="0" w:color="auto"/>
      </w:divBdr>
    </w:div>
    <w:div w:id="176894707">
      <w:bodyDiv w:val="1"/>
      <w:marLeft w:val="0"/>
      <w:marRight w:val="0"/>
      <w:marTop w:val="0"/>
      <w:marBottom w:val="0"/>
      <w:divBdr>
        <w:top w:val="none" w:sz="0" w:space="0" w:color="auto"/>
        <w:left w:val="none" w:sz="0" w:space="0" w:color="auto"/>
        <w:bottom w:val="none" w:sz="0" w:space="0" w:color="auto"/>
        <w:right w:val="none" w:sz="0" w:space="0" w:color="auto"/>
      </w:divBdr>
    </w:div>
    <w:div w:id="243269971">
      <w:bodyDiv w:val="1"/>
      <w:marLeft w:val="0"/>
      <w:marRight w:val="0"/>
      <w:marTop w:val="0"/>
      <w:marBottom w:val="0"/>
      <w:divBdr>
        <w:top w:val="none" w:sz="0" w:space="0" w:color="auto"/>
        <w:left w:val="none" w:sz="0" w:space="0" w:color="auto"/>
        <w:bottom w:val="none" w:sz="0" w:space="0" w:color="auto"/>
        <w:right w:val="none" w:sz="0" w:space="0" w:color="auto"/>
      </w:divBdr>
    </w:div>
    <w:div w:id="264848116">
      <w:bodyDiv w:val="1"/>
      <w:marLeft w:val="0"/>
      <w:marRight w:val="0"/>
      <w:marTop w:val="0"/>
      <w:marBottom w:val="0"/>
      <w:divBdr>
        <w:top w:val="none" w:sz="0" w:space="0" w:color="auto"/>
        <w:left w:val="none" w:sz="0" w:space="0" w:color="auto"/>
        <w:bottom w:val="none" w:sz="0" w:space="0" w:color="auto"/>
        <w:right w:val="none" w:sz="0" w:space="0" w:color="auto"/>
      </w:divBdr>
    </w:div>
    <w:div w:id="329213724">
      <w:bodyDiv w:val="1"/>
      <w:marLeft w:val="0"/>
      <w:marRight w:val="0"/>
      <w:marTop w:val="0"/>
      <w:marBottom w:val="0"/>
      <w:divBdr>
        <w:top w:val="none" w:sz="0" w:space="0" w:color="auto"/>
        <w:left w:val="none" w:sz="0" w:space="0" w:color="auto"/>
        <w:bottom w:val="none" w:sz="0" w:space="0" w:color="auto"/>
        <w:right w:val="none" w:sz="0" w:space="0" w:color="auto"/>
      </w:divBdr>
    </w:div>
    <w:div w:id="359862626">
      <w:bodyDiv w:val="1"/>
      <w:marLeft w:val="0"/>
      <w:marRight w:val="0"/>
      <w:marTop w:val="0"/>
      <w:marBottom w:val="0"/>
      <w:divBdr>
        <w:top w:val="none" w:sz="0" w:space="0" w:color="auto"/>
        <w:left w:val="none" w:sz="0" w:space="0" w:color="auto"/>
        <w:bottom w:val="none" w:sz="0" w:space="0" w:color="auto"/>
        <w:right w:val="none" w:sz="0" w:space="0" w:color="auto"/>
      </w:divBdr>
    </w:div>
    <w:div w:id="360476134">
      <w:bodyDiv w:val="1"/>
      <w:marLeft w:val="0"/>
      <w:marRight w:val="0"/>
      <w:marTop w:val="0"/>
      <w:marBottom w:val="0"/>
      <w:divBdr>
        <w:top w:val="none" w:sz="0" w:space="0" w:color="auto"/>
        <w:left w:val="none" w:sz="0" w:space="0" w:color="auto"/>
        <w:bottom w:val="none" w:sz="0" w:space="0" w:color="auto"/>
        <w:right w:val="none" w:sz="0" w:space="0" w:color="auto"/>
      </w:divBdr>
    </w:div>
    <w:div w:id="367217878">
      <w:bodyDiv w:val="1"/>
      <w:marLeft w:val="0"/>
      <w:marRight w:val="0"/>
      <w:marTop w:val="0"/>
      <w:marBottom w:val="0"/>
      <w:divBdr>
        <w:top w:val="none" w:sz="0" w:space="0" w:color="auto"/>
        <w:left w:val="none" w:sz="0" w:space="0" w:color="auto"/>
        <w:bottom w:val="none" w:sz="0" w:space="0" w:color="auto"/>
        <w:right w:val="none" w:sz="0" w:space="0" w:color="auto"/>
      </w:divBdr>
    </w:div>
    <w:div w:id="385841527">
      <w:bodyDiv w:val="1"/>
      <w:marLeft w:val="0"/>
      <w:marRight w:val="0"/>
      <w:marTop w:val="0"/>
      <w:marBottom w:val="0"/>
      <w:divBdr>
        <w:top w:val="none" w:sz="0" w:space="0" w:color="auto"/>
        <w:left w:val="none" w:sz="0" w:space="0" w:color="auto"/>
        <w:bottom w:val="none" w:sz="0" w:space="0" w:color="auto"/>
        <w:right w:val="none" w:sz="0" w:space="0" w:color="auto"/>
      </w:divBdr>
    </w:div>
    <w:div w:id="405610529">
      <w:bodyDiv w:val="1"/>
      <w:marLeft w:val="0"/>
      <w:marRight w:val="0"/>
      <w:marTop w:val="0"/>
      <w:marBottom w:val="0"/>
      <w:divBdr>
        <w:top w:val="none" w:sz="0" w:space="0" w:color="auto"/>
        <w:left w:val="none" w:sz="0" w:space="0" w:color="auto"/>
        <w:bottom w:val="none" w:sz="0" w:space="0" w:color="auto"/>
        <w:right w:val="none" w:sz="0" w:space="0" w:color="auto"/>
      </w:divBdr>
    </w:div>
    <w:div w:id="419062491">
      <w:bodyDiv w:val="1"/>
      <w:marLeft w:val="0"/>
      <w:marRight w:val="0"/>
      <w:marTop w:val="0"/>
      <w:marBottom w:val="0"/>
      <w:divBdr>
        <w:top w:val="none" w:sz="0" w:space="0" w:color="auto"/>
        <w:left w:val="none" w:sz="0" w:space="0" w:color="auto"/>
        <w:bottom w:val="none" w:sz="0" w:space="0" w:color="auto"/>
        <w:right w:val="none" w:sz="0" w:space="0" w:color="auto"/>
      </w:divBdr>
    </w:div>
    <w:div w:id="425883250">
      <w:bodyDiv w:val="1"/>
      <w:marLeft w:val="0"/>
      <w:marRight w:val="0"/>
      <w:marTop w:val="0"/>
      <w:marBottom w:val="0"/>
      <w:divBdr>
        <w:top w:val="none" w:sz="0" w:space="0" w:color="auto"/>
        <w:left w:val="none" w:sz="0" w:space="0" w:color="auto"/>
        <w:bottom w:val="none" w:sz="0" w:space="0" w:color="auto"/>
        <w:right w:val="none" w:sz="0" w:space="0" w:color="auto"/>
      </w:divBdr>
    </w:div>
    <w:div w:id="446897245">
      <w:bodyDiv w:val="1"/>
      <w:marLeft w:val="0"/>
      <w:marRight w:val="0"/>
      <w:marTop w:val="0"/>
      <w:marBottom w:val="0"/>
      <w:divBdr>
        <w:top w:val="none" w:sz="0" w:space="0" w:color="auto"/>
        <w:left w:val="none" w:sz="0" w:space="0" w:color="auto"/>
        <w:bottom w:val="none" w:sz="0" w:space="0" w:color="auto"/>
        <w:right w:val="none" w:sz="0" w:space="0" w:color="auto"/>
      </w:divBdr>
    </w:div>
    <w:div w:id="564492108">
      <w:bodyDiv w:val="1"/>
      <w:marLeft w:val="0"/>
      <w:marRight w:val="0"/>
      <w:marTop w:val="0"/>
      <w:marBottom w:val="0"/>
      <w:divBdr>
        <w:top w:val="none" w:sz="0" w:space="0" w:color="auto"/>
        <w:left w:val="none" w:sz="0" w:space="0" w:color="auto"/>
        <w:bottom w:val="none" w:sz="0" w:space="0" w:color="auto"/>
        <w:right w:val="none" w:sz="0" w:space="0" w:color="auto"/>
      </w:divBdr>
    </w:div>
    <w:div w:id="628508822">
      <w:bodyDiv w:val="1"/>
      <w:marLeft w:val="0"/>
      <w:marRight w:val="0"/>
      <w:marTop w:val="0"/>
      <w:marBottom w:val="0"/>
      <w:divBdr>
        <w:top w:val="none" w:sz="0" w:space="0" w:color="auto"/>
        <w:left w:val="none" w:sz="0" w:space="0" w:color="auto"/>
        <w:bottom w:val="none" w:sz="0" w:space="0" w:color="auto"/>
        <w:right w:val="none" w:sz="0" w:space="0" w:color="auto"/>
      </w:divBdr>
    </w:div>
    <w:div w:id="739445147">
      <w:bodyDiv w:val="1"/>
      <w:marLeft w:val="0"/>
      <w:marRight w:val="0"/>
      <w:marTop w:val="0"/>
      <w:marBottom w:val="0"/>
      <w:divBdr>
        <w:top w:val="none" w:sz="0" w:space="0" w:color="auto"/>
        <w:left w:val="none" w:sz="0" w:space="0" w:color="auto"/>
        <w:bottom w:val="none" w:sz="0" w:space="0" w:color="auto"/>
        <w:right w:val="none" w:sz="0" w:space="0" w:color="auto"/>
      </w:divBdr>
    </w:div>
    <w:div w:id="786201022">
      <w:bodyDiv w:val="1"/>
      <w:marLeft w:val="0"/>
      <w:marRight w:val="0"/>
      <w:marTop w:val="0"/>
      <w:marBottom w:val="0"/>
      <w:divBdr>
        <w:top w:val="none" w:sz="0" w:space="0" w:color="auto"/>
        <w:left w:val="none" w:sz="0" w:space="0" w:color="auto"/>
        <w:bottom w:val="none" w:sz="0" w:space="0" w:color="auto"/>
        <w:right w:val="none" w:sz="0" w:space="0" w:color="auto"/>
      </w:divBdr>
    </w:div>
    <w:div w:id="909652008">
      <w:bodyDiv w:val="1"/>
      <w:marLeft w:val="0"/>
      <w:marRight w:val="0"/>
      <w:marTop w:val="0"/>
      <w:marBottom w:val="0"/>
      <w:divBdr>
        <w:top w:val="none" w:sz="0" w:space="0" w:color="auto"/>
        <w:left w:val="none" w:sz="0" w:space="0" w:color="auto"/>
        <w:bottom w:val="none" w:sz="0" w:space="0" w:color="auto"/>
        <w:right w:val="none" w:sz="0" w:space="0" w:color="auto"/>
      </w:divBdr>
    </w:div>
    <w:div w:id="961695023">
      <w:bodyDiv w:val="1"/>
      <w:marLeft w:val="0"/>
      <w:marRight w:val="0"/>
      <w:marTop w:val="0"/>
      <w:marBottom w:val="0"/>
      <w:divBdr>
        <w:top w:val="none" w:sz="0" w:space="0" w:color="auto"/>
        <w:left w:val="none" w:sz="0" w:space="0" w:color="auto"/>
        <w:bottom w:val="none" w:sz="0" w:space="0" w:color="auto"/>
        <w:right w:val="none" w:sz="0" w:space="0" w:color="auto"/>
      </w:divBdr>
    </w:div>
    <w:div w:id="1017191471">
      <w:bodyDiv w:val="1"/>
      <w:marLeft w:val="0"/>
      <w:marRight w:val="0"/>
      <w:marTop w:val="0"/>
      <w:marBottom w:val="0"/>
      <w:divBdr>
        <w:top w:val="none" w:sz="0" w:space="0" w:color="auto"/>
        <w:left w:val="none" w:sz="0" w:space="0" w:color="auto"/>
        <w:bottom w:val="none" w:sz="0" w:space="0" w:color="auto"/>
        <w:right w:val="none" w:sz="0" w:space="0" w:color="auto"/>
      </w:divBdr>
    </w:div>
    <w:div w:id="1027759355">
      <w:bodyDiv w:val="1"/>
      <w:marLeft w:val="0"/>
      <w:marRight w:val="0"/>
      <w:marTop w:val="0"/>
      <w:marBottom w:val="0"/>
      <w:divBdr>
        <w:top w:val="none" w:sz="0" w:space="0" w:color="auto"/>
        <w:left w:val="none" w:sz="0" w:space="0" w:color="auto"/>
        <w:bottom w:val="none" w:sz="0" w:space="0" w:color="auto"/>
        <w:right w:val="none" w:sz="0" w:space="0" w:color="auto"/>
      </w:divBdr>
    </w:div>
    <w:div w:id="1031493789">
      <w:bodyDiv w:val="1"/>
      <w:marLeft w:val="0"/>
      <w:marRight w:val="0"/>
      <w:marTop w:val="0"/>
      <w:marBottom w:val="0"/>
      <w:divBdr>
        <w:top w:val="none" w:sz="0" w:space="0" w:color="auto"/>
        <w:left w:val="none" w:sz="0" w:space="0" w:color="auto"/>
        <w:bottom w:val="none" w:sz="0" w:space="0" w:color="auto"/>
        <w:right w:val="none" w:sz="0" w:space="0" w:color="auto"/>
      </w:divBdr>
    </w:div>
    <w:div w:id="1056204034">
      <w:bodyDiv w:val="1"/>
      <w:marLeft w:val="0"/>
      <w:marRight w:val="0"/>
      <w:marTop w:val="0"/>
      <w:marBottom w:val="0"/>
      <w:divBdr>
        <w:top w:val="none" w:sz="0" w:space="0" w:color="auto"/>
        <w:left w:val="none" w:sz="0" w:space="0" w:color="auto"/>
        <w:bottom w:val="none" w:sz="0" w:space="0" w:color="auto"/>
        <w:right w:val="none" w:sz="0" w:space="0" w:color="auto"/>
      </w:divBdr>
    </w:div>
    <w:div w:id="1063408115">
      <w:bodyDiv w:val="1"/>
      <w:marLeft w:val="0"/>
      <w:marRight w:val="0"/>
      <w:marTop w:val="0"/>
      <w:marBottom w:val="0"/>
      <w:divBdr>
        <w:top w:val="none" w:sz="0" w:space="0" w:color="auto"/>
        <w:left w:val="none" w:sz="0" w:space="0" w:color="auto"/>
        <w:bottom w:val="none" w:sz="0" w:space="0" w:color="auto"/>
        <w:right w:val="none" w:sz="0" w:space="0" w:color="auto"/>
      </w:divBdr>
    </w:div>
    <w:div w:id="1076364826">
      <w:bodyDiv w:val="1"/>
      <w:marLeft w:val="0"/>
      <w:marRight w:val="0"/>
      <w:marTop w:val="0"/>
      <w:marBottom w:val="0"/>
      <w:divBdr>
        <w:top w:val="none" w:sz="0" w:space="0" w:color="auto"/>
        <w:left w:val="none" w:sz="0" w:space="0" w:color="auto"/>
        <w:bottom w:val="none" w:sz="0" w:space="0" w:color="auto"/>
        <w:right w:val="none" w:sz="0" w:space="0" w:color="auto"/>
      </w:divBdr>
    </w:div>
    <w:div w:id="1092972609">
      <w:bodyDiv w:val="1"/>
      <w:marLeft w:val="0"/>
      <w:marRight w:val="0"/>
      <w:marTop w:val="0"/>
      <w:marBottom w:val="0"/>
      <w:divBdr>
        <w:top w:val="none" w:sz="0" w:space="0" w:color="auto"/>
        <w:left w:val="none" w:sz="0" w:space="0" w:color="auto"/>
        <w:bottom w:val="none" w:sz="0" w:space="0" w:color="auto"/>
        <w:right w:val="none" w:sz="0" w:space="0" w:color="auto"/>
      </w:divBdr>
    </w:div>
    <w:div w:id="1217668811">
      <w:bodyDiv w:val="1"/>
      <w:marLeft w:val="0"/>
      <w:marRight w:val="0"/>
      <w:marTop w:val="0"/>
      <w:marBottom w:val="0"/>
      <w:divBdr>
        <w:top w:val="none" w:sz="0" w:space="0" w:color="auto"/>
        <w:left w:val="none" w:sz="0" w:space="0" w:color="auto"/>
        <w:bottom w:val="none" w:sz="0" w:space="0" w:color="auto"/>
        <w:right w:val="none" w:sz="0" w:space="0" w:color="auto"/>
      </w:divBdr>
    </w:div>
    <w:div w:id="1276208874">
      <w:bodyDiv w:val="1"/>
      <w:marLeft w:val="0"/>
      <w:marRight w:val="0"/>
      <w:marTop w:val="0"/>
      <w:marBottom w:val="0"/>
      <w:divBdr>
        <w:top w:val="none" w:sz="0" w:space="0" w:color="auto"/>
        <w:left w:val="none" w:sz="0" w:space="0" w:color="auto"/>
        <w:bottom w:val="none" w:sz="0" w:space="0" w:color="auto"/>
        <w:right w:val="none" w:sz="0" w:space="0" w:color="auto"/>
      </w:divBdr>
    </w:div>
    <w:div w:id="1298560319">
      <w:bodyDiv w:val="1"/>
      <w:marLeft w:val="0"/>
      <w:marRight w:val="0"/>
      <w:marTop w:val="0"/>
      <w:marBottom w:val="0"/>
      <w:divBdr>
        <w:top w:val="none" w:sz="0" w:space="0" w:color="auto"/>
        <w:left w:val="none" w:sz="0" w:space="0" w:color="auto"/>
        <w:bottom w:val="none" w:sz="0" w:space="0" w:color="auto"/>
        <w:right w:val="none" w:sz="0" w:space="0" w:color="auto"/>
      </w:divBdr>
    </w:div>
    <w:div w:id="1309046978">
      <w:bodyDiv w:val="1"/>
      <w:marLeft w:val="0"/>
      <w:marRight w:val="0"/>
      <w:marTop w:val="0"/>
      <w:marBottom w:val="0"/>
      <w:divBdr>
        <w:top w:val="none" w:sz="0" w:space="0" w:color="auto"/>
        <w:left w:val="none" w:sz="0" w:space="0" w:color="auto"/>
        <w:bottom w:val="none" w:sz="0" w:space="0" w:color="auto"/>
        <w:right w:val="none" w:sz="0" w:space="0" w:color="auto"/>
      </w:divBdr>
    </w:div>
    <w:div w:id="1318873830">
      <w:bodyDiv w:val="1"/>
      <w:marLeft w:val="0"/>
      <w:marRight w:val="0"/>
      <w:marTop w:val="0"/>
      <w:marBottom w:val="0"/>
      <w:divBdr>
        <w:top w:val="none" w:sz="0" w:space="0" w:color="auto"/>
        <w:left w:val="none" w:sz="0" w:space="0" w:color="auto"/>
        <w:bottom w:val="none" w:sz="0" w:space="0" w:color="auto"/>
        <w:right w:val="none" w:sz="0" w:space="0" w:color="auto"/>
      </w:divBdr>
    </w:div>
    <w:div w:id="1327131382">
      <w:bodyDiv w:val="1"/>
      <w:marLeft w:val="0"/>
      <w:marRight w:val="0"/>
      <w:marTop w:val="0"/>
      <w:marBottom w:val="0"/>
      <w:divBdr>
        <w:top w:val="none" w:sz="0" w:space="0" w:color="auto"/>
        <w:left w:val="none" w:sz="0" w:space="0" w:color="auto"/>
        <w:bottom w:val="none" w:sz="0" w:space="0" w:color="auto"/>
        <w:right w:val="none" w:sz="0" w:space="0" w:color="auto"/>
      </w:divBdr>
    </w:div>
    <w:div w:id="1341153766">
      <w:bodyDiv w:val="1"/>
      <w:marLeft w:val="0"/>
      <w:marRight w:val="0"/>
      <w:marTop w:val="0"/>
      <w:marBottom w:val="0"/>
      <w:divBdr>
        <w:top w:val="none" w:sz="0" w:space="0" w:color="auto"/>
        <w:left w:val="none" w:sz="0" w:space="0" w:color="auto"/>
        <w:bottom w:val="none" w:sz="0" w:space="0" w:color="auto"/>
        <w:right w:val="none" w:sz="0" w:space="0" w:color="auto"/>
      </w:divBdr>
    </w:div>
    <w:div w:id="1353922870">
      <w:bodyDiv w:val="1"/>
      <w:marLeft w:val="0"/>
      <w:marRight w:val="0"/>
      <w:marTop w:val="0"/>
      <w:marBottom w:val="0"/>
      <w:divBdr>
        <w:top w:val="none" w:sz="0" w:space="0" w:color="auto"/>
        <w:left w:val="none" w:sz="0" w:space="0" w:color="auto"/>
        <w:bottom w:val="none" w:sz="0" w:space="0" w:color="auto"/>
        <w:right w:val="none" w:sz="0" w:space="0" w:color="auto"/>
      </w:divBdr>
    </w:div>
    <w:div w:id="1549102905">
      <w:bodyDiv w:val="1"/>
      <w:marLeft w:val="0"/>
      <w:marRight w:val="0"/>
      <w:marTop w:val="0"/>
      <w:marBottom w:val="0"/>
      <w:divBdr>
        <w:top w:val="none" w:sz="0" w:space="0" w:color="auto"/>
        <w:left w:val="none" w:sz="0" w:space="0" w:color="auto"/>
        <w:bottom w:val="none" w:sz="0" w:space="0" w:color="auto"/>
        <w:right w:val="none" w:sz="0" w:space="0" w:color="auto"/>
      </w:divBdr>
    </w:div>
    <w:div w:id="1554266460">
      <w:bodyDiv w:val="1"/>
      <w:marLeft w:val="0"/>
      <w:marRight w:val="0"/>
      <w:marTop w:val="0"/>
      <w:marBottom w:val="0"/>
      <w:divBdr>
        <w:top w:val="none" w:sz="0" w:space="0" w:color="auto"/>
        <w:left w:val="none" w:sz="0" w:space="0" w:color="auto"/>
        <w:bottom w:val="none" w:sz="0" w:space="0" w:color="auto"/>
        <w:right w:val="none" w:sz="0" w:space="0" w:color="auto"/>
      </w:divBdr>
    </w:div>
    <w:div w:id="1626766553">
      <w:bodyDiv w:val="1"/>
      <w:marLeft w:val="0"/>
      <w:marRight w:val="0"/>
      <w:marTop w:val="0"/>
      <w:marBottom w:val="0"/>
      <w:divBdr>
        <w:top w:val="none" w:sz="0" w:space="0" w:color="auto"/>
        <w:left w:val="none" w:sz="0" w:space="0" w:color="auto"/>
        <w:bottom w:val="none" w:sz="0" w:space="0" w:color="auto"/>
        <w:right w:val="none" w:sz="0" w:space="0" w:color="auto"/>
      </w:divBdr>
    </w:div>
    <w:div w:id="1724677282">
      <w:bodyDiv w:val="1"/>
      <w:marLeft w:val="0"/>
      <w:marRight w:val="0"/>
      <w:marTop w:val="0"/>
      <w:marBottom w:val="0"/>
      <w:divBdr>
        <w:top w:val="none" w:sz="0" w:space="0" w:color="auto"/>
        <w:left w:val="none" w:sz="0" w:space="0" w:color="auto"/>
        <w:bottom w:val="none" w:sz="0" w:space="0" w:color="auto"/>
        <w:right w:val="none" w:sz="0" w:space="0" w:color="auto"/>
      </w:divBdr>
    </w:div>
    <w:div w:id="1740908976">
      <w:bodyDiv w:val="1"/>
      <w:marLeft w:val="0"/>
      <w:marRight w:val="0"/>
      <w:marTop w:val="0"/>
      <w:marBottom w:val="0"/>
      <w:divBdr>
        <w:top w:val="none" w:sz="0" w:space="0" w:color="auto"/>
        <w:left w:val="none" w:sz="0" w:space="0" w:color="auto"/>
        <w:bottom w:val="none" w:sz="0" w:space="0" w:color="auto"/>
        <w:right w:val="none" w:sz="0" w:space="0" w:color="auto"/>
      </w:divBdr>
    </w:div>
    <w:div w:id="1768501230">
      <w:bodyDiv w:val="1"/>
      <w:marLeft w:val="0"/>
      <w:marRight w:val="0"/>
      <w:marTop w:val="0"/>
      <w:marBottom w:val="0"/>
      <w:divBdr>
        <w:top w:val="none" w:sz="0" w:space="0" w:color="auto"/>
        <w:left w:val="none" w:sz="0" w:space="0" w:color="auto"/>
        <w:bottom w:val="none" w:sz="0" w:space="0" w:color="auto"/>
        <w:right w:val="none" w:sz="0" w:space="0" w:color="auto"/>
      </w:divBdr>
    </w:div>
    <w:div w:id="1820881238">
      <w:bodyDiv w:val="1"/>
      <w:marLeft w:val="0"/>
      <w:marRight w:val="0"/>
      <w:marTop w:val="0"/>
      <w:marBottom w:val="0"/>
      <w:divBdr>
        <w:top w:val="none" w:sz="0" w:space="0" w:color="auto"/>
        <w:left w:val="none" w:sz="0" w:space="0" w:color="auto"/>
        <w:bottom w:val="none" w:sz="0" w:space="0" w:color="auto"/>
        <w:right w:val="none" w:sz="0" w:space="0" w:color="auto"/>
      </w:divBdr>
    </w:div>
    <w:div w:id="1837452191">
      <w:bodyDiv w:val="1"/>
      <w:marLeft w:val="0"/>
      <w:marRight w:val="0"/>
      <w:marTop w:val="0"/>
      <w:marBottom w:val="0"/>
      <w:divBdr>
        <w:top w:val="none" w:sz="0" w:space="0" w:color="auto"/>
        <w:left w:val="none" w:sz="0" w:space="0" w:color="auto"/>
        <w:bottom w:val="none" w:sz="0" w:space="0" w:color="auto"/>
        <w:right w:val="none" w:sz="0" w:space="0" w:color="auto"/>
      </w:divBdr>
    </w:div>
    <w:div w:id="1873300338">
      <w:bodyDiv w:val="1"/>
      <w:marLeft w:val="0"/>
      <w:marRight w:val="0"/>
      <w:marTop w:val="0"/>
      <w:marBottom w:val="0"/>
      <w:divBdr>
        <w:top w:val="none" w:sz="0" w:space="0" w:color="auto"/>
        <w:left w:val="none" w:sz="0" w:space="0" w:color="auto"/>
        <w:bottom w:val="none" w:sz="0" w:space="0" w:color="auto"/>
        <w:right w:val="none" w:sz="0" w:space="0" w:color="auto"/>
      </w:divBdr>
    </w:div>
    <w:div w:id="1892155424">
      <w:bodyDiv w:val="1"/>
      <w:marLeft w:val="0"/>
      <w:marRight w:val="0"/>
      <w:marTop w:val="0"/>
      <w:marBottom w:val="0"/>
      <w:divBdr>
        <w:top w:val="none" w:sz="0" w:space="0" w:color="auto"/>
        <w:left w:val="none" w:sz="0" w:space="0" w:color="auto"/>
        <w:bottom w:val="none" w:sz="0" w:space="0" w:color="auto"/>
        <w:right w:val="none" w:sz="0" w:space="0" w:color="auto"/>
      </w:divBdr>
    </w:div>
    <w:div w:id="1913929954">
      <w:bodyDiv w:val="1"/>
      <w:marLeft w:val="0"/>
      <w:marRight w:val="0"/>
      <w:marTop w:val="0"/>
      <w:marBottom w:val="0"/>
      <w:divBdr>
        <w:top w:val="none" w:sz="0" w:space="0" w:color="auto"/>
        <w:left w:val="none" w:sz="0" w:space="0" w:color="auto"/>
        <w:bottom w:val="none" w:sz="0" w:space="0" w:color="auto"/>
        <w:right w:val="none" w:sz="0" w:space="0" w:color="auto"/>
      </w:divBdr>
    </w:div>
    <w:div w:id="1918400180">
      <w:bodyDiv w:val="1"/>
      <w:marLeft w:val="0"/>
      <w:marRight w:val="0"/>
      <w:marTop w:val="0"/>
      <w:marBottom w:val="0"/>
      <w:divBdr>
        <w:top w:val="none" w:sz="0" w:space="0" w:color="auto"/>
        <w:left w:val="none" w:sz="0" w:space="0" w:color="auto"/>
        <w:bottom w:val="none" w:sz="0" w:space="0" w:color="auto"/>
        <w:right w:val="none" w:sz="0" w:space="0" w:color="auto"/>
      </w:divBdr>
    </w:div>
    <w:div w:id="1930848985">
      <w:bodyDiv w:val="1"/>
      <w:marLeft w:val="0"/>
      <w:marRight w:val="0"/>
      <w:marTop w:val="0"/>
      <w:marBottom w:val="0"/>
      <w:divBdr>
        <w:top w:val="none" w:sz="0" w:space="0" w:color="auto"/>
        <w:left w:val="none" w:sz="0" w:space="0" w:color="auto"/>
        <w:bottom w:val="none" w:sz="0" w:space="0" w:color="auto"/>
        <w:right w:val="none" w:sz="0" w:space="0" w:color="auto"/>
      </w:divBdr>
    </w:div>
    <w:div w:id="1948463853">
      <w:bodyDiv w:val="1"/>
      <w:marLeft w:val="0"/>
      <w:marRight w:val="0"/>
      <w:marTop w:val="0"/>
      <w:marBottom w:val="0"/>
      <w:divBdr>
        <w:top w:val="none" w:sz="0" w:space="0" w:color="auto"/>
        <w:left w:val="none" w:sz="0" w:space="0" w:color="auto"/>
        <w:bottom w:val="none" w:sz="0" w:space="0" w:color="auto"/>
        <w:right w:val="none" w:sz="0" w:space="0" w:color="auto"/>
      </w:divBdr>
    </w:div>
    <w:div w:id="2075666516">
      <w:bodyDiv w:val="1"/>
      <w:marLeft w:val="0"/>
      <w:marRight w:val="0"/>
      <w:marTop w:val="0"/>
      <w:marBottom w:val="0"/>
      <w:divBdr>
        <w:top w:val="none" w:sz="0" w:space="0" w:color="auto"/>
        <w:left w:val="none" w:sz="0" w:space="0" w:color="auto"/>
        <w:bottom w:val="none" w:sz="0" w:space="0" w:color="auto"/>
        <w:right w:val="none" w:sz="0" w:space="0" w:color="auto"/>
      </w:divBdr>
    </w:div>
    <w:div w:id="2107530808">
      <w:bodyDiv w:val="1"/>
      <w:marLeft w:val="0"/>
      <w:marRight w:val="0"/>
      <w:marTop w:val="0"/>
      <w:marBottom w:val="0"/>
      <w:divBdr>
        <w:top w:val="none" w:sz="0" w:space="0" w:color="auto"/>
        <w:left w:val="none" w:sz="0" w:space="0" w:color="auto"/>
        <w:bottom w:val="none" w:sz="0" w:space="0" w:color="auto"/>
        <w:right w:val="none" w:sz="0" w:space="0" w:color="auto"/>
      </w:divBdr>
    </w:div>
    <w:div w:id="2110077727">
      <w:bodyDiv w:val="1"/>
      <w:marLeft w:val="0"/>
      <w:marRight w:val="0"/>
      <w:marTop w:val="0"/>
      <w:marBottom w:val="0"/>
      <w:divBdr>
        <w:top w:val="none" w:sz="0" w:space="0" w:color="auto"/>
        <w:left w:val="none" w:sz="0" w:space="0" w:color="auto"/>
        <w:bottom w:val="none" w:sz="0" w:space="0" w:color="auto"/>
        <w:right w:val="none" w:sz="0" w:space="0" w:color="auto"/>
      </w:divBdr>
    </w:div>
    <w:div w:id="2129808592">
      <w:bodyDiv w:val="1"/>
      <w:marLeft w:val="0"/>
      <w:marRight w:val="0"/>
      <w:marTop w:val="0"/>
      <w:marBottom w:val="0"/>
      <w:divBdr>
        <w:top w:val="none" w:sz="0" w:space="0" w:color="auto"/>
        <w:left w:val="none" w:sz="0" w:space="0" w:color="auto"/>
        <w:bottom w:val="none" w:sz="0" w:space="0" w:color="auto"/>
        <w:right w:val="none" w:sz="0" w:space="0" w:color="auto"/>
      </w:divBdr>
    </w:div>
    <w:div w:id="2134401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ruta.veidlina@sam.gov.lv" TargetMode="External"/><Relationship Id="rId4" Type="http://schemas.openxmlformats.org/officeDocument/2006/relationships/settings" Target="settings.xml"/><Relationship Id="rId9" Type="http://schemas.openxmlformats.org/officeDocument/2006/relationships/image" Target="media/image1.png"/></Relationships>
</file>

<file path=word/_rels/footnotes.xml.rels><?xml version="1.0" encoding="UTF-8" standalone="yes"?>
<Relationships xmlns="http://schemas.openxmlformats.org/package/2006/relationships"><Relationship Id="rId2" Type="http://schemas.openxmlformats.org/officeDocument/2006/relationships/hyperlink" Target="https://data.stat.gov.lv/pxweb/lv/OSP_PUB/START__VEK__PC__PCI/PCI020/table/tableViewLayout1/" TargetMode="External"/><Relationship Id="rId1" Type="http://schemas.openxmlformats.org/officeDocument/2006/relationships/hyperlink" Target="https://data.stat.gov.lv/pxweb/lv/OSP_PUB/START__EMP__DS__DSV/DSV010/table/tableViewLayout1/"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ATDfile.atd.lv\Dotacijas\SM%20dokumenti\ATD%20vadibas%20zinojumi\ATD%20vad&#299;bas%20zinojumi\2025\Vad_zin_dotacijas_202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sz="1200" b="1"/>
              <a:t>Reģionālās nozīmes dotētā maršrutu tīkla izmaiņas </a:t>
            </a:r>
          </a:p>
        </c:rich>
      </c:tx>
      <c:overlay val="0"/>
      <c:spPr>
        <a:noFill/>
        <a:ln>
          <a:noFill/>
        </a:ln>
        <a:effectLst/>
      </c:spPr>
      <c:txPr>
        <a:bodyPr rot="0" spcFirstLastPara="1" vertOverflow="ellipsis" vert="horz" wrap="square" anchor="ctr" anchorCtr="1"/>
        <a:lstStyle/>
        <a:p>
          <a:pPr>
            <a:defRPr sz="12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title>
    <c:autoTitleDeleted val="0"/>
    <c:plotArea>
      <c:layout/>
      <c:barChart>
        <c:barDir val="col"/>
        <c:grouping val="stacked"/>
        <c:varyColors val="0"/>
        <c:ser>
          <c:idx val="0"/>
          <c:order val="0"/>
          <c:tx>
            <c:strRef>
              <c:f>Nobraukums!$P$61</c:f>
              <c:strCache>
                <c:ptCount val="1"/>
                <c:pt idx="0">
                  <c:v>Reģionālās nozīmes pārvadājumi ar autobusiem, milj. km </c:v>
                </c:pt>
              </c:strCache>
            </c:strRef>
          </c:tx>
          <c:spPr>
            <a:solidFill>
              <a:schemeClr val="tx2">
                <a:lumMod val="20000"/>
                <a:lumOff val="80000"/>
              </a:schemeClr>
            </a:solidFill>
            <a:ln>
              <a:noFill/>
            </a:ln>
            <a:effectLst/>
          </c:spPr>
          <c:invertIfNegative val="0"/>
          <c:dLbls>
            <c:numFmt formatCode="#,##0.00" sourceLinked="0"/>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Nobraukums!$Q$60:$X$60</c:f>
              <c:strCache>
                <c:ptCount val="8"/>
                <c:pt idx="0">
                  <c:v>2019</c:v>
                </c:pt>
                <c:pt idx="1">
                  <c:v>2020</c:v>
                </c:pt>
                <c:pt idx="2">
                  <c:v>2021</c:v>
                </c:pt>
                <c:pt idx="3">
                  <c:v>2022</c:v>
                </c:pt>
                <c:pt idx="4">
                  <c:v>2023</c:v>
                </c:pt>
                <c:pt idx="5">
                  <c:v>2024</c:v>
                </c:pt>
                <c:pt idx="6">
                  <c:v>2025 prognoze</c:v>
                </c:pt>
                <c:pt idx="7">
                  <c:v>2026 prognoze</c:v>
                </c:pt>
              </c:strCache>
            </c:strRef>
          </c:cat>
          <c:val>
            <c:numRef>
              <c:f>Nobraukums!$Q$61:$X$61</c:f>
              <c:numCache>
                <c:formatCode>General</c:formatCode>
                <c:ptCount val="8"/>
                <c:pt idx="0">
                  <c:v>78221110.069999993</c:v>
                </c:pt>
                <c:pt idx="1">
                  <c:v>73925773.080000103</c:v>
                </c:pt>
                <c:pt idx="2">
                  <c:v>72801673.640000001</c:v>
                </c:pt>
                <c:pt idx="3" formatCode="#,##0">
                  <c:v>70307229</c:v>
                </c:pt>
                <c:pt idx="4" formatCode="#,##0">
                  <c:v>69299160</c:v>
                </c:pt>
                <c:pt idx="5" formatCode="#,##0">
                  <c:v>68004718</c:v>
                </c:pt>
                <c:pt idx="6" formatCode="#,##0">
                  <c:v>66482335</c:v>
                </c:pt>
                <c:pt idx="7" formatCode="#,##0">
                  <c:v>56145356</c:v>
                </c:pt>
              </c:numCache>
            </c:numRef>
          </c:val>
          <c:extLst>
            <c:ext xmlns:c16="http://schemas.microsoft.com/office/drawing/2014/chart" uri="{C3380CC4-5D6E-409C-BE32-E72D297353CC}">
              <c16:uniqueId val="{00000000-D42C-4829-BAFD-4F828F768B9C}"/>
            </c:ext>
          </c:extLst>
        </c:ser>
        <c:ser>
          <c:idx val="1"/>
          <c:order val="1"/>
          <c:tx>
            <c:strRef>
              <c:f>Nobraukums!$P$62</c:f>
              <c:strCache>
                <c:ptCount val="1"/>
                <c:pt idx="0">
                  <c:v>Reģionālās nozīmes pārvadājumi ar vilcieniem, milj. km </c:v>
                </c:pt>
              </c:strCache>
            </c:strRef>
          </c:tx>
          <c:spPr>
            <a:solidFill>
              <a:schemeClr val="accent2"/>
            </a:solidFill>
            <a:ln>
              <a:noFill/>
            </a:ln>
            <a:effectLst/>
          </c:spPr>
          <c:invertIfNegative val="0"/>
          <c:dLbls>
            <c:numFmt formatCode="#,##0.00" sourceLinked="0"/>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Nobraukums!$Q$60:$X$60</c:f>
              <c:strCache>
                <c:ptCount val="8"/>
                <c:pt idx="0">
                  <c:v>2019</c:v>
                </c:pt>
                <c:pt idx="1">
                  <c:v>2020</c:v>
                </c:pt>
                <c:pt idx="2">
                  <c:v>2021</c:v>
                </c:pt>
                <c:pt idx="3">
                  <c:v>2022</c:v>
                </c:pt>
                <c:pt idx="4">
                  <c:v>2023</c:v>
                </c:pt>
                <c:pt idx="5">
                  <c:v>2024</c:v>
                </c:pt>
                <c:pt idx="6">
                  <c:v>2025 prognoze</c:v>
                </c:pt>
                <c:pt idx="7">
                  <c:v>2026 prognoze</c:v>
                </c:pt>
              </c:strCache>
            </c:strRef>
          </c:cat>
          <c:val>
            <c:numRef>
              <c:f>Nobraukums!$Q$62:$X$62</c:f>
              <c:numCache>
                <c:formatCode>General</c:formatCode>
                <c:ptCount val="8"/>
                <c:pt idx="0">
                  <c:v>5575757</c:v>
                </c:pt>
                <c:pt idx="1">
                  <c:v>5765512</c:v>
                </c:pt>
                <c:pt idx="2">
                  <c:v>5916048</c:v>
                </c:pt>
                <c:pt idx="3" formatCode="#,##0">
                  <c:v>6155747</c:v>
                </c:pt>
                <c:pt idx="4" formatCode="#,##0">
                  <c:v>6435337</c:v>
                </c:pt>
                <c:pt idx="5" formatCode="#,##0">
                  <c:v>7449735</c:v>
                </c:pt>
                <c:pt idx="6" formatCode="#,##0">
                  <c:v>7846879</c:v>
                </c:pt>
                <c:pt idx="7" formatCode="#,##0">
                  <c:v>8044925</c:v>
                </c:pt>
              </c:numCache>
            </c:numRef>
          </c:val>
          <c:extLst>
            <c:ext xmlns:c16="http://schemas.microsoft.com/office/drawing/2014/chart" uri="{C3380CC4-5D6E-409C-BE32-E72D297353CC}">
              <c16:uniqueId val="{00000001-D42C-4829-BAFD-4F828F768B9C}"/>
            </c:ext>
          </c:extLst>
        </c:ser>
        <c:dLbls>
          <c:showLegendKey val="0"/>
          <c:showVal val="0"/>
          <c:showCatName val="0"/>
          <c:showSerName val="0"/>
          <c:showPercent val="0"/>
          <c:showBubbleSize val="0"/>
        </c:dLbls>
        <c:gapWidth val="219"/>
        <c:overlap val="100"/>
        <c:axId val="1677679535"/>
        <c:axId val="1677669455"/>
      </c:barChart>
      <c:lineChart>
        <c:grouping val="standard"/>
        <c:varyColors val="0"/>
        <c:ser>
          <c:idx val="2"/>
          <c:order val="2"/>
          <c:tx>
            <c:strRef>
              <c:f>Nobraukums!$P$64</c:f>
              <c:strCache>
                <c:ptCount val="1"/>
                <c:pt idx="0">
                  <c:v>Autobusu maršrutu tīkla izmaiņas pret 2019.gadu</c:v>
                </c:pt>
              </c:strCache>
            </c:strRef>
          </c:tx>
          <c:spPr>
            <a:ln w="28575" cap="rnd">
              <a:solidFill>
                <a:srgbClr val="FF0000"/>
              </a:solidFill>
              <a:round/>
            </a:ln>
            <a:effectLst/>
          </c:spPr>
          <c:marker>
            <c:symbol val="none"/>
          </c:marker>
          <c:dLbls>
            <c:dLbl>
              <c:idx val="0"/>
              <c:delete val="1"/>
              <c:extLst>
                <c:ext xmlns:c15="http://schemas.microsoft.com/office/drawing/2012/chart" uri="{CE6537A1-D6FC-4f65-9D91-7224C49458BB}"/>
                <c:ext xmlns:c16="http://schemas.microsoft.com/office/drawing/2014/chart" uri="{C3380CC4-5D6E-409C-BE32-E72D297353CC}">
                  <c16:uniqueId val="{00000001-34E8-44B4-A41B-94C7592F181A}"/>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Nobraukums!$Q$60:$X$60</c:f>
              <c:strCache>
                <c:ptCount val="8"/>
                <c:pt idx="0">
                  <c:v>2019</c:v>
                </c:pt>
                <c:pt idx="1">
                  <c:v>2020</c:v>
                </c:pt>
                <c:pt idx="2">
                  <c:v>2021</c:v>
                </c:pt>
                <c:pt idx="3">
                  <c:v>2022</c:v>
                </c:pt>
                <c:pt idx="4">
                  <c:v>2023</c:v>
                </c:pt>
                <c:pt idx="5">
                  <c:v>2024</c:v>
                </c:pt>
                <c:pt idx="6">
                  <c:v>2025 prognoze</c:v>
                </c:pt>
                <c:pt idx="7">
                  <c:v>2026 prognoze</c:v>
                </c:pt>
              </c:strCache>
            </c:strRef>
          </c:cat>
          <c:val>
            <c:numRef>
              <c:f>Nobraukums!$Q$64:$X$64</c:f>
              <c:numCache>
                <c:formatCode>0.0%</c:formatCode>
                <c:ptCount val="8"/>
                <c:pt idx="0">
                  <c:v>0</c:v>
                </c:pt>
                <c:pt idx="1">
                  <c:v>-5.491275930699524E-2</c:v>
                </c:pt>
                <c:pt idx="2">
                  <c:v>-6.9283553060678127E-2</c:v>
                </c:pt>
                <c:pt idx="3">
                  <c:v>-0.10117321350870456</c:v>
                </c:pt>
                <c:pt idx="4">
                  <c:v>-0.11406064247893888</c:v>
                </c:pt>
                <c:pt idx="5">
                  <c:v>-0.13060914196765239</c:v>
                </c:pt>
                <c:pt idx="6">
                  <c:v>-0.15007170135395642</c:v>
                </c:pt>
                <c:pt idx="7">
                  <c:v>-0.28222245951565272</c:v>
                </c:pt>
              </c:numCache>
            </c:numRef>
          </c:val>
          <c:smooth val="0"/>
          <c:extLst>
            <c:ext xmlns:c16="http://schemas.microsoft.com/office/drawing/2014/chart" uri="{C3380CC4-5D6E-409C-BE32-E72D297353CC}">
              <c16:uniqueId val="{00000002-D42C-4829-BAFD-4F828F768B9C}"/>
            </c:ext>
          </c:extLst>
        </c:ser>
        <c:ser>
          <c:idx val="3"/>
          <c:order val="3"/>
          <c:tx>
            <c:strRef>
              <c:f>Nobraukums!$P$65</c:f>
              <c:strCache>
                <c:ptCount val="1"/>
                <c:pt idx="0">
                  <c:v>Vilcienu maršrutu tīkla izmaiņas pret 2019.gadu</c:v>
                </c:pt>
              </c:strCache>
            </c:strRef>
          </c:tx>
          <c:spPr>
            <a:ln w="28575" cap="rnd">
              <a:solidFill>
                <a:schemeClr val="accent4"/>
              </a:solidFill>
              <a:round/>
            </a:ln>
            <a:effectLst/>
          </c:spPr>
          <c:marker>
            <c:symbol val="none"/>
          </c:marker>
          <c:dLbls>
            <c:dLbl>
              <c:idx val="0"/>
              <c:delete val="1"/>
              <c:extLst>
                <c:ext xmlns:c15="http://schemas.microsoft.com/office/drawing/2012/chart" uri="{CE6537A1-D6FC-4f65-9D91-7224C49458BB}"/>
                <c:ext xmlns:c16="http://schemas.microsoft.com/office/drawing/2014/chart" uri="{C3380CC4-5D6E-409C-BE32-E72D297353CC}">
                  <c16:uniqueId val="{00000000-34E8-44B4-A41B-94C7592F181A}"/>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Nobraukums!$Q$60:$X$60</c:f>
              <c:strCache>
                <c:ptCount val="8"/>
                <c:pt idx="0">
                  <c:v>2019</c:v>
                </c:pt>
                <c:pt idx="1">
                  <c:v>2020</c:v>
                </c:pt>
                <c:pt idx="2">
                  <c:v>2021</c:v>
                </c:pt>
                <c:pt idx="3">
                  <c:v>2022</c:v>
                </c:pt>
                <c:pt idx="4">
                  <c:v>2023</c:v>
                </c:pt>
                <c:pt idx="5">
                  <c:v>2024</c:v>
                </c:pt>
                <c:pt idx="6">
                  <c:v>2025 prognoze</c:v>
                </c:pt>
                <c:pt idx="7">
                  <c:v>2026 prognoze</c:v>
                </c:pt>
              </c:strCache>
            </c:strRef>
          </c:cat>
          <c:val>
            <c:numRef>
              <c:f>Nobraukums!$Q$65:$X$65</c:f>
              <c:numCache>
                <c:formatCode>0.0%</c:formatCode>
                <c:ptCount val="8"/>
                <c:pt idx="0">
                  <c:v>0</c:v>
                </c:pt>
                <c:pt idx="1">
                  <c:v>3.4032150253319848E-2</c:v>
                </c:pt>
                <c:pt idx="2">
                  <c:v>6.1030457389014581E-2</c:v>
                </c:pt>
                <c:pt idx="3">
                  <c:v>0.10401995639336503</c:v>
                </c:pt>
                <c:pt idx="4">
                  <c:v>0.15416382026691622</c:v>
                </c:pt>
                <c:pt idx="5">
                  <c:v>0.33609391514013254</c:v>
                </c:pt>
                <c:pt idx="6">
                  <c:v>0.40732083553856446</c:v>
                </c:pt>
                <c:pt idx="7">
                  <c:v>0.44283995877151749</c:v>
                </c:pt>
              </c:numCache>
            </c:numRef>
          </c:val>
          <c:smooth val="0"/>
          <c:extLst>
            <c:ext xmlns:c16="http://schemas.microsoft.com/office/drawing/2014/chart" uri="{C3380CC4-5D6E-409C-BE32-E72D297353CC}">
              <c16:uniqueId val="{00000003-D42C-4829-BAFD-4F828F768B9C}"/>
            </c:ext>
          </c:extLst>
        </c:ser>
        <c:dLbls>
          <c:showLegendKey val="0"/>
          <c:showVal val="0"/>
          <c:showCatName val="0"/>
          <c:showSerName val="0"/>
          <c:showPercent val="0"/>
          <c:showBubbleSize val="0"/>
        </c:dLbls>
        <c:marker val="1"/>
        <c:smooth val="0"/>
        <c:axId val="1677656015"/>
        <c:axId val="1677668495"/>
      </c:lineChart>
      <c:catAx>
        <c:axId val="16776795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1677669455"/>
        <c:crosses val="autoZero"/>
        <c:auto val="1"/>
        <c:lblAlgn val="ctr"/>
        <c:lblOffset val="100"/>
        <c:noMultiLvlLbl val="0"/>
      </c:catAx>
      <c:valAx>
        <c:axId val="167766945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1677679535"/>
        <c:crosses val="autoZero"/>
        <c:crossBetween val="between"/>
        <c:dispUnits>
          <c:builtInUnit val="millions"/>
          <c:dispUnitsLbl>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dispUnitsLbl>
        </c:dispUnits>
      </c:valAx>
      <c:valAx>
        <c:axId val="1677668495"/>
        <c:scaling>
          <c:orientation val="minMax"/>
        </c:scaling>
        <c:delete val="0"/>
        <c:axPos val="r"/>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lv-LV"/>
          </a:p>
        </c:txPr>
        <c:crossAx val="1677656015"/>
        <c:crosses val="max"/>
        <c:crossBetween val="between"/>
      </c:valAx>
      <c:catAx>
        <c:axId val="1677656015"/>
        <c:scaling>
          <c:orientation val="minMax"/>
        </c:scaling>
        <c:delete val="1"/>
        <c:axPos val="b"/>
        <c:numFmt formatCode="General" sourceLinked="1"/>
        <c:majorTickMark val="out"/>
        <c:minorTickMark val="none"/>
        <c:tickLblPos val="nextTo"/>
        <c:crossAx val="1677668495"/>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lv-LV"/>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D449FB-0094-4636-B8A2-DA2A6F02D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15</Pages>
  <Words>6174</Words>
  <Characters>45505</Characters>
  <Application>Microsoft Office Word</Application>
  <DocSecurity>0</DocSecurity>
  <Lines>1011</Lines>
  <Paragraphs>397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51282</CharactersWithSpaces>
  <SharedDoc>false</SharedDoc>
  <HLinks>
    <vt:vector size="18" baseType="variant">
      <vt:variant>
        <vt:i4>2097165</vt:i4>
      </vt:variant>
      <vt:variant>
        <vt:i4>0</vt:i4>
      </vt:variant>
      <vt:variant>
        <vt:i4>0</vt:i4>
      </vt:variant>
      <vt:variant>
        <vt:i4>5</vt:i4>
      </vt:variant>
      <vt:variant>
        <vt:lpwstr>mailto:ruta.veidlina@sam.gov.lv</vt:lpwstr>
      </vt:variant>
      <vt:variant>
        <vt:lpwstr/>
      </vt:variant>
      <vt:variant>
        <vt:i4>589881</vt:i4>
      </vt:variant>
      <vt:variant>
        <vt:i4>3</vt:i4>
      </vt:variant>
      <vt:variant>
        <vt:i4>0</vt:i4>
      </vt:variant>
      <vt:variant>
        <vt:i4>5</vt:i4>
      </vt:variant>
      <vt:variant>
        <vt:lpwstr>https://data.stat.gov.lv/pxweb/lv/OSP_PUB/START__VEK__PC__PCI/PCI020/table/tableViewLayout1/</vt:lpwstr>
      </vt:variant>
      <vt:variant>
        <vt:lpwstr/>
      </vt:variant>
      <vt:variant>
        <vt:i4>1114150</vt:i4>
      </vt:variant>
      <vt:variant>
        <vt:i4>0</vt:i4>
      </vt:variant>
      <vt:variant>
        <vt:i4>0</vt:i4>
      </vt:variant>
      <vt:variant>
        <vt:i4>5</vt:i4>
      </vt:variant>
      <vt:variant>
        <vt:lpwstr>https://data.stat.gov.lv/pxweb/lv/OSP_PUB/START__EMP__DS__DSV/DSV010/table/tableViewLayout1/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Grīviņa</dc:creator>
  <cp:keywords/>
  <dc:description/>
  <cp:lastModifiedBy>Ginta Veipa-Kopilova</cp:lastModifiedBy>
  <cp:revision>25</cp:revision>
  <cp:lastPrinted>2023-11-08T13:24:00Z</cp:lastPrinted>
  <dcterms:created xsi:type="dcterms:W3CDTF">2026-01-23T03:54:00Z</dcterms:created>
  <dcterms:modified xsi:type="dcterms:W3CDTF">2026-01-23T20:18:00Z</dcterms:modified>
</cp:coreProperties>
</file>