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52A9A" w14:textId="3FF10804" w:rsidR="00DD47D6" w:rsidRDefault="00563B22" w:rsidP="00DD47D6">
      <w:pPr>
        <w:pStyle w:val="Caption"/>
        <w:spacing w:before="0" w:after="0"/>
        <w:rPr>
          <w:rFonts w:cs="Times New Roman"/>
        </w:rPr>
      </w:pPr>
      <w:bookmarkStart w:id="0" w:name="_Ref118932279"/>
      <w:r>
        <w:rPr>
          <w:rFonts w:cs="Times New Roman"/>
          <w:szCs w:val="28"/>
        </w:rPr>
        <w:t>5</w:t>
      </w:r>
      <w:r w:rsidR="00926867" w:rsidRPr="00926867">
        <w:rPr>
          <w:rFonts w:cs="Times New Roman"/>
          <w:szCs w:val="28"/>
        </w:rPr>
        <w:t>. pielikums</w:t>
      </w:r>
      <w:bookmarkEnd w:id="0"/>
      <w:r w:rsidR="00926867" w:rsidRPr="00926867">
        <w:rPr>
          <w:rFonts w:cs="Times New Roman"/>
          <w:szCs w:val="28"/>
        </w:rPr>
        <w:t xml:space="preserve"> </w:t>
      </w:r>
      <w:r w:rsidR="00DD47D6">
        <w:rPr>
          <w:rFonts w:cs="Times New Roman"/>
        </w:rPr>
        <w:t>Konceptuālajam ziņojumam</w:t>
      </w:r>
    </w:p>
    <w:p w14:paraId="625038B3" w14:textId="089F3987" w:rsidR="00DD47D6" w:rsidRDefault="00DD47D6" w:rsidP="00DD47D6">
      <w:pPr>
        <w:pStyle w:val="Caption"/>
        <w:spacing w:before="0" w:after="0"/>
        <w:rPr>
          <w:rFonts w:cs="Times New Roman"/>
        </w:rPr>
      </w:pPr>
      <w:r>
        <w:rPr>
          <w:rFonts w:eastAsia="Calibri" w:cs="Times New Roman"/>
          <w:szCs w:val="28"/>
        </w:rPr>
        <w:t>"</w:t>
      </w:r>
      <w:r>
        <w:rPr>
          <w:rFonts w:cs="Times New Roman"/>
        </w:rPr>
        <w:t xml:space="preserve">Par </w:t>
      </w:r>
      <w:r w:rsidR="00111D58">
        <w:rPr>
          <w:rFonts w:cs="Times New Roman"/>
        </w:rPr>
        <w:t>v</w:t>
      </w:r>
      <w:r>
        <w:rPr>
          <w:rFonts w:cs="Times New Roman"/>
        </w:rPr>
        <w:t>ienot</w:t>
      </w:r>
      <w:r w:rsidR="00111D58">
        <w:rPr>
          <w:rFonts w:cs="Times New Roman"/>
        </w:rPr>
        <w:t>ā</w:t>
      </w:r>
      <w:r>
        <w:rPr>
          <w:rFonts w:cs="Times New Roman"/>
        </w:rPr>
        <w:t xml:space="preserve"> pakalpojumu centra izveidi valsts pārvaldē</w:t>
      </w:r>
      <w:r>
        <w:rPr>
          <w:rFonts w:eastAsia="Calibri" w:cs="Times New Roman"/>
          <w:szCs w:val="28"/>
        </w:rPr>
        <w:t>"</w:t>
      </w:r>
    </w:p>
    <w:p w14:paraId="256EBFD9" w14:textId="77777777" w:rsidR="00D1256D" w:rsidRDefault="00D1256D" w:rsidP="00C7401D">
      <w:pPr>
        <w:pStyle w:val="Caption"/>
        <w:spacing w:before="0" w:after="0"/>
        <w:ind w:firstLine="0"/>
        <w:jc w:val="center"/>
        <w:rPr>
          <w:rFonts w:cs="Times New Roman"/>
          <w:b/>
          <w:bCs/>
          <w:szCs w:val="28"/>
        </w:rPr>
      </w:pPr>
    </w:p>
    <w:p w14:paraId="463C29C7" w14:textId="0BB9FBDE" w:rsidR="00563B22" w:rsidRDefault="00563B22" w:rsidP="00A75BA6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Salīdzinājums risku novērtējumam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48"/>
        <w:gridCol w:w="9546"/>
        <w:gridCol w:w="1534"/>
        <w:gridCol w:w="1320"/>
      </w:tblGrid>
      <w:tr w:rsidR="00C7401D" w:rsidRPr="00563B22" w14:paraId="7017BF50" w14:textId="77777777" w:rsidTr="00A75BA6">
        <w:trPr>
          <w:trHeight w:val="515"/>
        </w:trPr>
        <w:tc>
          <w:tcPr>
            <w:tcW w:w="555" w:type="pct"/>
            <w:shd w:val="clear" w:color="auto" w:fill="1F497D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C3164BA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b/>
                <w:bCs/>
                <w:color w:val="FFFFFF"/>
                <w:kern w:val="24"/>
                <w:sz w:val="24"/>
                <w:szCs w:val="24"/>
                <w:lang w:eastAsia="lv-LV"/>
              </w:rPr>
              <w:t>Dimensija</w:t>
            </w:r>
          </w:p>
        </w:tc>
        <w:tc>
          <w:tcPr>
            <w:tcW w:w="3422" w:type="pct"/>
            <w:shd w:val="clear" w:color="auto" w:fill="1F497D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DF1FEDF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b/>
                <w:bCs/>
                <w:color w:val="FFFFFF"/>
                <w:kern w:val="24"/>
                <w:sz w:val="24"/>
                <w:szCs w:val="24"/>
                <w:lang w:eastAsia="lv-LV"/>
              </w:rPr>
              <w:t>Riska apraksts</w:t>
            </w:r>
          </w:p>
        </w:tc>
        <w:tc>
          <w:tcPr>
            <w:tcW w:w="550" w:type="pct"/>
            <w:shd w:val="clear" w:color="auto" w:fill="1F497D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7CB9FE8" w14:textId="77777777" w:rsidR="00563B22" w:rsidRPr="00563B22" w:rsidRDefault="00563B22" w:rsidP="00563B22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b/>
                <w:bCs/>
                <w:color w:val="FFFFFF"/>
                <w:kern w:val="24"/>
                <w:sz w:val="24"/>
                <w:szCs w:val="24"/>
                <w:lang w:eastAsia="lv-LV"/>
              </w:rPr>
              <w:t>Pakāpeniska pāreja</w:t>
            </w:r>
          </w:p>
        </w:tc>
        <w:tc>
          <w:tcPr>
            <w:tcW w:w="473" w:type="pct"/>
            <w:shd w:val="clear" w:color="auto" w:fill="1F497D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9C25A87" w14:textId="77777777" w:rsidR="00563B22" w:rsidRPr="00563B22" w:rsidRDefault="00563B22" w:rsidP="00563B22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b/>
                <w:bCs/>
                <w:color w:val="FFFFFF"/>
                <w:kern w:val="24"/>
                <w:sz w:val="24"/>
                <w:szCs w:val="24"/>
                <w:lang w:eastAsia="lv-LV"/>
              </w:rPr>
              <w:t>Paātrināta pāreja</w:t>
            </w:r>
          </w:p>
        </w:tc>
      </w:tr>
      <w:tr w:rsidR="00563B22" w:rsidRPr="00563B22" w14:paraId="1BFCF6E3" w14:textId="77777777" w:rsidTr="00A75BA6">
        <w:trPr>
          <w:trHeight w:val="515"/>
        </w:trPr>
        <w:tc>
          <w:tcPr>
            <w:tcW w:w="555" w:type="pct"/>
            <w:vMerge w:val="restart"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A134AD6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b/>
                <w:bCs/>
                <w:color w:val="000000"/>
                <w:kern w:val="24"/>
                <w:sz w:val="24"/>
                <w:szCs w:val="24"/>
                <w:lang w:eastAsia="lv-LV"/>
              </w:rPr>
              <w:t>Laika grafiks</w:t>
            </w: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2AC770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Termiņu neievērošanas un rādītāju nesasniegšanas riski, ņemot vērā apjomīgu reformas tvērumu un ierobežotas iespējas palielināt kapacitāti (t.sk., amata vietu skaitu)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131E968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2D40CD5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21FB59F6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2981C16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07A5C9F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Kompetentu ekspertu ierobežotas piesaistes iespējas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140176D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2CF9E5D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12551624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2B6F5BA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FFDC5B8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Procesa gaitā var atklāties ierobežojumi, kas kavē resoru pārņemšanu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5972C4A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38AE3E1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6146E416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53F3007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4226B49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Iepirkuma procedūras norise var būt ilgstoša un var tikt pagarināta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77ABB30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A6C2151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221CA38B" w14:textId="77777777" w:rsidTr="00A75BA6">
        <w:trPr>
          <w:trHeight w:val="285"/>
        </w:trPr>
        <w:tc>
          <w:tcPr>
            <w:tcW w:w="555" w:type="pct"/>
            <w:vMerge w:val="restart"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7A8FAA7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b/>
                <w:bCs/>
                <w:color w:val="000000"/>
                <w:kern w:val="24"/>
                <w:sz w:val="24"/>
                <w:szCs w:val="24"/>
                <w:lang w:eastAsia="lv-LV"/>
              </w:rPr>
              <w:t>Procesi</w:t>
            </w: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8A4D0A1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Apgrūtināta procesu nepārtrauktības nodrošināšana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5E482FC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A81D6DD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4E5F3FD5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FBADB5F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E7E971C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Ilgstoša procesu standartizācija un harmonizācija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97817F0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F3B3B4F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31D0B30C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720AB37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B5538D7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Procesu (pakalpojumu) kvalitātes kritums pārejas posmā</w:t>
            </w:r>
          </w:p>
        </w:tc>
        <w:tc>
          <w:tcPr>
            <w:tcW w:w="550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F728479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750CCE1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6EC66B30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E71AF00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A534C18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  <w:r w:rsidRPr="00563B22">
              <w:rPr>
                <w:rFonts w:eastAsia="Verdana" w:cs="Times New Roman"/>
                <w:color w:val="000000"/>
                <w:kern w:val="24"/>
                <w:sz w:val="24"/>
                <w:szCs w:val="24"/>
                <w:lang w:eastAsia="lv-LV"/>
              </w:rPr>
              <w:t>Datu pieejamības un kvalitātes risks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89B1E4B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1E5FA77" w14:textId="77777777" w:rsidR="00563B22" w:rsidRPr="00563B22" w:rsidRDefault="00563B22" w:rsidP="00563B22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lv-LV"/>
              </w:rPr>
            </w:pPr>
          </w:p>
        </w:tc>
      </w:tr>
      <w:tr w:rsidR="00563B22" w:rsidRPr="00563B22" w14:paraId="53B4D38C" w14:textId="77777777" w:rsidTr="00A75BA6">
        <w:trPr>
          <w:trHeight w:val="257"/>
        </w:trPr>
        <w:tc>
          <w:tcPr>
            <w:tcW w:w="555" w:type="pct"/>
            <w:vMerge w:val="restart"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1B4F11C6" w14:textId="77777777" w:rsidR="00563B22" w:rsidRPr="00563B22" w:rsidRDefault="00563B22" w:rsidP="00C7401D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563B22">
              <w:rPr>
                <w:rFonts w:cs="Times New Roman"/>
                <w:b/>
                <w:bCs/>
                <w:sz w:val="24"/>
                <w:szCs w:val="24"/>
              </w:rPr>
              <w:t>Tehnoloģijas</w:t>
            </w: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3698A28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 xml:space="preserve">Ražotājam nav neviena eksistējoša </w:t>
            </w:r>
            <w:proofErr w:type="spellStart"/>
            <w:r w:rsidRPr="00563B22">
              <w:rPr>
                <w:rFonts w:cs="Times New Roman"/>
                <w:bCs/>
                <w:sz w:val="24"/>
                <w:szCs w:val="24"/>
              </w:rPr>
              <w:t>Horizon</w:t>
            </w:r>
            <w:proofErr w:type="spellEnd"/>
            <w:r w:rsidRPr="00563B22">
              <w:rPr>
                <w:rFonts w:cs="Times New Roman"/>
                <w:bCs/>
                <w:sz w:val="24"/>
                <w:szCs w:val="24"/>
              </w:rPr>
              <w:t xml:space="preserve"> risinājuma, kur vienā instancē būtu apvienots tāds informācijas apjoms (veiktspējas risks)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2E60755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DB429D0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6F28E3E5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B248A88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3E37A18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Atsevišķiem resoriem šobrīd realizēts informācijas aizsardzības līmenis ar lielākiem ierobežojumiem nekā caurmērā valsts pārvaldē un tehnoloģiski var gadīties ļoti sarežģīti (neiespējami) nodrošināt vienotu informācijas pieejamības režīmu vienā instancē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8CFB9C4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16863F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06522937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EBBAD33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0F02B4F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VESPC ierobežojumi nodrošināt nepieciešamā līmeņa pakalpojumus VPC izveides sākumā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8BA4EDE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E7053F9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6B37356A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1903C779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108320B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Lietotāja tiesību pārvaldības risinājumu nebūs iespējams kvalitatīvi izveidot nepieciešamajā laika rāmī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274959A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D9C2B54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4E4FEC4B" w14:textId="77777777" w:rsidTr="00A75BA6">
        <w:trPr>
          <w:trHeight w:val="257"/>
        </w:trPr>
        <w:tc>
          <w:tcPr>
            <w:tcW w:w="555" w:type="pct"/>
            <w:vMerge w:val="restart"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009261C" w14:textId="77777777" w:rsidR="00563B22" w:rsidRPr="00563B22" w:rsidRDefault="00563B22" w:rsidP="00C7401D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563B22">
              <w:rPr>
                <w:rFonts w:cs="Times New Roman"/>
                <w:b/>
                <w:bCs/>
                <w:sz w:val="24"/>
                <w:szCs w:val="24"/>
              </w:rPr>
              <w:t>Finanses</w:t>
            </w: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A07CABA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Nepietiekama budžeta pārdale centralizēta grāmatvedības uzskaites pakalpojuma un platformas nodrošināšanai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7F91125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9138E8A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277E1D56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6B28E0DF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1A47ACDF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Ar centralizāciju tieši nesaistītu faktoru ietekmes risks – IT un citu izmaksu pieaugums, tajā skaitā, saistībā ar inflācijas radītajām sekām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ABFA32E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4E3F015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62EEC7BD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C383F90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EB508E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Papildu resursu nepieciešamība lietotāju atbalsta funkciju nodrošināšanai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27E17E0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4A66C05F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1BB65B5A" w14:textId="77777777" w:rsidTr="00A75BA6">
        <w:trPr>
          <w:trHeight w:val="257"/>
        </w:trPr>
        <w:tc>
          <w:tcPr>
            <w:tcW w:w="555" w:type="pct"/>
            <w:vMerge w:val="restart"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D718595" w14:textId="77777777" w:rsidR="00563B22" w:rsidRPr="00563B22" w:rsidRDefault="00563B22" w:rsidP="00C7401D">
            <w:pPr>
              <w:ind w:firstLine="0"/>
              <w:rPr>
                <w:rFonts w:cs="Times New Roman"/>
                <w:b/>
                <w:bCs/>
                <w:sz w:val="24"/>
                <w:szCs w:val="24"/>
              </w:rPr>
            </w:pPr>
            <w:r w:rsidRPr="00563B22">
              <w:rPr>
                <w:rFonts w:cs="Times New Roman"/>
                <w:b/>
                <w:bCs/>
                <w:sz w:val="24"/>
                <w:szCs w:val="24"/>
              </w:rPr>
              <w:lastRenderedPageBreak/>
              <w:t>Juridiskie</w:t>
            </w: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71EA2DD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Nesavlaicīga nepieciešamo grozījumu identificēšana, to virzība un administratīvo šķēršļu samazināšana (piemēram, saskaņošanas process, prasību attiecināmība) reformas īstenošanai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D5AA3F8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595136F6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563B22" w:rsidRPr="00563B22" w14:paraId="7B833165" w14:textId="77777777" w:rsidTr="00A75BA6">
        <w:trPr>
          <w:trHeight w:val="257"/>
        </w:trPr>
        <w:tc>
          <w:tcPr>
            <w:tcW w:w="555" w:type="pct"/>
            <w:vMerge/>
            <w:shd w:val="clear" w:color="auto" w:fill="C6D9F0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DDB5952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2" w:type="pct"/>
            <w:shd w:val="clear" w:color="auto" w:fill="F2F2F2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22FE7F86" w14:textId="77777777" w:rsidR="00563B22" w:rsidRPr="00563B22" w:rsidRDefault="00563B22" w:rsidP="00563B22">
            <w:pPr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 w:rsidRPr="00563B22">
              <w:rPr>
                <w:rFonts w:cs="Times New Roman"/>
                <w:bCs/>
                <w:sz w:val="24"/>
                <w:szCs w:val="24"/>
              </w:rPr>
              <w:t>Kavēta lēmumu pieņemšana par VPC izveidi un darbību</w:t>
            </w:r>
          </w:p>
        </w:tc>
        <w:tc>
          <w:tcPr>
            <w:tcW w:w="550" w:type="pct"/>
            <w:shd w:val="clear" w:color="auto" w:fill="FFE299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186EFE44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3" w:type="pct"/>
            <w:shd w:val="clear" w:color="auto" w:fill="FFB7CF"/>
            <w:tcMar>
              <w:top w:w="15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51D2E39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12B8C280" w14:textId="32B9FD27" w:rsidR="00563B22" w:rsidRDefault="00563B22" w:rsidP="00563B22">
      <w:pPr>
        <w:ind w:firstLine="0"/>
        <w:jc w:val="center"/>
        <w:rPr>
          <w:rFonts w:cs="Times New Roman"/>
          <w:b/>
          <w:bCs/>
          <w:szCs w:val="28"/>
        </w:rPr>
      </w:pPr>
    </w:p>
    <w:tbl>
      <w:tblPr>
        <w:tblW w:w="8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1020"/>
        <w:gridCol w:w="1080"/>
        <w:gridCol w:w="1020"/>
        <w:gridCol w:w="2640"/>
      </w:tblGrid>
      <w:tr w:rsidR="00563B22" w:rsidRPr="00563B22" w14:paraId="224756BF" w14:textId="77777777" w:rsidTr="00563B22">
        <w:trPr>
          <w:trHeight w:val="216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DB50A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8D9A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732AC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  <w:r w:rsidRPr="00563B22">
              <w:rPr>
                <w:rFonts w:cs="Times New Roman"/>
                <w:b/>
                <w:bCs/>
                <w:szCs w:val="28"/>
              </w:rPr>
              <w:t> Zems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E2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FDBDB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  <w:r w:rsidRPr="00563B22">
              <w:rPr>
                <w:rFonts w:cs="Times New Roman"/>
                <w:b/>
                <w:bCs/>
                <w:szCs w:val="28"/>
              </w:rPr>
              <w:t>Vidējs 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B7C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2458F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  <w:r w:rsidRPr="00563B22">
              <w:rPr>
                <w:rFonts w:cs="Times New Roman"/>
                <w:b/>
                <w:bCs/>
                <w:szCs w:val="28"/>
              </w:rPr>
              <w:t>Augsts  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37976" w14:textId="77777777" w:rsidR="00563B22" w:rsidRPr="00563B22" w:rsidRDefault="00563B22" w:rsidP="00563B22">
            <w:pPr>
              <w:ind w:firstLine="0"/>
              <w:jc w:val="center"/>
              <w:rPr>
                <w:rFonts w:cs="Times New Roman"/>
                <w:b/>
                <w:bCs/>
                <w:szCs w:val="28"/>
              </w:rPr>
            </w:pPr>
          </w:p>
        </w:tc>
      </w:tr>
    </w:tbl>
    <w:p w14:paraId="0F3E2049" w14:textId="66401E6F" w:rsidR="00563B22" w:rsidRDefault="00563B22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44DC659C" w14:textId="4FEE21F6" w:rsidR="00C7401D" w:rsidRDefault="00C7401D" w:rsidP="00A75BA6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Novērtētie aspekti</w:t>
      </w:r>
    </w:p>
    <w:p w14:paraId="28E48EEB" w14:textId="505366A0" w:rsidR="009E4942" w:rsidRDefault="00563B22" w:rsidP="00563B22">
      <w:pPr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noProof/>
          <w:szCs w:val="28"/>
          <w:lang w:eastAsia="lv-LV"/>
        </w:rPr>
        <w:drawing>
          <wp:inline distT="0" distB="0" distL="0" distR="0" wp14:anchorId="24D246D9" wp14:editId="7823286F">
            <wp:extent cx="8898422" cy="41998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0" t="12584" r="2824" b="8291"/>
                    <a:stretch/>
                  </pic:blipFill>
                  <pic:spPr bwMode="auto">
                    <a:xfrm>
                      <a:off x="0" y="0"/>
                      <a:ext cx="8915374" cy="4207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94E018" w14:textId="77777777" w:rsidR="00C7401D" w:rsidRDefault="00C7401D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2DD3A798" w14:textId="77777777" w:rsidR="00A75BA6" w:rsidRDefault="00A75BA6" w:rsidP="00A75BA6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 w:rsidRPr="00A75BA6">
        <w:rPr>
          <w:rFonts w:cs="Times New Roman"/>
          <w:b/>
          <w:bCs/>
          <w:szCs w:val="28"/>
        </w:rPr>
        <w:t>Nodarbināto pārcelšana uz VPC un skaita samazināšana</w:t>
      </w:r>
    </w:p>
    <w:p w14:paraId="543DF9E1" w14:textId="77777777" w:rsidR="00A75BA6" w:rsidRDefault="00563B22" w:rsidP="00563B22">
      <w:pPr>
        <w:ind w:firstLine="0"/>
        <w:jc w:val="center"/>
        <w:rPr>
          <w:rFonts w:cs="Times New Roman"/>
          <w:szCs w:val="28"/>
        </w:rPr>
      </w:pPr>
      <w:r w:rsidRPr="00563B22"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03E6F" wp14:editId="304BD44A">
                <wp:simplePos x="0" y="0"/>
                <wp:positionH relativeFrom="column">
                  <wp:posOffset>18764250</wp:posOffset>
                </wp:positionH>
                <wp:positionV relativeFrom="paragraph">
                  <wp:posOffset>10467340</wp:posOffset>
                </wp:positionV>
                <wp:extent cx="1764665" cy="137160"/>
                <wp:effectExtent l="0" t="0" r="0" b="0"/>
                <wp:wrapNone/>
                <wp:docPr id="6" name="Slide Number Placeholder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22B4FD-EC8D-08F5-EB51-D02B97B96338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76466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52A9C9" w14:textId="77777777" w:rsidR="00563B22" w:rsidRDefault="00563B22" w:rsidP="00563B22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Verdana" w:eastAsia="Verdana" w:hAnsi="Verdana" w:cstheme="minorBidi"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>21</w:t>
                            </w:r>
                          </w:p>
                        </w:txbxContent>
                      </wps:txbx>
                      <wps:bodyPr vert="horz" lIns="0" tIns="0" rIns="0" bIns="0" rtlCol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03E6F" id="Slide Number Placeholder 5" o:spid="_x0000_s1026" style="position:absolute;left:0;text-align:left;margin-left:1477.5pt;margin-top:824.2pt;width:138.95pt;height:1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" filled="f" stroked="f">
                <o:lock v:ext="edit" grouping="t"/>
                <v:textbox inset="0,0,0,0">
                  <w:txbxContent>
                    <w:p w14:paraId="3852A9C9" w14:textId="77777777" w:rsidR="00563B22" w:rsidRDefault="00563B22" w:rsidP="00563B22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="Verdana" w:eastAsia="Verdana" w:hAnsi="Verdana" w:cstheme="minorBidi"/>
                          <w:color w:val="000000" w:themeColor="text1"/>
                          <w:kern w:val="24"/>
                          <w:sz w:val="15"/>
                          <w:szCs w:val="15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 w:rsidR="00A75BA6">
        <w:rPr>
          <w:rFonts w:cs="Times New Roman"/>
          <w:noProof/>
          <w:szCs w:val="28"/>
          <w:lang w:eastAsia="lv-LV"/>
        </w:rPr>
        <w:drawing>
          <wp:inline distT="0" distB="0" distL="0" distR="0" wp14:anchorId="12C6AD67" wp14:editId="0CAF19FA">
            <wp:extent cx="9272928" cy="4074264"/>
            <wp:effectExtent l="0" t="0" r="444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6622" cy="4075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0EB8B" w14:textId="68A80FB7" w:rsidR="00563B22" w:rsidRDefault="00A75BA6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lastRenderedPageBreak/>
        <w:drawing>
          <wp:inline distT="0" distB="0" distL="0" distR="0" wp14:anchorId="217E6CBE" wp14:editId="2D238269">
            <wp:extent cx="9155238" cy="4093135"/>
            <wp:effectExtent l="0" t="0" r="8255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971" cy="4101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6FDDAA" w14:textId="689771BC" w:rsidR="00A75BA6" w:rsidRDefault="00A75BA6" w:rsidP="00563B22">
      <w:pPr>
        <w:ind w:firstLine="0"/>
        <w:jc w:val="center"/>
        <w:rPr>
          <w:rFonts w:cs="Times New Roman"/>
          <w:szCs w:val="28"/>
        </w:rPr>
      </w:pPr>
    </w:p>
    <w:p w14:paraId="14F3353B" w14:textId="4A0DECBC" w:rsidR="00A75BA6" w:rsidRDefault="00A75BA6" w:rsidP="00563B22">
      <w:pPr>
        <w:ind w:firstLine="0"/>
        <w:jc w:val="center"/>
        <w:rPr>
          <w:rFonts w:cs="Times New Roman"/>
          <w:szCs w:val="28"/>
        </w:rPr>
      </w:pPr>
    </w:p>
    <w:p w14:paraId="133FCA4E" w14:textId="1140DC4B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004FE771" w14:textId="146E8463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6ED9957E" w14:textId="2C48EE94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04F56DB9" w14:textId="567F1065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63A4E9C0" w14:textId="48A85CA4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7DF6DD03" w14:textId="77777777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33129E9B" w14:textId="0289A957" w:rsidR="00A75BA6" w:rsidRDefault="00A75BA6" w:rsidP="00552911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 w:rsidRPr="00A75BA6">
        <w:rPr>
          <w:rFonts w:cs="Times New Roman"/>
          <w:b/>
          <w:bCs/>
          <w:szCs w:val="28"/>
        </w:rPr>
        <w:lastRenderedPageBreak/>
        <w:t>Resoru atbildība par reformas īstenošanu un izvirzīto mērķu sasniegšanu</w:t>
      </w:r>
    </w:p>
    <w:p w14:paraId="76321BC9" w14:textId="24E09148" w:rsidR="00552911" w:rsidRDefault="00552911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0245D858" wp14:editId="76C5FF50">
            <wp:extent cx="7474585" cy="5309870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585" cy="530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F2F29B" w14:textId="0C886D4C" w:rsidR="00552911" w:rsidRDefault="00552911" w:rsidP="00552911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 w:rsidRPr="00552911">
        <w:rPr>
          <w:rFonts w:cs="Times New Roman"/>
          <w:b/>
          <w:bCs/>
          <w:szCs w:val="28"/>
        </w:rPr>
        <w:lastRenderedPageBreak/>
        <w:t>Pakalpojumu iegādes (ekspertu piesaistes) organizatoriskie aspekti</w:t>
      </w:r>
    </w:p>
    <w:p w14:paraId="68D5A3CB" w14:textId="53C93086" w:rsidR="00552911" w:rsidRDefault="00552911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7E88BDDD" wp14:editId="16083440">
            <wp:extent cx="9146127" cy="5154582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293" cy="516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576423" w14:textId="72EF14F4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5903BC1E" w14:textId="721315F6" w:rsidR="00552911" w:rsidRDefault="00552911" w:rsidP="00552911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 w:rsidRPr="00552911">
        <w:rPr>
          <w:rFonts w:cs="Times New Roman"/>
          <w:b/>
          <w:bCs/>
          <w:szCs w:val="28"/>
        </w:rPr>
        <w:lastRenderedPageBreak/>
        <w:t>Centralizācijas ietekmes novērtējuma aspekti </w:t>
      </w:r>
    </w:p>
    <w:p w14:paraId="613E7008" w14:textId="0E28B40E" w:rsidR="00552911" w:rsidRDefault="00552911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6D434A7F" wp14:editId="0B56708E">
            <wp:extent cx="9037674" cy="444611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622" cy="4456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046F7" w14:textId="68048CDC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119CC54B" w14:textId="46497AE7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0BFCD3A7" w14:textId="7D505813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0E4FC9C4" w14:textId="77777777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69D2CF57" w14:textId="56089B33" w:rsidR="00552911" w:rsidRDefault="00552911" w:rsidP="00552911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proofErr w:type="spellStart"/>
      <w:r w:rsidRPr="00552911">
        <w:rPr>
          <w:rFonts w:cs="Times New Roman"/>
          <w:b/>
          <w:bCs/>
          <w:szCs w:val="28"/>
        </w:rPr>
        <w:lastRenderedPageBreak/>
        <w:t>Horizon</w:t>
      </w:r>
      <w:proofErr w:type="spellEnd"/>
      <w:r w:rsidRPr="00552911">
        <w:rPr>
          <w:rFonts w:cs="Times New Roman"/>
          <w:b/>
          <w:bCs/>
          <w:szCs w:val="28"/>
        </w:rPr>
        <w:t xml:space="preserve"> tehniskie aspekti (veiktspēja, piekļuves tiesību konfigurēšana)</w:t>
      </w:r>
    </w:p>
    <w:p w14:paraId="2336CB7F" w14:textId="64153D6E" w:rsidR="00552911" w:rsidRDefault="00552911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41E2439B" wp14:editId="22279894">
            <wp:extent cx="9197163" cy="4194124"/>
            <wp:effectExtent l="0" t="0" r="444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6803" cy="420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E292BC" w14:textId="02821738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1ABBC62F" w14:textId="77777777" w:rsidR="00552911" w:rsidRDefault="00552911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3A3236F8" w14:textId="77777777" w:rsidR="00552911" w:rsidRDefault="00552911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76C1B7DD" w14:textId="77777777" w:rsidR="00552911" w:rsidRDefault="00552911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1C85993C" w14:textId="77777777" w:rsidR="00552911" w:rsidRDefault="00552911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5957DA3F" w14:textId="77777777" w:rsidR="00552911" w:rsidRDefault="00552911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53C169FA" w14:textId="4C544E97" w:rsidR="00552911" w:rsidRDefault="00552911" w:rsidP="00552911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proofErr w:type="spellStart"/>
      <w:r w:rsidRPr="00552911">
        <w:rPr>
          <w:rFonts w:cs="Times New Roman"/>
          <w:b/>
          <w:bCs/>
          <w:szCs w:val="28"/>
        </w:rPr>
        <w:lastRenderedPageBreak/>
        <w:t>Horizon</w:t>
      </w:r>
      <w:proofErr w:type="spellEnd"/>
      <w:r w:rsidRPr="00552911">
        <w:rPr>
          <w:rFonts w:cs="Times New Roman"/>
          <w:b/>
          <w:bCs/>
          <w:szCs w:val="28"/>
        </w:rPr>
        <w:t xml:space="preserve"> licenču iegādes izmaksas un izmaksu pieaugums</w:t>
      </w:r>
    </w:p>
    <w:p w14:paraId="4E061D8C" w14:textId="23376F34" w:rsidR="00552911" w:rsidRDefault="00552911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65560B3D" wp14:editId="6F17EDF7">
            <wp:extent cx="9279979" cy="371904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3752" cy="3724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1E12E" w14:textId="671E5A96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1286188B" w14:textId="3D683D20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62FDCA0B" w14:textId="3D3CE488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64181BC2" w14:textId="0BEDBFF7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3AEA1C14" w14:textId="424411B1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486798C1" w14:textId="495BFBB4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68D40F31" w14:textId="77777777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0FE8F64A" w14:textId="773D3B16" w:rsidR="00552911" w:rsidRDefault="00552911" w:rsidP="00563B22">
      <w:pPr>
        <w:ind w:firstLine="0"/>
        <w:jc w:val="center"/>
        <w:rPr>
          <w:rFonts w:cs="Times New Roman"/>
          <w:szCs w:val="28"/>
        </w:rPr>
      </w:pPr>
    </w:p>
    <w:p w14:paraId="0310C2C4" w14:textId="7EC7F0D7" w:rsidR="00552911" w:rsidRDefault="00552911" w:rsidP="00552911">
      <w:pPr>
        <w:spacing w:after="120"/>
        <w:ind w:firstLine="0"/>
        <w:jc w:val="center"/>
        <w:rPr>
          <w:rFonts w:cs="Times New Roman"/>
          <w:szCs w:val="28"/>
        </w:rPr>
      </w:pPr>
      <w:r w:rsidRPr="00552911">
        <w:rPr>
          <w:rFonts w:cs="Times New Roman"/>
          <w:b/>
          <w:bCs/>
          <w:szCs w:val="28"/>
        </w:rPr>
        <w:lastRenderedPageBreak/>
        <w:t>VPC IT risinājuma izvietošana (infrastruktūras aspekti)</w:t>
      </w:r>
    </w:p>
    <w:p w14:paraId="3E413817" w14:textId="58A83914" w:rsidR="00552911" w:rsidRDefault="00F17648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4417DB16" wp14:editId="69A525D0">
            <wp:extent cx="9365039" cy="4537041"/>
            <wp:effectExtent l="0" t="0" r="762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67" cy="4540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0E4D93" w14:textId="66EE10C2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5605D27E" w14:textId="38691AD1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3336A51C" w14:textId="5268ED33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1E60A90D" w14:textId="7D42244C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6920C45E" w14:textId="0AA2C71F" w:rsidR="00F17648" w:rsidRDefault="00F17648" w:rsidP="00F17648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 w:rsidRPr="00F17648">
        <w:rPr>
          <w:rFonts w:cs="Times New Roman"/>
          <w:b/>
          <w:bCs/>
          <w:szCs w:val="28"/>
        </w:rPr>
        <w:lastRenderedPageBreak/>
        <w:t>Rīcība ar individuālajām iestāžu </w:t>
      </w:r>
      <w:proofErr w:type="spellStart"/>
      <w:r w:rsidRPr="00F17648">
        <w:rPr>
          <w:rFonts w:cs="Times New Roman"/>
          <w:b/>
          <w:bCs/>
          <w:szCs w:val="28"/>
        </w:rPr>
        <w:t>Horizon</w:t>
      </w:r>
      <w:proofErr w:type="spellEnd"/>
      <w:r w:rsidRPr="00F17648">
        <w:rPr>
          <w:rFonts w:cs="Times New Roman"/>
          <w:b/>
          <w:bCs/>
          <w:szCs w:val="28"/>
        </w:rPr>
        <w:t xml:space="preserve"> izstrādnēm</w:t>
      </w:r>
    </w:p>
    <w:p w14:paraId="21BDAEAE" w14:textId="30639EC4" w:rsidR="00F17648" w:rsidRDefault="00F17648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077C2059" wp14:editId="61F983A6">
            <wp:extent cx="9089663" cy="3572539"/>
            <wp:effectExtent l="0" t="0" r="0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0322" cy="3584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D4697" w14:textId="5FD662D5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73EA489D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1673DDD8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3868D0E6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5B9B4378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1375AE30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62E6349B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3B484475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18DD8870" w14:textId="77777777" w:rsidR="00F17648" w:rsidRDefault="00F17648" w:rsidP="00563B22">
      <w:pPr>
        <w:ind w:firstLine="0"/>
        <w:jc w:val="center"/>
        <w:rPr>
          <w:rFonts w:cs="Times New Roman"/>
          <w:b/>
          <w:bCs/>
          <w:szCs w:val="28"/>
        </w:rPr>
      </w:pPr>
    </w:p>
    <w:p w14:paraId="3E9A7373" w14:textId="1DD1BF74" w:rsidR="00F17648" w:rsidRDefault="00F17648" w:rsidP="00F17648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proofErr w:type="spellStart"/>
      <w:r w:rsidRPr="00F17648">
        <w:rPr>
          <w:rFonts w:cs="Times New Roman"/>
          <w:b/>
          <w:bCs/>
          <w:szCs w:val="28"/>
        </w:rPr>
        <w:lastRenderedPageBreak/>
        <w:t>Horizon</w:t>
      </w:r>
      <w:proofErr w:type="spellEnd"/>
      <w:r w:rsidRPr="00F17648">
        <w:rPr>
          <w:rFonts w:cs="Times New Roman"/>
          <w:b/>
          <w:bCs/>
          <w:szCs w:val="28"/>
        </w:rPr>
        <w:t xml:space="preserve"> funkcionalitāte un lietotāju tiesību pārvaldība</w:t>
      </w:r>
    </w:p>
    <w:p w14:paraId="7F0AB0AA" w14:textId="10CFD390" w:rsidR="00F17648" w:rsidRDefault="00F17648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1EFD7091" wp14:editId="30F72C1F">
            <wp:extent cx="8886471" cy="3255956"/>
            <wp:effectExtent l="0" t="0" r="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964" cy="3264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F3F203" w14:textId="3232D4BF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63187F3F" w14:textId="3DD68840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6A35DC75" w14:textId="2F577336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48EB9803" w14:textId="11338A2D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0148A716" w14:textId="5B3E9616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0B10B272" w14:textId="1A9A864D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351EE501" w14:textId="7D443791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3D14BE92" w14:textId="5FDFBB7B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252852B9" w14:textId="16FA5269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1C383966" w14:textId="33FEBAD3" w:rsidR="00F17648" w:rsidRDefault="00F17648" w:rsidP="00563B22">
      <w:pPr>
        <w:ind w:firstLine="0"/>
        <w:jc w:val="center"/>
        <w:rPr>
          <w:rFonts w:cs="Times New Roman"/>
          <w:szCs w:val="28"/>
        </w:rPr>
      </w:pPr>
    </w:p>
    <w:p w14:paraId="06059AFE" w14:textId="5AAC3ADC" w:rsidR="00F17648" w:rsidRDefault="00F17648" w:rsidP="00F17648">
      <w:pPr>
        <w:spacing w:after="120"/>
        <w:ind w:firstLine="0"/>
        <w:jc w:val="center"/>
        <w:rPr>
          <w:rFonts w:cs="Times New Roman"/>
          <w:b/>
          <w:bCs/>
          <w:szCs w:val="28"/>
        </w:rPr>
      </w:pPr>
      <w:r w:rsidRPr="00F17648">
        <w:rPr>
          <w:rFonts w:cs="Times New Roman"/>
          <w:b/>
          <w:bCs/>
          <w:szCs w:val="28"/>
        </w:rPr>
        <w:lastRenderedPageBreak/>
        <w:t>Atbalsta funkciju nodrošināšana un atbalsta sniedzēju skaits</w:t>
      </w:r>
    </w:p>
    <w:p w14:paraId="1C5AE45D" w14:textId="6FF71713" w:rsidR="00F17648" w:rsidRPr="00926867" w:rsidRDefault="00F17648" w:rsidP="00563B22">
      <w:pPr>
        <w:ind w:firstLine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lv-LV"/>
        </w:rPr>
        <w:drawing>
          <wp:inline distT="0" distB="0" distL="0" distR="0" wp14:anchorId="07A1C2C0" wp14:editId="5D2366FD">
            <wp:extent cx="8853655" cy="2232837"/>
            <wp:effectExtent l="0" t="0" r="508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9673" cy="2249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7648" w:rsidRPr="00926867" w:rsidSect="009268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85pt;height:16.3pt" o:bullet="t">
        <v:imagedata r:id="rId1" o:title="artD716"/>
      </v:shape>
    </w:pict>
  </w:numPicBullet>
  <w:numPicBullet w:numPicBulletId="1">
    <w:pict>
      <v:shape id="_x0000_i1031" type="#_x0000_t75" style="width:12.45pt;height:19.7pt" o:bullet="t">
        <v:imagedata r:id="rId2" o:title="artA7FB"/>
      </v:shape>
    </w:pict>
  </w:numPicBullet>
  <w:abstractNum w:abstractNumId="0" w15:restartNumberingAfterBreak="0">
    <w:nsid w:val="140B2976"/>
    <w:multiLevelType w:val="hybridMultilevel"/>
    <w:tmpl w:val="78B2A37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8807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67"/>
    <w:rsid w:val="00111D58"/>
    <w:rsid w:val="002307E3"/>
    <w:rsid w:val="00417430"/>
    <w:rsid w:val="00526465"/>
    <w:rsid w:val="00552911"/>
    <w:rsid w:val="00563B22"/>
    <w:rsid w:val="0071402B"/>
    <w:rsid w:val="00926867"/>
    <w:rsid w:val="009E4942"/>
    <w:rsid w:val="00A75BA6"/>
    <w:rsid w:val="00A84581"/>
    <w:rsid w:val="00AC01F2"/>
    <w:rsid w:val="00BC08C8"/>
    <w:rsid w:val="00C7401D"/>
    <w:rsid w:val="00D1256D"/>
    <w:rsid w:val="00DD47D6"/>
    <w:rsid w:val="00F1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5C4E"/>
  <w15:chartTrackingRefBased/>
  <w15:docId w15:val="{1EA54562-A7A8-408C-8170-784BF6C7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563B22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86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926867"/>
    <w:pPr>
      <w:spacing w:before="120" w:after="200"/>
      <w:jc w:val="right"/>
    </w:pPr>
    <w:rPr>
      <w:iCs/>
      <w:szCs w:val="18"/>
    </w:rPr>
  </w:style>
  <w:style w:type="character" w:customStyle="1" w:styleId="normaltextrun">
    <w:name w:val="normaltextrun"/>
    <w:basedOn w:val="DefaultParagraphFont"/>
    <w:rsid w:val="00AC01F2"/>
  </w:style>
  <w:style w:type="paragraph" w:customStyle="1" w:styleId="paragraph">
    <w:name w:val="paragraph"/>
    <w:basedOn w:val="Normal"/>
    <w:rsid w:val="00AC01F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lv-LV"/>
    </w:rPr>
  </w:style>
  <w:style w:type="character" w:customStyle="1" w:styleId="eop">
    <w:name w:val="eop"/>
    <w:basedOn w:val="DefaultParagraphFont"/>
    <w:rsid w:val="00AC01F2"/>
  </w:style>
  <w:style w:type="character" w:customStyle="1" w:styleId="superscript">
    <w:name w:val="superscript"/>
    <w:basedOn w:val="DefaultParagraphFont"/>
    <w:rsid w:val="00AC01F2"/>
  </w:style>
  <w:style w:type="paragraph" w:styleId="NormalWeb">
    <w:name w:val="Normal (Web)"/>
    <w:basedOn w:val="Normal"/>
    <w:uiPriority w:val="99"/>
    <w:semiHidden/>
    <w:unhideWhenUsed/>
    <w:rsid w:val="00563B22"/>
    <w:pPr>
      <w:spacing w:before="100" w:beforeAutospacing="1" w:after="100" w:afterAutospacing="1"/>
      <w:ind w:firstLine="0"/>
      <w:jc w:val="left"/>
    </w:pPr>
    <w:rPr>
      <w:rFonts w:eastAsiaTheme="minorEastAsia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6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1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3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89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0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4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8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9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6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5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6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5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1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4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2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3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0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53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7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4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5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8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8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3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98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7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2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5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8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2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64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3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8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1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29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5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7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7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2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5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4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9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2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4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2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5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5" Type="http://schemas.openxmlformats.org/officeDocument/2006/relationships/image" Target="media/image3.jpg"/><Relationship Id="rId15" Type="http://schemas.openxmlformats.org/officeDocument/2006/relationships/image" Target="media/image13.png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1719</Words>
  <Characters>981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Ņesterovs</dc:creator>
  <cp:keywords/>
  <dc:description/>
  <cp:lastModifiedBy>Sandra Rocēna</cp:lastModifiedBy>
  <cp:revision>2</cp:revision>
  <dcterms:created xsi:type="dcterms:W3CDTF">2023-06-19T11:13:00Z</dcterms:created>
  <dcterms:modified xsi:type="dcterms:W3CDTF">2023-06-19T11:13:00Z</dcterms:modified>
</cp:coreProperties>
</file>