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17CF6" w14:textId="77777777" w:rsidR="00397D0D" w:rsidRPr="009D7E89" w:rsidRDefault="00397D0D" w:rsidP="00397D0D">
      <w:pPr>
        <w:pStyle w:val="Header"/>
        <w:jc w:val="right"/>
        <w:rPr>
          <w:rFonts w:ascii="Times New Roman" w:hAnsi="Times New Roman" w:cs="Times New Roman"/>
        </w:rPr>
      </w:pPr>
      <w:r>
        <w:rPr>
          <w:rFonts w:ascii="Times New Roman" w:hAnsi="Times New Roman" w:cs="Times New Roman"/>
        </w:rPr>
        <w:t>2</w:t>
      </w:r>
      <w:r w:rsidRPr="009D7E89">
        <w:rPr>
          <w:rFonts w:ascii="Times New Roman" w:hAnsi="Times New Roman" w:cs="Times New Roman"/>
        </w:rPr>
        <w:t>.pielikums</w:t>
      </w:r>
    </w:p>
    <w:p w14:paraId="1193B5F8" w14:textId="77777777" w:rsidR="00397D0D" w:rsidRDefault="00397D0D" w:rsidP="00397D0D">
      <w:pPr>
        <w:pStyle w:val="Header"/>
        <w:jc w:val="right"/>
        <w:rPr>
          <w:rFonts w:ascii="Times New Roman" w:hAnsi="Times New Roman" w:cs="Times New Roman"/>
        </w:rPr>
      </w:pPr>
      <w:r w:rsidRPr="009D7E89">
        <w:rPr>
          <w:rFonts w:ascii="Times New Roman" w:hAnsi="Times New Roman" w:cs="Times New Roman"/>
        </w:rPr>
        <w:t xml:space="preserve">Informatīvajam ziņojumam </w:t>
      </w:r>
    </w:p>
    <w:p w14:paraId="1260EB8D" w14:textId="77777777" w:rsidR="00C25FA6" w:rsidRDefault="00397D0D" w:rsidP="00397D0D">
      <w:pPr>
        <w:pStyle w:val="Header"/>
        <w:jc w:val="right"/>
        <w:rPr>
          <w:rFonts w:ascii="Times New Roman" w:hAnsi="Times New Roman" w:cs="Times New Roman"/>
        </w:rPr>
      </w:pPr>
      <w:r>
        <w:rPr>
          <w:rFonts w:ascii="Times New Roman" w:hAnsi="Times New Roman" w:cs="Times New Roman"/>
        </w:rPr>
        <w:t>“P</w:t>
      </w:r>
      <w:r w:rsidRPr="009D7E89">
        <w:rPr>
          <w:rFonts w:ascii="Times New Roman" w:hAnsi="Times New Roman" w:cs="Times New Roman"/>
        </w:rPr>
        <w:t>ar iekšējā audita darbību ministrijās un iestādēs 2025.gadā</w:t>
      </w:r>
    </w:p>
    <w:p w14:paraId="03F3D558" w14:textId="4C0FBA0A" w:rsidR="00397D0D" w:rsidRDefault="00397D0D" w:rsidP="00397D0D">
      <w:pPr>
        <w:pStyle w:val="Header"/>
        <w:jc w:val="right"/>
        <w:rPr>
          <w:rFonts w:ascii="Times New Roman" w:hAnsi="Times New Roman" w:cs="Times New Roman"/>
        </w:rPr>
      </w:pPr>
      <w:r w:rsidRPr="009D7E89">
        <w:rPr>
          <w:rFonts w:ascii="Times New Roman" w:hAnsi="Times New Roman" w:cs="Times New Roman"/>
        </w:rPr>
        <w:t xml:space="preserve"> un iekšējā audita attīstības virzieniem 2026. gada pirmajā pusgadā</w:t>
      </w:r>
      <w:r>
        <w:rPr>
          <w:rFonts w:ascii="Times New Roman" w:hAnsi="Times New Roman" w:cs="Times New Roman"/>
        </w:rPr>
        <w:t>”</w:t>
      </w:r>
    </w:p>
    <w:p w14:paraId="1750000B" w14:textId="77777777" w:rsidR="00C610D1" w:rsidRDefault="00C610D1" w:rsidP="00397D0D">
      <w:pPr>
        <w:pStyle w:val="Heading1"/>
        <w:spacing w:before="120" w:after="120" w:line="240" w:lineRule="auto"/>
        <w:jc w:val="right"/>
        <w:rPr>
          <w:caps/>
          <w:color w:val="auto"/>
          <w:sz w:val="32"/>
          <w:szCs w:val="32"/>
        </w:rPr>
      </w:pPr>
    </w:p>
    <w:p w14:paraId="761C5B21" w14:textId="2E06C458" w:rsidR="00604861" w:rsidRPr="00024DD7" w:rsidRDefault="00AD6181" w:rsidP="00604861">
      <w:pPr>
        <w:pStyle w:val="Heading1"/>
        <w:spacing w:before="120" w:after="120" w:line="240" w:lineRule="auto"/>
        <w:rPr>
          <w:caps/>
          <w:color w:val="auto"/>
          <w:sz w:val="28"/>
          <w:szCs w:val="28"/>
        </w:rPr>
      </w:pPr>
      <w:r w:rsidRPr="00024DD7">
        <w:rPr>
          <w:caps/>
          <w:color w:val="auto"/>
          <w:sz w:val="28"/>
          <w:szCs w:val="28"/>
        </w:rPr>
        <w:t>Informācijas un komunikāciju tehnoloģiju</w:t>
      </w:r>
    </w:p>
    <w:p w14:paraId="73ABA46B" w14:textId="473923B9" w:rsidR="00AD6181" w:rsidRPr="00024DD7" w:rsidRDefault="00AD6181" w:rsidP="00604861">
      <w:pPr>
        <w:pStyle w:val="Heading1"/>
        <w:spacing w:before="120" w:after="120" w:line="240" w:lineRule="auto"/>
        <w:rPr>
          <w:caps/>
          <w:color w:val="auto"/>
          <w:sz w:val="28"/>
          <w:szCs w:val="28"/>
        </w:rPr>
      </w:pPr>
      <w:r w:rsidRPr="00024DD7">
        <w:rPr>
          <w:caps/>
          <w:color w:val="auto"/>
          <w:sz w:val="28"/>
          <w:szCs w:val="28"/>
        </w:rPr>
        <w:t xml:space="preserve"> drošības pārvaldības</w:t>
      </w:r>
    </w:p>
    <w:p w14:paraId="1ACF9043" w14:textId="77777777" w:rsidR="00AD6181" w:rsidRPr="00024DD7" w:rsidRDefault="00AD6181" w:rsidP="00604861">
      <w:pPr>
        <w:pStyle w:val="Heading1"/>
        <w:spacing w:before="120" w:after="120" w:line="240" w:lineRule="auto"/>
        <w:rPr>
          <w:sz w:val="28"/>
          <w:szCs w:val="28"/>
        </w:rPr>
      </w:pPr>
      <w:r w:rsidRPr="00024DD7">
        <w:rPr>
          <w:caps/>
          <w:color w:val="auto"/>
          <w:sz w:val="28"/>
          <w:szCs w:val="28"/>
        </w:rPr>
        <w:t>iekšējā audita rezultāti</w:t>
      </w:r>
    </w:p>
    <w:p w14:paraId="10F22C7E" w14:textId="77777777" w:rsidR="00AD6181" w:rsidRPr="00F5515B" w:rsidRDefault="00AD6181" w:rsidP="00AD6181"/>
    <w:p w14:paraId="7E5BFBFD" w14:textId="3408DBE7" w:rsidR="00F87EA4" w:rsidRDefault="0079499F" w:rsidP="00BD6C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87EA4" w:rsidRPr="00F87EA4">
        <w:rPr>
          <w:rFonts w:ascii="Times New Roman" w:hAnsi="Times New Roman" w:cs="Times New Roman"/>
          <w:sz w:val="24"/>
          <w:szCs w:val="24"/>
        </w:rPr>
        <w:t xml:space="preserve">Ministru kabineta 2024. gada 20. marta rīkojumā Nr. 188 “Par kopējām valsts pārvaldē auditējamām prioritātēm 2024. un 2025. gadam” informācijas un komunikāciju tehnoloģiju (IKT) drošības pārvaldības audits </w:t>
      </w:r>
      <w:r w:rsidR="00974576">
        <w:rPr>
          <w:rFonts w:ascii="Times New Roman" w:hAnsi="Times New Roman" w:cs="Times New Roman"/>
          <w:sz w:val="24"/>
          <w:szCs w:val="24"/>
        </w:rPr>
        <w:t xml:space="preserve">tika </w:t>
      </w:r>
      <w:r w:rsidR="00F87EA4" w:rsidRPr="00F87EA4">
        <w:rPr>
          <w:rFonts w:ascii="Times New Roman" w:hAnsi="Times New Roman" w:cs="Times New Roman"/>
          <w:sz w:val="24"/>
          <w:szCs w:val="24"/>
        </w:rPr>
        <w:t>noteikts kā viena no prioritārajām iekšējā audita jomām valsts pārvaldē.</w:t>
      </w:r>
      <w:r w:rsidR="00220234">
        <w:rPr>
          <w:rFonts w:ascii="Times New Roman" w:hAnsi="Times New Roman" w:cs="Times New Roman"/>
          <w:sz w:val="24"/>
          <w:szCs w:val="24"/>
        </w:rPr>
        <w:t xml:space="preserve"> </w:t>
      </w:r>
      <w:r w:rsidR="00F87EA4" w:rsidRPr="00F87EA4">
        <w:rPr>
          <w:rFonts w:ascii="Times New Roman" w:hAnsi="Times New Roman" w:cs="Times New Roman"/>
          <w:sz w:val="24"/>
          <w:szCs w:val="24"/>
        </w:rPr>
        <w:t>Audita mērķis bija novērtēt institūcijās izveidoto IKT drošības pārvaldības organizāciju, tās praktisko īstenošanu un atbilstību normatīvo aktu prasībām, kā arī sniegt viedokli par iekšējās kontroles sistēmas efektivitāti IKT drošības pārvaldības jomā.</w:t>
      </w:r>
    </w:p>
    <w:p w14:paraId="5C1920FC" w14:textId="77777777" w:rsidR="007654E6" w:rsidRDefault="007654E6" w:rsidP="00FF0D22">
      <w:pPr>
        <w:spacing w:after="0" w:line="240" w:lineRule="auto"/>
        <w:ind w:firstLine="720"/>
        <w:jc w:val="both"/>
        <w:rPr>
          <w:rFonts w:ascii="Times New Roman" w:hAnsi="Times New Roman" w:cs="Times New Roman"/>
          <w:sz w:val="24"/>
          <w:szCs w:val="24"/>
        </w:rPr>
      </w:pPr>
    </w:p>
    <w:p w14:paraId="256E910F" w14:textId="5B244E05" w:rsidR="009545ED" w:rsidRDefault="00B90D2F" w:rsidP="009545ED">
      <w:pPr>
        <w:spacing w:after="0" w:line="240" w:lineRule="auto"/>
        <w:ind w:firstLine="720"/>
        <w:jc w:val="both"/>
        <w:rPr>
          <w:rFonts w:ascii="Times New Roman" w:hAnsi="Times New Roman" w:cs="Times New Roman"/>
          <w:sz w:val="24"/>
          <w:szCs w:val="24"/>
        </w:rPr>
      </w:pPr>
      <w:r w:rsidRPr="00E1062E">
        <w:rPr>
          <w:rFonts w:ascii="Times New Roman" w:hAnsi="Times New Roman" w:cs="Times New Roman"/>
          <w:sz w:val="24"/>
          <w:szCs w:val="24"/>
        </w:rPr>
        <w:t xml:space="preserve">IKT drošības pārvaldības audits </w:t>
      </w:r>
      <w:r w:rsidR="00FF0D22" w:rsidRPr="00E1062E">
        <w:rPr>
          <w:rFonts w:ascii="Times New Roman" w:hAnsi="Times New Roman" w:cs="Times New Roman"/>
          <w:sz w:val="24"/>
          <w:szCs w:val="24"/>
        </w:rPr>
        <w:t xml:space="preserve">valsts pārvaldē veikts </w:t>
      </w:r>
      <w:r w:rsidR="00B85A0B" w:rsidRPr="00E1062E">
        <w:rPr>
          <w:rFonts w:ascii="Times New Roman" w:hAnsi="Times New Roman" w:cs="Times New Roman"/>
          <w:sz w:val="24"/>
          <w:szCs w:val="24"/>
        </w:rPr>
        <w:t xml:space="preserve">2024.–2025. gadā, aptverot </w:t>
      </w:r>
      <w:r w:rsidR="00B85A0B" w:rsidRPr="00567089">
        <w:rPr>
          <w:rFonts w:ascii="Times New Roman" w:hAnsi="Times New Roman" w:cs="Times New Roman"/>
          <w:sz w:val="24"/>
          <w:szCs w:val="24"/>
        </w:rPr>
        <w:t>96</w:t>
      </w:r>
      <w:r w:rsidR="00B85A0B" w:rsidRPr="00E1062E">
        <w:rPr>
          <w:rFonts w:ascii="Times New Roman" w:hAnsi="Times New Roman" w:cs="Times New Roman"/>
          <w:sz w:val="24"/>
          <w:szCs w:val="24"/>
        </w:rPr>
        <w:t xml:space="preserve"> institūcijas, novērtējot 16 IKT drošības pārvaldības jomas un sniedzot iekšējās kontroles sistēmas novērtējumu gan institūciju, gan </w:t>
      </w:r>
      <w:r w:rsidR="00B85A0B" w:rsidRPr="00567089">
        <w:rPr>
          <w:rFonts w:ascii="Times New Roman" w:hAnsi="Times New Roman" w:cs="Times New Roman"/>
          <w:sz w:val="24"/>
          <w:szCs w:val="24"/>
        </w:rPr>
        <w:t>13</w:t>
      </w:r>
      <w:r w:rsidR="00B85A0B" w:rsidRPr="00E1062E">
        <w:rPr>
          <w:rFonts w:ascii="Times New Roman" w:hAnsi="Times New Roman" w:cs="Times New Roman"/>
          <w:sz w:val="24"/>
          <w:szCs w:val="24"/>
        </w:rPr>
        <w:t xml:space="preserve"> resoru līmenī</w:t>
      </w:r>
      <w:r w:rsidR="00B85A0B" w:rsidRPr="003C6C8B">
        <w:rPr>
          <w:rFonts w:ascii="Times New Roman" w:hAnsi="Times New Roman" w:cs="Times New Roman"/>
          <w:sz w:val="24"/>
          <w:szCs w:val="24"/>
        </w:rPr>
        <w:t>.</w:t>
      </w:r>
      <w:r w:rsidR="001C0688">
        <w:rPr>
          <w:rFonts w:ascii="Times New Roman" w:hAnsi="Times New Roman" w:cs="Times New Roman"/>
          <w:sz w:val="24"/>
          <w:szCs w:val="24"/>
        </w:rPr>
        <w:t xml:space="preserve"> </w:t>
      </w:r>
    </w:p>
    <w:p w14:paraId="29DF1F55" w14:textId="64B7B854" w:rsidR="00F87EA4" w:rsidRPr="00F87EA4" w:rsidRDefault="00190DFC" w:rsidP="00BD6CC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V</w:t>
      </w:r>
      <w:r w:rsidR="00F87EA4" w:rsidRPr="00F87EA4">
        <w:rPr>
          <w:rFonts w:ascii="Times New Roman" w:hAnsi="Times New Roman" w:cs="Times New Roman"/>
          <w:sz w:val="24"/>
          <w:szCs w:val="24"/>
        </w:rPr>
        <w:t>ērtē</w:t>
      </w:r>
      <w:r w:rsidR="00B01872">
        <w:rPr>
          <w:rFonts w:ascii="Times New Roman" w:hAnsi="Times New Roman" w:cs="Times New Roman"/>
          <w:sz w:val="24"/>
          <w:szCs w:val="24"/>
        </w:rPr>
        <w:t>tās</w:t>
      </w:r>
      <w:r w:rsidR="00F87EA4" w:rsidRPr="00F87EA4">
        <w:rPr>
          <w:rFonts w:ascii="Times New Roman" w:hAnsi="Times New Roman" w:cs="Times New Roman"/>
          <w:sz w:val="24"/>
          <w:szCs w:val="24"/>
        </w:rPr>
        <w:t xml:space="preserve"> 16 IKT drošības pārvaldības jomas aptver organizatoriskos, tehniskos un operacionālos aspektus. Analītiskai rezultātu apkopošanai jomas grupētas četros tematiskajos blokos:</w:t>
      </w:r>
    </w:p>
    <w:p w14:paraId="6FC1D49F" w14:textId="77777777" w:rsidR="00F87EA4" w:rsidRPr="00F87EA4" w:rsidRDefault="00F87EA4" w:rsidP="000D3812">
      <w:pPr>
        <w:numPr>
          <w:ilvl w:val="0"/>
          <w:numId w:val="3"/>
        </w:numPr>
        <w:spacing w:after="0" w:line="240" w:lineRule="auto"/>
        <w:jc w:val="both"/>
        <w:rPr>
          <w:rFonts w:ascii="Times New Roman" w:hAnsi="Times New Roman" w:cs="Times New Roman"/>
          <w:sz w:val="24"/>
          <w:szCs w:val="24"/>
        </w:rPr>
      </w:pPr>
      <w:r w:rsidRPr="00F87EA4">
        <w:rPr>
          <w:rFonts w:ascii="Times New Roman" w:hAnsi="Times New Roman" w:cs="Times New Roman"/>
          <w:sz w:val="24"/>
          <w:szCs w:val="24"/>
        </w:rPr>
        <w:t>IKT stratēģiskā pārvaldība un organizatoriskā vide;</w:t>
      </w:r>
    </w:p>
    <w:p w14:paraId="7A06C24E" w14:textId="77777777" w:rsidR="00F87EA4" w:rsidRPr="00F87EA4" w:rsidRDefault="00F87EA4" w:rsidP="000D3812">
      <w:pPr>
        <w:numPr>
          <w:ilvl w:val="0"/>
          <w:numId w:val="3"/>
        </w:numPr>
        <w:spacing w:after="0" w:line="240" w:lineRule="auto"/>
        <w:jc w:val="both"/>
        <w:rPr>
          <w:rFonts w:ascii="Times New Roman" w:hAnsi="Times New Roman" w:cs="Times New Roman"/>
          <w:sz w:val="24"/>
          <w:szCs w:val="24"/>
        </w:rPr>
      </w:pPr>
      <w:r w:rsidRPr="00F87EA4">
        <w:rPr>
          <w:rFonts w:ascii="Times New Roman" w:hAnsi="Times New Roman" w:cs="Times New Roman"/>
          <w:sz w:val="24"/>
          <w:szCs w:val="24"/>
        </w:rPr>
        <w:t>Tehniskā infrastruktūra un fiziskā drošība;</w:t>
      </w:r>
    </w:p>
    <w:p w14:paraId="705935ED" w14:textId="77777777" w:rsidR="00F87EA4" w:rsidRPr="00F87EA4" w:rsidRDefault="00F87EA4" w:rsidP="000D3812">
      <w:pPr>
        <w:numPr>
          <w:ilvl w:val="0"/>
          <w:numId w:val="3"/>
        </w:numPr>
        <w:spacing w:after="0" w:line="240" w:lineRule="auto"/>
        <w:jc w:val="both"/>
        <w:rPr>
          <w:rFonts w:ascii="Times New Roman" w:hAnsi="Times New Roman" w:cs="Times New Roman"/>
          <w:sz w:val="24"/>
          <w:szCs w:val="24"/>
        </w:rPr>
      </w:pPr>
      <w:r w:rsidRPr="00F87EA4">
        <w:rPr>
          <w:rFonts w:ascii="Times New Roman" w:hAnsi="Times New Roman" w:cs="Times New Roman"/>
          <w:sz w:val="24"/>
          <w:szCs w:val="24"/>
        </w:rPr>
        <w:t>IKT drošības ikdienas procesu vadība;</w:t>
      </w:r>
    </w:p>
    <w:p w14:paraId="2976AE39" w14:textId="77777777" w:rsidR="00F87EA4" w:rsidRPr="00F87EA4" w:rsidRDefault="00F87EA4" w:rsidP="000D3812">
      <w:pPr>
        <w:numPr>
          <w:ilvl w:val="0"/>
          <w:numId w:val="3"/>
        </w:numPr>
        <w:spacing w:after="0" w:line="240" w:lineRule="auto"/>
        <w:jc w:val="both"/>
        <w:rPr>
          <w:rFonts w:ascii="Times New Roman" w:hAnsi="Times New Roman" w:cs="Times New Roman"/>
          <w:sz w:val="24"/>
          <w:szCs w:val="24"/>
        </w:rPr>
      </w:pPr>
      <w:r w:rsidRPr="00F87EA4">
        <w:rPr>
          <w:rFonts w:ascii="Times New Roman" w:hAnsi="Times New Roman" w:cs="Times New Roman"/>
          <w:sz w:val="24"/>
          <w:szCs w:val="24"/>
        </w:rPr>
        <w:t>Incidentu vadība, darbības nepārtrauktība un krīžu pārvaldība.</w:t>
      </w:r>
    </w:p>
    <w:p w14:paraId="429B52A2" w14:textId="26CA7FD7" w:rsidR="00840BF6" w:rsidRDefault="00094818" w:rsidP="00B321F4">
      <w:pPr>
        <w:spacing w:after="0" w:line="240" w:lineRule="auto"/>
        <w:jc w:val="both"/>
        <w:rPr>
          <w:rFonts w:ascii="Times New Roman" w:hAnsi="Times New Roman" w:cs="Times New Roman"/>
          <w:sz w:val="24"/>
          <w:szCs w:val="24"/>
        </w:rPr>
      </w:pPr>
      <w:r w:rsidRPr="00094818">
        <w:rPr>
          <w:rFonts w:ascii="Times New Roman" w:hAnsi="Times New Roman" w:cs="Times New Roman"/>
          <w:sz w:val="24"/>
          <w:szCs w:val="24"/>
        </w:rPr>
        <w:t xml:space="preserve">Iekšējā audita ietvaros katrā no jomām sniegts vērtējums par iekšējo kontroļu uzbūvi un darbību, izmantojot vienotu </w:t>
      </w:r>
      <w:proofErr w:type="spellStart"/>
      <w:r w:rsidRPr="00094818">
        <w:rPr>
          <w:rFonts w:ascii="Times New Roman" w:hAnsi="Times New Roman" w:cs="Times New Roman"/>
          <w:sz w:val="24"/>
          <w:szCs w:val="24"/>
        </w:rPr>
        <w:t>četrpakāpju</w:t>
      </w:r>
      <w:proofErr w:type="spellEnd"/>
      <w:r w:rsidRPr="00094818">
        <w:rPr>
          <w:rFonts w:ascii="Times New Roman" w:hAnsi="Times New Roman" w:cs="Times New Roman"/>
          <w:sz w:val="24"/>
          <w:szCs w:val="24"/>
        </w:rPr>
        <w:t xml:space="preserve"> skalu (efektīva, pietiekami efektīva, nepietiekami efektīva, neefektīva), kas raksturo iekšējo kontroļu spēju nodrošināt normatīvo prasību ievērošanu, mazināt </w:t>
      </w:r>
      <w:proofErr w:type="spellStart"/>
      <w:r w:rsidRPr="00094818">
        <w:rPr>
          <w:rFonts w:ascii="Times New Roman" w:hAnsi="Times New Roman" w:cs="Times New Roman"/>
          <w:sz w:val="24"/>
          <w:szCs w:val="24"/>
        </w:rPr>
        <w:t>kiberdrošības</w:t>
      </w:r>
      <w:proofErr w:type="spellEnd"/>
      <w:r w:rsidRPr="00094818">
        <w:rPr>
          <w:rFonts w:ascii="Times New Roman" w:hAnsi="Times New Roman" w:cs="Times New Roman"/>
          <w:sz w:val="24"/>
          <w:szCs w:val="24"/>
        </w:rPr>
        <w:t xml:space="preserve"> riskus un nodrošināt informācijas sistēmu drošu un nepārtrauktu darbību.</w:t>
      </w:r>
    </w:p>
    <w:p w14:paraId="0F49D390" w14:textId="77275C95" w:rsidR="00F87EA4" w:rsidRDefault="00CB1713" w:rsidP="00BD6CC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w:t>
      </w:r>
      <w:r w:rsidR="00F87EA4" w:rsidRPr="00F87EA4">
        <w:rPr>
          <w:rFonts w:ascii="Times New Roman" w:hAnsi="Times New Roman" w:cs="Times New Roman"/>
          <w:sz w:val="24"/>
          <w:szCs w:val="24"/>
        </w:rPr>
        <w:t>niegtie rezultāti raksturo valsts pārvaldes IKT drošības pārvaldības stāvokli audita veikšanas periodā.</w:t>
      </w:r>
    </w:p>
    <w:p w14:paraId="26DABD77" w14:textId="0647862B" w:rsidR="003C3B3A" w:rsidRPr="003C6C8B" w:rsidRDefault="003C3B3A" w:rsidP="003C3B3A">
      <w:pPr>
        <w:spacing w:after="0" w:line="240" w:lineRule="auto"/>
        <w:ind w:firstLine="720"/>
        <w:jc w:val="both"/>
        <w:rPr>
          <w:rFonts w:ascii="Times New Roman" w:hAnsi="Times New Roman" w:cs="Times New Roman"/>
          <w:sz w:val="24"/>
          <w:szCs w:val="24"/>
        </w:rPr>
      </w:pPr>
      <w:r w:rsidRPr="00F52DAA">
        <w:rPr>
          <w:rFonts w:ascii="Times New Roman" w:hAnsi="Times New Roman" w:cs="Times New Roman"/>
          <w:sz w:val="24"/>
          <w:szCs w:val="24"/>
        </w:rPr>
        <w:t>Konstatētās nepilnības ir sistēmiskas un saistītas ar nepietiekamu risku vadības integrāciju, nevienmērīgu pieeju procesu organizācijai un ierobežotu kapacitāti, kā arī nepietiekamu iekšējo uzraudzību un normatīvo prasību konsekventu ieviešanu praksē.</w:t>
      </w:r>
    </w:p>
    <w:p w14:paraId="1F4D0540" w14:textId="77777777" w:rsidR="00FD5B9F" w:rsidRDefault="00FD5B9F" w:rsidP="001E1CD3">
      <w:pPr>
        <w:spacing w:after="0" w:line="240" w:lineRule="auto"/>
        <w:jc w:val="both"/>
        <w:rPr>
          <w:rFonts w:ascii="Times New Roman" w:hAnsi="Times New Roman" w:cs="Times New Roman"/>
          <w:sz w:val="24"/>
          <w:szCs w:val="24"/>
        </w:rPr>
      </w:pPr>
    </w:p>
    <w:tbl>
      <w:tblPr>
        <w:tblpPr w:leftFromText="180" w:rightFromText="180" w:vertAnchor="tex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5"/>
      </w:tblGrid>
      <w:tr w:rsidR="00CC2640" w:rsidRPr="00791CE2" w14:paraId="5275DF2F" w14:textId="77777777" w:rsidTr="002B553E">
        <w:trPr>
          <w:gridAfter w:val="1"/>
          <w:tblHeader/>
          <w:tblCellSpacing w:w="15" w:type="dxa"/>
        </w:trPr>
        <w:tc>
          <w:tcPr>
            <w:tcW w:w="0" w:type="auto"/>
            <w:vAlign w:val="center"/>
            <w:hideMark/>
          </w:tcPr>
          <w:p w14:paraId="7D271882" w14:textId="77777777" w:rsidR="00CC2640" w:rsidRPr="00791CE2" w:rsidRDefault="00CC2640" w:rsidP="002B553E">
            <w:pPr>
              <w:spacing w:after="0" w:line="240" w:lineRule="auto"/>
              <w:ind w:firstLine="360"/>
              <w:jc w:val="both"/>
              <w:rPr>
                <w:rFonts w:ascii="Times New Roman" w:hAnsi="Times New Roman" w:cs="Times New Roman"/>
                <w:sz w:val="24"/>
                <w:szCs w:val="24"/>
              </w:rPr>
            </w:pPr>
          </w:p>
        </w:tc>
      </w:tr>
      <w:tr w:rsidR="003B20CC" w:rsidRPr="000C68B6" w14:paraId="4D74F5C3" w14:textId="77777777" w:rsidTr="002B553E">
        <w:trPr>
          <w:tblCellSpacing w:w="15" w:type="dxa"/>
        </w:trPr>
        <w:tc>
          <w:tcPr>
            <w:tcW w:w="0" w:type="auto"/>
            <w:gridSpan w:val="2"/>
            <w:vAlign w:val="center"/>
            <w:hideMark/>
          </w:tcPr>
          <w:p w14:paraId="4B2D1315" w14:textId="78BCBBB5" w:rsidR="003B20CC" w:rsidRPr="000C68B6" w:rsidRDefault="003B20CC" w:rsidP="002B553E">
            <w:pPr>
              <w:spacing w:after="0" w:line="240" w:lineRule="auto"/>
              <w:rPr>
                <w:b/>
                <w:bCs/>
              </w:rPr>
            </w:pPr>
          </w:p>
        </w:tc>
      </w:tr>
      <w:tr w:rsidR="003B20CC" w:rsidRPr="000C68B6" w14:paraId="6DCD9F55" w14:textId="77777777" w:rsidTr="002B553E">
        <w:trPr>
          <w:tblCellSpacing w:w="15" w:type="dxa"/>
        </w:trPr>
        <w:tc>
          <w:tcPr>
            <w:tcW w:w="0" w:type="auto"/>
            <w:gridSpan w:val="2"/>
            <w:vAlign w:val="center"/>
          </w:tcPr>
          <w:p w14:paraId="653B3A8A" w14:textId="77777777" w:rsidR="003B20CC" w:rsidRPr="000C68B6" w:rsidRDefault="003B20CC" w:rsidP="002B553E">
            <w:pPr>
              <w:spacing w:after="0" w:line="240" w:lineRule="auto"/>
              <w:rPr>
                <w:rFonts w:ascii="Segoe UI Emoji" w:hAnsi="Segoe UI Emoji" w:cs="Segoe UI Emoji"/>
                <w:b/>
                <w:bCs/>
              </w:rPr>
            </w:pPr>
          </w:p>
        </w:tc>
      </w:tr>
    </w:tbl>
    <w:p w14:paraId="32BB9248" w14:textId="77777777" w:rsidR="00DF7FE7" w:rsidRDefault="00DF7FE7" w:rsidP="00FD5B9F">
      <w:pPr>
        <w:spacing w:after="0" w:line="240" w:lineRule="auto"/>
        <w:jc w:val="center"/>
        <w:rPr>
          <w:rFonts w:ascii="Times New Roman" w:hAnsi="Times New Roman" w:cs="Times New Roman"/>
          <w:b/>
          <w:bCs/>
          <w:sz w:val="24"/>
          <w:szCs w:val="24"/>
        </w:rPr>
      </w:pPr>
    </w:p>
    <w:p w14:paraId="7EC5AC95" w14:textId="76826341" w:rsidR="002B553E" w:rsidRPr="005772DA" w:rsidRDefault="00E935D0" w:rsidP="00DF7FE7">
      <w:pPr>
        <w:spacing w:after="0" w:line="240" w:lineRule="auto"/>
        <w:jc w:val="center"/>
        <w:rPr>
          <w:rFonts w:ascii="Times New Roman" w:hAnsi="Times New Roman" w:cs="Times New Roman"/>
          <w:b/>
          <w:bCs/>
          <w:caps/>
          <w:sz w:val="24"/>
          <w:szCs w:val="24"/>
        </w:rPr>
      </w:pPr>
      <w:r w:rsidRPr="005772DA">
        <w:rPr>
          <w:rFonts w:ascii="Times New Roman" w:hAnsi="Times New Roman" w:cs="Times New Roman"/>
          <w:b/>
          <w:bCs/>
          <w:caps/>
          <w:sz w:val="24"/>
          <w:szCs w:val="24"/>
        </w:rPr>
        <w:t>IKT drošības pārvaldības jomu kopsavilkuma novērtējums</w:t>
      </w:r>
    </w:p>
    <w:p w14:paraId="12AE5A51" w14:textId="77777777" w:rsidR="00FD5B9F" w:rsidRPr="00BD206A" w:rsidRDefault="00FD5B9F" w:rsidP="00FD5B9F">
      <w:pPr>
        <w:spacing w:after="0" w:line="240" w:lineRule="auto"/>
        <w:jc w:val="center"/>
        <w:rPr>
          <w:rFonts w:ascii="Times New Roman" w:hAnsi="Times New Roman" w:cs="Times New Roman"/>
          <w:b/>
          <w:bCs/>
          <w:sz w:val="24"/>
          <w:szCs w:val="24"/>
        </w:rPr>
      </w:pPr>
    </w:p>
    <w:p w14:paraId="299B65CA" w14:textId="76F7F10C" w:rsidR="00E935D0" w:rsidRPr="00BD206A" w:rsidRDefault="00E935D0" w:rsidP="000D3812">
      <w:pPr>
        <w:pStyle w:val="ListParagraph"/>
        <w:numPr>
          <w:ilvl w:val="0"/>
          <w:numId w:val="1"/>
        </w:numPr>
        <w:spacing w:after="0" w:line="240" w:lineRule="auto"/>
        <w:rPr>
          <w:rFonts w:ascii="Times New Roman" w:hAnsi="Times New Roman" w:cs="Times New Roman"/>
          <w:b/>
          <w:bCs/>
          <w:sz w:val="24"/>
          <w:szCs w:val="24"/>
        </w:rPr>
      </w:pPr>
      <w:r w:rsidRPr="00BD206A">
        <w:rPr>
          <w:rFonts w:ascii="Times New Roman" w:hAnsi="Times New Roman" w:cs="Times New Roman"/>
          <w:b/>
          <w:bCs/>
          <w:sz w:val="24"/>
          <w:szCs w:val="24"/>
        </w:rPr>
        <w:t>IKT stratēģiskā pārvaldība un organizatoriskā vide</w:t>
      </w:r>
    </w:p>
    <w:p w14:paraId="7FFFB41D" w14:textId="77777777" w:rsidR="00913541" w:rsidRDefault="00913541" w:rsidP="001E1CD3">
      <w:pPr>
        <w:pStyle w:val="NormalWeb"/>
        <w:spacing w:before="0" w:beforeAutospacing="0" w:after="0" w:afterAutospacing="0"/>
        <w:ind w:firstLine="360"/>
        <w:jc w:val="both"/>
      </w:pPr>
    </w:p>
    <w:p w14:paraId="27A0601F" w14:textId="39795D5E" w:rsidR="00FD5B9F" w:rsidRPr="001E1CD3" w:rsidRDefault="00F30CA6" w:rsidP="001E1CD3">
      <w:pPr>
        <w:pStyle w:val="NormalWeb"/>
        <w:spacing w:before="0" w:beforeAutospacing="0" w:after="0" w:afterAutospacing="0"/>
        <w:ind w:firstLine="360"/>
        <w:jc w:val="both"/>
      </w:pPr>
      <w:r w:rsidRPr="00F30CA6">
        <w:t xml:space="preserve">Šajā tematiskajā blokā apkopoti audita rezultāti par IKT drošības pārvaldības pamatelementiem, kas raksturo institūciju spēju nodrošināt informācijas sistēmu drošu un nepārtrauktu darbību. Bloks ietver organizatorisko atbildību un pārvaldību, drošības procesu </w:t>
      </w:r>
      <w:r w:rsidRPr="00F30CA6">
        <w:lastRenderedPageBreak/>
        <w:t xml:space="preserve">īstenošanu, darbinieku kompetenci </w:t>
      </w:r>
      <w:proofErr w:type="spellStart"/>
      <w:r w:rsidRPr="00F30CA6">
        <w:t>kiberdrošības</w:t>
      </w:r>
      <w:proofErr w:type="spellEnd"/>
      <w:r w:rsidRPr="00F30CA6">
        <w:t xml:space="preserve"> jomā, kā arī informācijas sistēmu dzīves cikla vadību.</w:t>
      </w:r>
    </w:p>
    <w:p w14:paraId="0E47A72A" w14:textId="77777777" w:rsidR="005313DC" w:rsidRDefault="00BC4369" w:rsidP="005313DC">
      <w:r w:rsidRPr="00B05411">
        <w:rPr>
          <w:rFonts w:ascii="Calibri" w:eastAsia="Times New Roman" w:hAnsi="Calibri" w:cs="Calibri"/>
          <w:b/>
          <w:bCs/>
          <w:noProof/>
          <w:sz w:val="20"/>
          <w:szCs w:val="20"/>
          <w:lang w:eastAsia="lv-LV"/>
        </w:rPr>
        <w:drawing>
          <wp:inline distT="0" distB="0" distL="0" distR="0" wp14:anchorId="33E327AE" wp14:editId="64C8F6BF">
            <wp:extent cx="5777865" cy="1866900"/>
            <wp:effectExtent l="0" t="0" r="0" b="0"/>
            <wp:docPr id="13436572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9F32928" w14:textId="77777777" w:rsidR="00225BBD" w:rsidRPr="00314149" w:rsidRDefault="00225BBD" w:rsidP="00225BBD">
      <w:pPr>
        <w:spacing w:after="0" w:line="240" w:lineRule="auto"/>
        <w:ind w:firstLine="720"/>
        <w:jc w:val="center"/>
        <w:rPr>
          <w:rFonts w:ascii="Times New Roman" w:eastAsia="Times New Roman" w:hAnsi="Times New Roman" w:cs="Times New Roman"/>
          <w:i/>
          <w:iCs/>
          <w:sz w:val="24"/>
          <w:szCs w:val="24"/>
          <w:lang w:eastAsia="lv-LV"/>
          <w14:ligatures w14:val="none"/>
        </w:rPr>
      </w:pPr>
      <w:r w:rsidRPr="00314149">
        <w:rPr>
          <w:rFonts w:ascii="Times New Roman" w:eastAsia="Times New Roman" w:hAnsi="Times New Roman" w:cs="Times New Roman"/>
          <w:i/>
          <w:iCs/>
          <w:sz w:val="24"/>
          <w:szCs w:val="24"/>
          <w:lang w:eastAsia="lv-LV"/>
          <w14:ligatures w14:val="none"/>
        </w:rPr>
        <w:t>1.attēls. IKT pārvaldības iekšējo kontroļu novērtējums</w:t>
      </w:r>
    </w:p>
    <w:p w14:paraId="5742FDCD" w14:textId="77777777" w:rsidR="00225BBD" w:rsidRDefault="00225BBD" w:rsidP="005313DC">
      <w:pPr>
        <w:spacing w:after="0" w:line="240" w:lineRule="auto"/>
        <w:ind w:firstLine="720"/>
        <w:jc w:val="both"/>
        <w:rPr>
          <w:rFonts w:ascii="Times New Roman" w:eastAsia="Times New Roman" w:hAnsi="Times New Roman" w:cs="Times New Roman"/>
          <w:sz w:val="24"/>
          <w:szCs w:val="24"/>
          <w:lang w:eastAsia="lv-LV"/>
          <w14:ligatures w14:val="none"/>
        </w:rPr>
      </w:pPr>
    </w:p>
    <w:p w14:paraId="6B4CCA12" w14:textId="18142102" w:rsidR="00432695" w:rsidRDefault="005313DC" w:rsidP="005313DC">
      <w:pPr>
        <w:spacing w:after="0" w:line="240" w:lineRule="auto"/>
        <w:ind w:firstLine="720"/>
        <w:jc w:val="both"/>
        <w:rPr>
          <w:rFonts w:ascii="Times New Roman" w:hAnsi="Times New Roman" w:cs="Times New Roman"/>
        </w:rPr>
      </w:pPr>
      <w:r w:rsidRPr="005313DC">
        <w:rPr>
          <w:rFonts w:ascii="Times New Roman" w:eastAsia="Times New Roman" w:hAnsi="Times New Roman" w:cs="Times New Roman"/>
          <w:sz w:val="24"/>
          <w:szCs w:val="24"/>
          <w:lang w:eastAsia="lv-LV"/>
          <w14:ligatures w14:val="none"/>
        </w:rPr>
        <w:t>IKT pārvaldības blokā novērtējumi ir samērā līdzsvaroti, tomēr lielāko īpatsvaru veido nepietiekami efektīvi novērtējumi (aptuveni 3</w:t>
      </w:r>
      <w:r w:rsidR="00E076C4">
        <w:rPr>
          <w:rFonts w:ascii="Times New Roman" w:eastAsia="Times New Roman" w:hAnsi="Times New Roman" w:cs="Times New Roman"/>
          <w:sz w:val="24"/>
          <w:szCs w:val="24"/>
          <w:lang w:eastAsia="lv-LV"/>
          <w14:ligatures w14:val="none"/>
        </w:rPr>
        <w:t>4</w:t>
      </w:r>
      <w:r w:rsidRPr="005313DC">
        <w:rPr>
          <w:rFonts w:ascii="Times New Roman" w:eastAsia="Times New Roman" w:hAnsi="Times New Roman" w:cs="Times New Roman"/>
          <w:sz w:val="24"/>
          <w:szCs w:val="24"/>
          <w:lang w:eastAsia="lv-LV"/>
          <w14:ligatures w14:val="none"/>
        </w:rPr>
        <w:t>%), kas norāda uz nepieciešamību turpināt pilnveidot iekšējās kontroles sistēmu un tās praktisko piemērošanu.</w:t>
      </w:r>
      <w:r>
        <w:rPr>
          <w:rFonts w:ascii="Times New Roman" w:hAnsi="Times New Roman" w:cs="Times New Roman"/>
        </w:rPr>
        <w:t xml:space="preserve"> </w:t>
      </w:r>
    </w:p>
    <w:p w14:paraId="6A3434AA" w14:textId="77777777" w:rsidR="00432695" w:rsidRDefault="005313DC" w:rsidP="005313DC">
      <w:pPr>
        <w:spacing w:after="0" w:line="240" w:lineRule="auto"/>
        <w:ind w:firstLine="720"/>
        <w:jc w:val="both"/>
        <w:rPr>
          <w:rFonts w:ascii="Times New Roman" w:eastAsia="Times New Roman" w:hAnsi="Times New Roman" w:cs="Times New Roman"/>
          <w:sz w:val="24"/>
          <w:szCs w:val="24"/>
          <w:lang w:eastAsia="lv-LV"/>
          <w14:ligatures w14:val="none"/>
        </w:rPr>
      </w:pPr>
      <w:r w:rsidRPr="005313DC">
        <w:rPr>
          <w:rFonts w:ascii="Times New Roman" w:eastAsia="Times New Roman" w:hAnsi="Times New Roman" w:cs="Times New Roman"/>
          <w:sz w:val="24"/>
          <w:szCs w:val="24"/>
          <w:lang w:eastAsia="lv-LV"/>
          <w14:ligatures w14:val="none"/>
        </w:rPr>
        <w:t xml:space="preserve">Vienlaikus nozīmīga daļa novērtējumu ir efektīvi un pietiekami efektīvi, kas apliecina, ka institūcijās ir izveidoti </w:t>
      </w:r>
      <w:proofErr w:type="spellStart"/>
      <w:r w:rsidRPr="005313DC">
        <w:rPr>
          <w:rFonts w:ascii="Times New Roman" w:eastAsia="Times New Roman" w:hAnsi="Times New Roman" w:cs="Times New Roman"/>
          <w:sz w:val="24"/>
          <w:szCs w:val="24"/>
          <w:lang w:eastAsia="lv-LV"/>
          <w14:ligatures w14:val="none"/>
        </w:rPr>
        <w:t>pamatmehānismi</w:t>
      </w:r>
      <w:proofErr w:type="spellEnd"/>
      <w:r w:rsidRPr="005313DC">
        <w:rPr>
          <w:rFonts w:ascii="Times New Roman" w:eastAsia="Times New Roman" w:hAnsi="Times New Roman" w:cs="Times New Roman"/>
          <w:sz w:val="24"/>
          <w:szCs w:val="24"/>
          <w:lang w:eastAsia="lv-LV"/>
          <w14:ligatures w14:val="none"/>
        </w:rPr>
        <w:t xml:space="preserve"> IKT drošības pārvaldībai, tomēr to brieduma līmenis vēl nav vienmērīgs.</w:t>
      </w:r>
    </w:p>
    <w:p w14:paraId="74EE29AB" w14:textId="7BF1115E" w:rsidR="005313DC" w:rsidRPr="005313DC" w:rsidRDefault="005313DC" w:rsidP="005313DC">
      <w:pPr>
        <w:spacing w:after="0" w:line="240" w:lineRule="auto"/>
        <w:ind w:firstLine="720"/>
        <w:jc w:val="both"/>
        <w:rPr>
          <w:rFonts w:ascii="Times New Roman" w:hAnsi="Times New Roman" w:cs="Times New Roman"/>
        </w:rPr>
      </w:pPr>
      <w:r>
        <w:rPr>
          <w:rFonts w:ascii="Times New Roman" w:hAnsi="Times New Roman" w:cs="Times New Roman"/>
        </w:rPr>
        <w:t xml:space="preserve"> </w:t>
      </w:r>
      <w:r w:rsidRPr="005313DC">
        <w:rPr>
          <w:rFonts w:ascii="Times New Roman" w:eastAsia="Times New Roman" w:hAnsi="Times New Roman" w:cs="Times New Roman"/>
          <w:sz w:val="24"/>
          <w:szCs w:val="24"/>
          <w:lang w:eastAsia="lv-LV"/>
          <w14:ligatures w14:val="none"/>
        </w:rPr>
        <w:t>Neefektīvi novērtējumi konstatēti nelielā apjomā (aptuveni 2%), savukārt atsevišķos gadījumos novērtējums nav veikts</w:t>
      </w:r>
      <w:r w:rsidR="00263F7D">
        <w:rPr>
          <w:rFonts w:ascii="Times New Roman" w:eastAsia="Times New Roman" w:hAnsi="Times New Roman" w:cs="Times New Roman"/>
          <w:sz w:val="24"/>
          <w:szCs w:val="24"/>
          <w:lang w:eastAsia="lv-LV"/>
          <w14:ligatures w14:val="none"/>
        </w:rPr>
        <w:t>, vai nebija attiecināms</w:t>
      </w:r>
      <w:r w:rsidRPr="005313DC">
        <w:rPr>
          <w:rFonts w:ascii="Times New Roman" w:eastAsia="Times New Roman" w:hAnsi="Times New Roman" w:cs="Times New Roman"/>
          <w:sz w:val="24"/>
          <w:szCs w:val="24"/>
          <w:lang w:eastAsia="lv-LV"/>
          <w14:ligatures w14:val="none"/>
        </w:rPr>
        <w:t xml:space="preserve">, kas var </w:t>
      </w:r>
      <w:r w:rsidR="00263F7D">
        <w:rPr>
          <w:rFonts w:ascii="Times New Roman" w:eastAsia="Times New Roman" w:hAnsi="Times New Roman" w:cs="Times New Roman"/>
          <w:sz w:val="24"/>
          <w:szCs w:val="24"/>
          <w:lang w:eastAsia="lv-LV"/>
          <w14:ligatures w14:val="none"/>
        </w:rPr>
        <w:t xml:space="preserve">arī </w:t>
      </w:r>
      <w:r w:rsidRPr="005313DC">
        <w:rPr>
          <w:rFonts w:ascii="Times New Roman" w:eastAsia="Times New Roman" w:hAnsi="Times New Roman" w:cs="Times New Roman"/>
          <w:sz w:val="24"/>
          <w:szCs w:val="24"/>
          <w:lang w:eastAsia="lv-LV"/>
          <w14:ligatures w14:val="none"/>
        </w:rPr>
        <w:t>liecināt par nepilnībām kontroles mehānismu ieviešanā vai dokumentēšanā.</w:t>
      </w:r>
    </w:p>
    <w:p w14:paraId="708B003C" w14:textId="2A553127" w:rsidR="005313DC" w:rsidRPr="00F572FB" w:rsidRDefault="005313DC" w:rsidP="00F572FB">
      <w:pPr>
        <w:spacing w:after="0" w:line="240" w:lineRule="auto"/>
        <w:ind w:firstLine="360"/>
        <w:jc w:val="both"/>
        <w:rPr>
          <w:rFonts w:ascii="Times New Roman" w:eastAsia="Times New Roman" w:hAnsi="Times New Roman" w:cs="Times New Roman"/>
          <w:sz w:val="24"/>
          <w:szCs w:val="24"/>
          <w:lang w:eastAsia="lv-LV"/>
          <w14:ligatures w14:val="none"/>
        </w:rPr>
      </w:pPr>
      <w:r w:rsidRPr="00F572FB">
        <w:rPr>
          <w:rFonts w:ascii="Times New Roman" w:eastAsia="Times New Roman" w:hAnsi="Times New Roman" w:cs="Times New Roman"/>
          <w:sz w:val="24"/>
          <w:szCs w:val="24"/>
          <w:lang w:eastAsia="lv-LV"/>
          <w14:ligatures w14:val="none"/>
        </w:rPr>
        <w:t>Rezultātu izkliede starp jomām liecina, ka</w:t>
      </w:r>
      <w:r w:rsidR="00F572FB" w:rsidRPr="00F572FB">
        <w:rPr>
          <w:rFonts w:ascii="Times New Roman" w:eastAsia="Times New Roman" w:hAnsi="Times New Roman" w:cs="Times New Roman"/>
          <w:sz w:val="24"/>
          <w:szCs w:val="24"/>
          <w:lang w:eastAsia="lv-LV"/>
          <w14:ligatures w14:val="none"/>
        </w:rPr>
        <w:t xml:space="preserve"> </w:t>
      </w:r>
      <w:r w:rsidRPr="00F572FB">
        <w:rPr>
          <w:rFonts w:ascii="Times New Roman" w:eastAsia="Times New Roman" w:hAnsi="Times New Roman" w:cs="Times New Roman"/>
          <w:sz w:val="24"/>
          <w:szCs w:val="24"/>
          <w:lang w:eastAsia="lv-LV"/>
          <w14:ligatures w14:val="none"/>
        </w:rPr>
        <w:t xml:space="preserve">nepietiekami efektīvie novērtējumi ir relatīvi vienmērīgi sadalīti, kas norāda uz horizontālām, sistēmiskām nepilnībām vairākās jomās; efektīvo novērtējumu izkliede ir izteiktāka, kas liecina par atšķirīgu brieduma līmeni starp institūcijām un konkrētajām pārvaldības jomām. </w:t>
      </w:r>
    </w:p>
    <w:p w14:paraId="77BF9168" w14:textId="77777777" w:rsidR="00432695" w:rsidRDefault="00432695" w:rsidP="00432695">
      <w:pPr>
        <w:spacing w:after="0"/>
        <w:jc w:val="both"/>
        <w:rPr>
          <w:rFonts w:ascii="Times New Roman" w:eastAsia="Times New Roman" w:hAnsi="Times New Roman" w:cs="Times New Roman"/>
          <w:b/>
          <w:bCs/>
          <w:sz w:val="24"/>
          <w:szCs w:val="24"/>
          <w:lang w:eastAsia="lv-LV"/>
          <w14:ligatures w14:val="none"/>
        </w:rPr>
      </w:pPr>
    </w:p>
    <w:p w14:paraId="0D9E341B" w14:textId="60CEC745" w:rsidR="00A83924" w:rsidRPr="00432695" w:rsidRDefault="00A83924" w:rsidP="00432695">
      <w:pPr>
        <w:spacing w:after="0"/>
        <w:jc w:val="both"/>
        <w:rPr>
          <w:rFonts w:ascii="Times New Roman" w:eastAsia="Times New Roman" w:hAnsi="Times New Roman" w:cs="Times New Roman"/>
          <w:sz w:val="24"/>
          <w:szCs w:val="24"/>
          <w:lang w:eastAsia="lv-LV"/>
          <w14:ligatures w14:val="none"/>
        </w:rPr>
      </w:pPr>
      <w:r w:rsidRPr="00432695">
        <w:rPr>
          <w:rFonts w:ascii="Times New Roman" w:eastAsia="Times New Roman" w:hAnsi="Times New Roman" w:cs="Times New Roman"/>
          <w:b/>
          <w:bCs/>
          <w:sz w:val="24"/>
          <w:szCs w:val="24"/>
          <w:lang w:eastAsia="lv-LV"/>
          <w14:ligatures w14:val="none"/>
        </w:rPr>
        <w:t>Secinājumi</w:t>
      </w:r>
    </w:p>
    <w:p w14:paraId="642A5971" w14:textId="77777777" w:rsidR="00432695" w:rsidRPr="00432695" w:rsidRDefault="00432695" w:rsidP="00432695">
      <w:pPr>
        <w:spacing w:after="0" w:line="240" w:lineRule="auto"/>
        <w:ind w:firstLine="720"/>
        <w:jc w:val="both"/>
        <w:rPr>
          <w:rFonts w:ascii="Times New Roman" w:eastAsia="Times New Roman" w:hAnsi="Times New Roman" w:cs="Times New Roman"/>
          <w:sz w:val="24"/>
          <w:szCs w:val="24"/>
          <w:lang w:eastAsia="lv-LV"/>
          <w14:ligatures w14:val="none"/>
        </w:rPr>
      </w:pPr>
      <w:r w:rsidRPr="00432695">
        <w:rPr>
          <w:rFonts w:ascii="Times New Roman" w:eastAsia="Times New Roman" w:hAnsi="Times New Roman" w:cs="Times New Roman"/>
          <w:sz w:val="24"/>
          <w:szCs w:val="24"/>
          <w:lang w:eastAsia="lv-LV"/>
          <w14:ligatures w14:val="none"/>
        </w:rPr>
        <w:t xml:space="preserve">Organizatoriskajā vidē un informācijas sistēmu dzīves cikla vadībā dominē nepietiekami efektīvi novērtējumi, kas norāda uz nepieciešamību stiprināt pārvaldības un kontroles mehānismus. Drošības procesu pārvaldībā dominē pietiekami efektīvi novērtējumi, kas apliecina </w:t>
      </w:r>
      <w:proofErr w:type="spellStart"/>
      <w:r w:rsidRPr="00432695">
        <w:rPr>
          <w:rFonts w:ascii="Times New Roman" w:eastAsia="Times New Roman" w:hAnsi="Times New Roman" w:cs="Times New Roman"/>
          <w:sz w:val="24"/>
          <w:szCs w:val="24"/>
          <w:lang w:eastAsia="lv-LV"/>
          <w14:ligatures w14:val="none"/>
        </w:rPr>
        <w:t>pamatprocesu</w:t>
      </w:r>
      <w:proofErr w:type="spellEnd"/>
      <w:r w:rsidRPr="00432695">
        <w:rPr>
          <w:rFonts w:ascii="Times New Roman" w:eastAsia="Times New Roman" w:hAnsi="Times New Roman" w:cs="Times New Roman"/>
          <w:sz w:val="24"/>
          <w:szCs w:val="24"/>
          <w:lang w:eastAsia="lv-LV"/>
          <w14:ligatures w14:val="none"/>
        </w:rPr>
        <w:t xml:space="preserve"> esamību, vienlaikus iezīmējot nepieciešamību nodrošināt to pilnveidi un konsekventu piemērošanu. Apmācību un zināšanu pārbaudes jomā dominē efektīvi novērtējumi, kas liecina par augstāku brieduma līmeni personāla kompetenču nodrošināšanā.</w:t>
      </w:r>
    </w:p>
    <w:p w14:paraId="47B6247C" w14:textId="77777777" w:rsidR="00432695" w:rsidRPr="00432695" w:rsidRDefault="00432695" w:rsidP="00432695">
      <w:pPr>
        <w:spacing w:after="0" w:line="240" w:lineRule="auto"/>
        <w:ind w:firstLine="720"/>
        <w:jc w:val="both"/>
        <w:rPr>
          <w:rFonts w:ascii="Times New Roman" w:eastAsia="Times New Roman" w:hAnsi="Times New Roman" w:cs="Times New Roman"/>
          <w:sz w:val="24"/>
          <w:szCs w:val="24"/>
          <w:lang w:eastAsia="lv-LV"/>
          <w14:ligatures w14:val="none"/>
        </w:rPr>
      </w:pPr>
      <w:r w:rsidRPr="00432695">
        <w:rPr>
          <w:rFonts w:ascii="Times New Roman" w:eastAsia="Times New Roman" w:hAnsi="Times New Roman" w:cs="Times New Roman"/>
          <w:sz w:val="24"/>
          <w:szCs w:val="24"/>
          <w:lang w:eastAsia="lv-LV"/>
          <w14:ligatures w14:val="none"/>
        </w:rPr>
        <w:t xml:space="preserve">IKT drošības pārvaldības </w:t>
      </w:r>
      <w:proofErr w:type="spellStart"/>
      <w:r w:rsidRPr="00432695">
        <w:rPr>
          <w:rFonts w:ascii="Times New Roman" w:eastAsia="Times New Roman" w:hAnsi="Times New Roman" w:cs="Times New Roman"/>
          <w:sz w:val="24"/>
          <w:szCs w:val="24"/>
          <w:lang w:eastAsia="lv-LV"/>
          <w14:ligatures w14:val="none"/>
        </w:rPr>
        <w:t>pamatkontroles</w:t>
      </w:r>
      <w:proofErr w:type="spellEnd"/>
      <w:r w:rsidRPr="00432695">
        <w:rPr>
          <w:rFonts w:ascii="Times New Roman" w:eastAsia="Times New Roman" w:hAnsi="Times New Roman" w:cs="Times New Roman"/>
          <w:sz w:val="24"/>
          <w:szCs w:val="24"/>
          <w:lang w:eastAsia="lv-LV"/>
          <w14:ligatures w14:val="none"/>
        </w:rPr>
        <w:t xml:space="preserve"> institūcijās ir izveidotas, tomēr to brieduma līmenis un praktiskā piemērošana ir nevienmērīga. Neskatoties uz relatīvi līdzsvarotu novērtējumu sadalījumu, nepietiekami efektīvo novērtējumu īpatsvars saglabājas augstākais, kas norāda uz nepieciešamību sistemātiski stiprināt iekšējās kontroles sistēmu un uzlabot tās ieviešanas uzraudzību.</w:t>
      </w:r>
    </w:p>
    <w:p w14:paraId="1F94FB4E" w14:textId="6A8574AC" w:rsidR="005313DC" w:rsidRPr="00432695" w:rsidRDefault="00432695" w:rsidP="00432695">
      <w:pPr>
        <w:spacing w:after="0" w:line="240" w:lineRule="auto"/>
        <w:ind w:firstLine="360"/>
        <w:jc w:val="both"/>
        <w:rPr>
          <w:rFonts w:ascii="Times New Roman" w:eastAsia="Times New Roman" w:hAnsi="Times New Roman" w:cs="Times New Roman"/>
          <w:sz w:val="24"/>
          <w:szCs w:val="24"/>
          <w:lang w:eastAsia="lv-LV"/>
          <w14:ligatures w14:val="none"/>
        </w:rPr>
      </w:pPr>
      <w:r w:rsidRPr="00432695">
        <w:rPr>
          <w:rFonts w:ascii="Times New Roman" w:eastAsia="Times New Roman" w:hAnsi="Times New Roman" w:cs="Times New Roman"/>
          <w:sz w:val="24"/>
          <w:szCs w:val="24"/>
          <w:lang w:eastAsia="lv-LV"/>
          <w14:ligatures w14:val="none"/>
        </w:rPr>
        <w:t>Konstatētās nepilnības ir sistemātiskas un galvenokārt saistītas ar nepietiekamu atbildību un funkciju nodalījuma skaidrību, formālu vai nepietiekami aktualizētu regulējumu, nepietiekamu risku pārvaldību, kā arī nevienmērīgu drošības prasību integrāciju informācijas sistēmu pārvaldībā.</w:t>
      </w:r>
    </w:p>
    <w:p w14:paraId="56C33D62" w14:textId="77777777" w:rsidR="00D90116" w:rsidRDefault="00D90116" w:rsidP="005313DC">
      <w:pPr>
        <w:pStyle w:val="ListParagraph"/>
        <w:spacing w:after="0" w:line="240" w:lineRule="auto"/>
        <w:jc w:val="both"/>
        <w:rPr>
          <w:rFonts w:ascii="Times New Roman" w:hAnsi="Times New Roman" w:cs="Times New Roman"/>
          <w:b/>
          <w:bCs/>
          <w:sz w:val="24"/>
          <w:szCs w:val="24"/>
        </w:rPr>
      </w:pPr>
    </w:p>
    <w:p w14:paraId="16282E1C" w14:textId="77777777" w:rsidR="00237215" w:rsidRDefault="00237215" w:rsidP="005313DC">
      <w:pPr>
        <w:pStyle w:val="ListParagraph"/>
        <w:spacing w:after="0" w:line="240" w:lineRule="auto"/>
        <w:jc w:val="both"/>
        <w:rPr>
          <w:rFonts w:ascii="Times New Roman" w:hAnsi="Times New Roman" w:cs="Times New Roman"/>
          <w:b/>
          <w:bCs/>
          <w:sz w:val="24"/>
          <w:szCs w:val="24"/>
        </w:rPr>
      </w:pPr>
    </w:p>
    <w:p w14:paraId="25577737" w14:textId="77777777" w:rsidR="00237215" w:rsidRDefault="00237215" w:rsidP="005313DC">
      <w:pPr>
        <w:pStyle w:val="ListParagraph"/>
        <w:spacing w:after="0" w:line="240" w:lineRule="auto"/>
        <w:jc w:val="both"/>
        <w:rPr>
          <w:rFonts w:ascii="Times New Roman" w:hAnsi="Times New Roman" w:cs="Times New Roman"/>
          <w:b/>
          <w:bCs/>
          <w:sz w:val="24"/>
          <w:szCs w:val="24"/>
        </w:rPr>
      </w:pPr>
    </w:p>
    <w:p w14:paraId="05EB17AE" w14:textId="77777777" w:rsidR="00D90116" w:rsidRPr="005313DC" w:rsidRDefault="00E935D0" w:rsidP="000D3812">
      <w:pPr>
        <w:pStyle w:val="ListParagraph"/>
        <w:numPr>
          <w:ilvl w:val="0"/>
          <w:numId w:val="1"/>
        </w:numPr>
        <w:spacing w:after="0" w:line="240" w:lineRule="auto"/>
        <w:jc w:val="both"/>
        <w:rPr>
          <w:rFonts w:ascii="Times New Roman" w:hAnsi="Times New Roman" w:cs="Times New Roman"/>
          <w:b/>
          <w:bCs/>
          <w:sz w:val="24"/>
          <w:szCs w:val="24"/>
        </w:rPr>
      </w:pPr>
      <w:r w:rsidRPr="005313DC">
        <w:rPr>
          <w:rFonts w:ascii="Times New Roman" w:hAnsi="Times New Roman" w:cs="Times New Roman"/>
          <w:b/>
          <w:bCs/>
          <w:sz w:val="24"/>
          <w:szCs w:val="24"/>
        </w:rPr>
        <w:t>Tehniskā infrastruktūra un fiziskā drošība</w:t>
      </w:r>
    </w:p>
    <w:p w14:paraId="00EBC812" w14:textId="77777777" w:rsidR="00913541" w:rsidRDefault="00913541" w:rsidP="005313DC">
      <w:pPr>
        <w:spacing w:after="0" w:line="240" w:lineRule="auto"/>
        <w:ind w:firstLine="360"/>
        <w:jc w:val="both"/>
        <w:rPr>
          <w:rFonts w:ascii="Times New Roman" w:eastAsia="Times New Roman" w:hAnsi="Times New Roman" w:cs="Times New Roman"/>
          <w:sz w:val="24"/>
          <w:szCs w:val="24"/>
          <w:lang w:eastAsia="lv-LV"/>
          <w14:ligatures w14:val="none"/>
        </w:rPr>
      </w:pPr>
    </w:p>
    <w:p w14:paraId="301144B0" w14:textId="6FE6B647" w:rsidR="006248E7" w:rsidRPr="005313DC" w:rsidRDefault="00D90116" w:rsidP="005313DC">
      <w:pPr>
        <w:spacing w:after="0" w:line="240" w:lineRule="auto"/>
        <w:ind w:firstLine="360"/>
        <w:jc w:val="both"/>
        <w:rPr>
          <w:rFonts w:ascii="Times New Roman" w:eastAsia="Times New Roman" w:hAnsi="Times New Roman" w:cs="Times New Roman"/>
          <w:sz w:val="24"/>
          <w:szCs w:val="24"/>
          <w:lang w:eastAsia="lv-LV"/>
          <w14:ligatures w14:val="none"/>
        </w:rPr>
      </w:pPr>
      <w:r w:rsidRPr="005313DC">
        <w:rPr>
          <w:rFonts w:ascii="Times New Roman" w:eastAsia="Times New Roman" w:hAnsi="Times New Roman" w:cs="Times New Roman"/>
          <w:sz w:val="24"/>
          <w:szCs w:val="24"/>
          <w:lang w:eastAsia="lv-LV"/>
          <w14:ligatures w14:val="none"/>
        </w:rPr>
        <w:t xml:space="preserve">Šajā tematiskajā blokā izvērtēta IKT tehniskās infrastruktūras un fiziskās drošības pārvaldība, tostarp datortīklu un serveru infrastruktūra, serveru telpu aizsardzība, portatīvo iekārtu un attālinātā darba drošība, kā arī </w:t>
      </w:r>
      <w:proofErr w:type="spellStart"/>
      <w:r w:rsidRPr="005313DC">
        <w:rPr>
          <w:rFonts w:ascii="Times New Roman" w:eastAsia="Times New Roman" w:hAnsi="Times New Roman" w:cs="Times New Roman"/>
          <w:sz w:val="24"/>
          <w:szCs w:val="24"/>
          <w:lang w:eastAsia="lv-LV"/>
          <w14:ligatures w14:val="none"/>
        </w:rPr>
        <w:t>mākoņdatošanas</w:t>
      </w:r>
      <w:proofErr w:type="spellEnd"/>
      <w:r w:rsidRPr="005313DC">
        <w:rPr>
          <w:rFonts w:ascii="Times New Roman" w:eastAsia="Times New Roman" w:hAnsi="Times New Roman" w:cs="Times New Roman"/>
          <w:sz w:val="24"/>
          <w:szCs w:val="24"/>
          <w:lang w:eastAsia="lv-LV"/>
          <w14:ligatures w14:val="none"/>
        </w:rPr>
        <w:t xml:space="preserve"> pakalpojumu izmantošana.</w:t>
      </w:r>
    </w:p>
    <w:p w14:paraId="19C05E08" w14:textId="77777777" w:rsidR="005552B6" w:rsidRDefault="005552B6" w:rsidP="005552B6">
      <w:pPr>
        <w:spacing w:after="0" w:line="240" w:lineRule="auto"/>
        <w:ind w:firstLine="360"/>
        <w:jc w:val="both"/>
        <w:rPr>
          <w:rFonts w:ascii="Times New Roman" w:eastAsia="Times New Roman" w:hAnsi="Times New Roman" w:cs="Times New Roman"/>
          <w:sz w:val="24"/>
          <w:szCs w:val="24"/>
          <w:lang w:eastAsia="lv-LV"/>
          <w14:ligatures w14:val="none"/>
        </w:rPr>
      </w:pPr>
    </w:p>
    <w:p w14:paraId="64CEBDEB" w14:textId="3AE7F1AF" w:rsidR="00502888" w:rsidRDefault="003D75A4" w:rsidP="00E935D0">
      <w:pPr>
        <w:rPr>
          <w:b/>
          <w:bCs/>
        </w:rPr>
      </w:pPr>
      <w:r w:rsidRPr="002A1F43">
        <w:rPr>
          <w:rFonts w:ascii="Calibri" w:eastAsia="Times New Roman" w:hAnsi="Calibri" w:cs="Calibri"/>
          <w:noProof/>
          <w:sz w:val="18"/>
          <w:szCs w:val="18"/>
          <w:lang w:eastAsia="lv-LV"/>
        </w:rPr>
        <w:drawing>
          <wp:inline distT="0" distB="0" distL="0" distR="0" wp14:anchorId="6F2F87AF" wp14:editId="1E3DC42F">
            <wp:extent cx="5530215" cy="2152650"/>
            <wp:effectExtent l="0" t="0" r="0" b="0"/>
            <wp:docPr id="185162473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BDD4CE3" w14:textId="0C92D01F" w:rsidR="00C545EB" w:rsidRPr="00314149" w:rsidRDefault="00C545EB" w:rsidP="00C60F1F">
      <w:pPr>
        <w:spacing w:after="0" w:line="240" w:lineRule="auto"/>
        <w:jc w:val="center"/>
        <w:rPr>
          <w:rFonts w:ascii="Times New Roman" w:eastAsia="Times New Roman" w:hAnsi="Times New Roman" w:cs="Times New Roman"/>
          <w:i/>
          <w:iCs/>
          <w:sz w:val="24"/>
          <w:szCs w:val="24"/>
          <w:lang w:eastAsia="lv-LV"/>
          <w14:ligatures w14:val="none"/>
        </w:rPr>
      </w:pPr>
      <w:r>
        <w:rPr>
          <w:rFonts w:ascii="Times New Roman" w:eastAsia="Times New Roman" w:hAnsi="Times New Roman" w:cs="Times New Roman"/>
          <w:i/>
          <w:iCs/>
          <w:sz w:val="24"/>
          <w:szCs w:val="24"/>
          <w:lang w:eastAsia="lv-LV"/>
          <w14:ligatures w14:val="none"/>
        </w:rPr>
        <w:t>2</w:t>
      </w:r>
      <w:r w:rsidRPr="00314149">
        <w:rPr>
          <w:rFonts w:ascii="Times New Roman" w:eastAsia="Times New Roman" w:hAnsi="Times New Roman" w:cs="Times New Roman"/>
          <w:i/>
          <w:iCs/>
          <w:sz w:val="24"/>
          <w:szCs w:val="24"/>
          <w:lang w:eastAsia="lv-LV"/>
          <w14:ligatures w14:val="none"/>
        </w:rPr>
        <w:t xml:space="preserve">.attēls. </w:t>
      </w:r>
      <w:r w:rsidR="005F321B">
        <w:rPr>
          <w:rFonts w:ascii="Times New Roman" w:eastAsia="Times New Roman" w:hAnsi="Times New Roman" w:cs="Times New Roman"/>
          <w:i/>
          <w:iCs/>
          <w:sz w:val="24"/>
          <w:szCs w:val="24"/>
          <w:lang w:eastAsia="lv-LV"/>
          <w14:ligatures w14:val="none"/>
        </w:rPr>
        <w:t>Tehniskās infrastruktūras un fiziskās drošības</w:t>
      </w:r>
      <w:r w:rsidRPr="00314149">
        <w:rPr>
          <w:rFonts w:ascii="Times New Roman" w:eastAsia="Times New Roman" w:hAnsi="Times New Roman" w:cs="Times New Roman"/>
          <w:i/>
          <w:iCs/>
          <w:sz w:val="24"/>
          <w:szCs w:val="24"/>
          <w:lang w:eastAsia="lv-LV"/>
          <w14:ligatures w14:val="none"/>
        </w:rPr>
        <w:t xml:space="preserve"> novērtējums</w:t>
      </w:r>
    </w:p>
    <w:p w14:paraId="0803F417" w14:textId="77777777" w:rsidR="00C545EB" w:rsidRDefault="00C545EB" w:rsidP="00303798">
      <w:pPr>
        <w:spacing w:after="0" w:line="240" w:lineRule="auto"/>
        <w:ind w:firstLine="720"/>
        <w:jc w:val="both"/>
        <w:rPr>
          <w:rFonts w:ascii="Times New Roman" w:eastAsia="Times New Roman" w:hAnsi="Times New Roman" w:cs="Times New Roman"/>
          <w:sz w:val="24"/>
          <w:szCs w:val="24"/>
          <w:lang w:eastAsia="lv-LV"/>
          <w14:ligatures w14:val="none"/>
        </w:rPr>
      </w:pPr>
    </w:p>
    <w:p w14:paraId="0A3188FB" w14:textId="0471422A" w:rsidR="00303798" w:rsidRPr="00303798" w:rsidRDefault="00303798" w:rsidP="00303798">
      <w:pPr>
        <w:spacing w:after="0" w:line="240" w:lineRule="auto"/>
        <w:ind w:firstLine="720"/>
        <w:jc w:val="both"/>
        <w:rPr>
          <w:rFonts w:ascii="Times New Roman" w:eastAsia="Times New Roman" w:hAnsi="Times New Roman" w:cs="Times New Roman"/>
          <w:sz w:val="24"/>
          <w:szCs w:val="24"/>
          <w:lang w:eastAsia="lv-LV"/>
          <w14:ligatures w14:val="none"/>
        </w:rPr>
      </w:pPr>
      <w:r w:rsidRPr="00303798">
        <w:rPr>
          <w:rFonts w:ascii="Times New Roman" w:eastAsia="Times New Roman" w:hAnsi="Times New Roman" w:cs="Times New Roman"/>
          <w:sz w:val="24"/>
          <w:szCs w:val="24"/>
          <w:lang w:eastAsia="lv-LV"/>
          <w14:ligatures w14:val="none"/>
        </w:rPr>
        <w:t xml:space="preserve">Tehniskās infrastruktūras un fiziskās drošības blokā dominē efektīvi novērtējumi, kas apliecina, ka tehniskās drošības </w:t>
      </w:r>
      <w:proofErr w:type="spellStart"/>
      <w:r w:rsidRPr="00303798">
        <w:rPr>
          <w:rFonts w:ascii="Times New Roman" w:eastAsia="Times New Roman" w:hAnsi="Times New Roman" w:cs="Times New Roman"/>
          <w:sz w:val="24"/>
          <w:szCs w:val="24"/>
          <w:lang w:eastAsia="lv-LV"/>
          <w14:ligatures w14:val="none"/>
        </w:rPr>
        <w:t>pamatkontroles</w:t>
      </w:r>
      <w:proofErr w:type="spellEnd"/>
      <w:r w:rsidRPr="00303798">
        <w:rPr>
          <w:rFonts w:ascii="Times New Roman" w:eastAsia="Times New Roman" w:hAnsi="Times New Roman" w:cs="Times New Roman"/>
          <w:sz w:val="24"/>
          <w:szCs w:val="24"/>
          <w:lang w:eastAsia="lv-LV"/>
          <w14:ligatures w14:val="none"/>
        </w:rPr>
        <w:t xml:space="preserve"> lielākajā daļā institūciju ir ieviestas.</w:t>
      </w:r>
    </w:p>
    <w:p w14:paraId="2960B3B7" w14:textId="34DE1A84" w:rsidR="00303798" w:rsidRPr="00303798" w:rsidRDefault="00303798" w:rsidP="00303798">
      <w:pPr>
        <w:spacing w:after="0" w:line="240" w:lineRule="auto"/>
        <w:ind w:firstLine="720"/>
        <w:jc w:val="both"/>
        <w:rPr>
          <w:rFonts w:ascii="Times New Roman" w:eastAsia="Times New Roman" w:hAnsi="Times New Roman" w:cs="Times New Roman"/>
          <w:sz w:val="24"/>
          <w:szCs w:val="24"/>
          <w:lang w:eastAsia="lv-LV"/>
          <w14:ligatures w14:val="none"/>
        </w:rPr>
      </w:pPr>
      <w:r w:rsidRPr="00303798">
        <w:rPr>
          <w:rFonts w:ascii="Times New Roman" w:eastAsia="Times New Roman" w:hAnsi="Times New Roman" w:cs="Times New Roman"/>
          <w:sz w:val="24"/>
          <w:szCs w:val="24"/>
          <w:lang w:eastAsia="lv-LV"/>
          <w14:ligatures w14:val="none"/>
        </w:rPr>
        <w:t>Vienlaikus būtiska daļa novērtējumu ir nepietiekami efektīvi, kas norāda uz nepieciešamību pilnveidot kontroles mehānismus un nodrošināt to konsekventāku piemērošanu praksē.</w:t>
      </w:r>
    </w:p>
    <w:p w14:paraId="7DDB4599" w14:textId="77777777" w:rsidR="00303798" w:rsidRPr="00303798" w:rsidRDefault="00303798" w:rsidP="00303798">
      <w:pPr>
        <w:spacing w:after="0" w:line="240" w:lineRule="auto"/>
        <w:ind w:firstLine="720"/>
        <w:jc w:val="both"/>
        <w:rPr>
          <w:rFonts w:ascii="Times New Roman" w:eastAsia="Times New Roman" w:hAnsi="Times New Roman" w:cs="Times New Roman"/>
          <w:sz w:val="24"/>
          <w:szCs w:val="24"/>
          <w:lang w:eastAsia="lv-LV"/>
          <w14:ligatures w14:val="none"/>
        </w:rPr>
      </w:pPr>
      <w:r w:rsidRPr="00303798">
        <w:rPr>
          <w:rFonts w:ascii="Times New Roman" w:eastAsia="Times New Roman" w:hAnsi="Times New Roman" w:cs="Times New Roman"/>
          <w:sz w:val="24"/>
          <w:szCs w:val="24"/>
          <w:lang w:eastAsia="lv-LV"/>
          <w14:ligatures w14:val="none"/>
        </w:rPr>
        <w:t>Rezultātu izkliede starp jomām liecina, ka nepietiekami efektīvie novērtējumi ir relatīvi vienmērīgi sadalīti, kas norāda uz sistemātiskām nepilnībām vairākās tehniskās drošības jomās. Savukārt efektīvo novērtējumu izkliede ir lielāka, kas liecina par atšķirīgu brieduma līmeni starp institūcijām un konkrētajām jomām.</w:t>
      </w:r>
    </w:p>
    <w:p w14:paraId="600A01C8" w14:textId="73F1BF31" w:rsidR="00303798" w:rsidRPr="00303798" w:rsidRDefault="00303798" w:rsidP="00303798">
      <w:pPr>
        <w:spacing w:after="0" w:line="240" w:lineRule="auto"/>
        <w:ind w:firstLine="720"/>
        <w:jc w:val="both"/>
        <w:rPr>
          <w:rFonts w:ascii="Times New Roman" w:eastAsia="Times New Roman" w:hAnsi="Times New Roman" w:cs="Times New Roman"/>
          <w:sz w:val="24"/>
          <w:szCs w:val="24"/>
          <w:lang w:eastAsia="lv-LV"/>
          <w14:ligatures w14:val="none"/>
        </w:rPr>
      </w:pPr>
      <w:r w:rsidRPr="00303798">
        <w:rPr>
          <w:rFonts w:ascii="Times New Roman" w:eastAsia="Times New Roman" w:hAnsi="Times New Roman" w:cs="Times New Roman"/>
          <w:sz w:val="24"/>
          <w:szCs w:val="24"/>
          <w:lang w:eastAsia="lv-LV"/>
          <w14:ligatures w14:val="none"/>
        </w:rPr>
        <w:t xml:space="preserve">Salīdzinoši augsts “nav vērtēts” īpatsvars konstatēts </w:t>
      </w:r>
      <w:proofErr w:type="spellStart"/>
      <w:r w:rsidRPr="00303798">
        <w:rPr>
          <w:rFonts w:ascii="Times New Roman" w:eastAsia="Times New Roman" w:hAnsi="Times New Roman" w:cs="Times New Roman"/>
          <w:sz w:val="24"/>
          <w:szCs w:val="24"/>
          <w:lang w:eastAsia="lv-LV"/>
          <w14:ligatures w14:val="none"/>
        </w:rPr>
        <w:t>mākoņdatošanas</w:t>
      </w:r>
      <w:proofErr w:type="spellEnd"/>
      <w:r w:rsidRPr="00303798">
        <w:rPr>
          <w:rFonts w:ascii="Times New Roman" w:eastAsia="Times New Roman" w:hAnsi="Times New Roman" w:cs="Times New Roman"/>
          <w:sz w:val="24"/>
          <w:szCs w:val="24"/>
          <w:lang w:eastAsia="lv-LV"/>
          <w14:ligatures w14:val="none"/>
        </w:rPr>
        <w:t xml:space="preserve"> pārvaldības (25 institūcijas) un serveru telpu drošības pārvaldības (20 institūcijas) jomā, kas var liecināt par atšķirīgu risinājumu piemērošanas praksi, ārpakalpojumu izmantošanu vai nepilnīgu atbildības sadalījumu institūcijās. Neefektīvi novērtējumi netika konstatēti</w:t>
      </w:r>
      <w:r w:rsidR="0058254B">
        <w:rPr>
          <w:rFonts w:ascii="Times New Roman" w:eastAsia="Times New Roman" w:hAnsi="Times New Roman" w:cs="Times New Roman"/>
          <w:sz w:val="24"/>
          <w:szCs w:val="24"/>
          <w:lang w:eastAsia="lv-LV"/>
          <w14:ligatures w14:val="none"/>
        </w:rPr>
        <w:t>.</w:t>
      </w:r>
    </w:p>
    <w:p w14:paraId="09D60625" w14:textId="77777777" w:rsidR="001802D7" w:rsidRDefault="001802D7" w:rsidP="00462D21">
      <w:pPr>
        <w:spacing w:after="0" w:line="240" w:lineRule="auto"/>
        <w:jc w:val="both"/>
        <w:rPr>
          <w:rFonts w:ascii="Times New Roman" w:eastAsia="Times New Roman" w:hAnsi="Times New Roman" w:cs="Times New Roman"/>
          <w:b/>
          <w:bCs/>
          <w:sz w:val="24"/>
          <w:szCs w:val="24"/>
          <w:lang w:eastAsia="lv-LV"/>
          <w14:ligatures w14:val="none"/>
        </w:rPr>
      </w:pPr>
    </w:p>
    <w:p w14:paraId="50D396B2" w14:textId="2405B3F8" w:rsidR="00462D21" w:rsidRPr="00462D21" w:rsidRDefault="00462D21" w:rsidP="00462D21">
      <w:pPr>
        <w:spacing w:after="0" w:line="240" w:lineRule="auto"/>
        <w:jc w:val="both"/>
        <w:rPr>
          <w:rFonts w:ascii="Times New Roman" w:eastAsia="Times New Roman" w:hAnsi="Times New Roman" w:cs="Times New Roman"/>
          <w:sz w:val="24"/>
          <w:szCs w:val="24"/>
          <w:lang w:eastAsia="lv-LV"/>
          <w14:ligatures w14:val="none"/>
        </w:rPr>
      </w:pPr>
      <w:r w:rsidRPr="00462D21">
        <w:rPr>
          <w:rFonts w:ascii="Times New Roman" w:eastAsia="Times New Roman" w:hAnsi="Times New Roman" w:cs="Times New Roman"/>
          <w:b/>
          <w:bCs/>
          <w:sz w:val="24"/>
          <w:szCs w:val="24"/>
          <w:lang w:eastAsia="lv-LV"/>
          <w14:ligatures w14:val="none"/>
        </w:rPr>
        <w:t>Secinājumi</w:t>
      </w:r>
    </w:p>
    <w:p w14:paraId="1FBDC923" w14:textId="77777777" w:rsidR="006D4B00" w:rsidRPr="006D4B00" w:rsidRDefault="006D4B00" w:rsidP="006D4B00">
      <w:pPr>
        <w:spacing w:after="0" w:line="240" w:lineRule="auto"/>
        <w:ind w:firstLine="720"/>
        <w:jc w:val="both"/>
        <w:rPr>
          <w:rFonts w:ascii="Times New Roman" w:eastAsia="Times New Roman" w:hAnsi="Times New Roman" w:cs="Times New Roman"/>
          <w:sz w:val="24"/>
          <w:szCs w:val="24"/>
          <w:lang w:eastAsia="lv-LV"/>
          <w14:ligatures w14:val="none"/>
        </w:rPr>
      </w:pPr>
      <w:r w:rsidRPr="006D4B00">
        <w:rPr>
          <w:rFonts w:ascii="Times New Roman" w:eastAsia="Times New Roman" w:hAnsi="Times New Roman" w:cs="Times New Roman"/>
          <w:sz w:val="24"/>
          <w:szCs w:val="24"/>
          <w:lang w:eastAsia="lv-LV"/>
          <w14:ligatures w14:val="none"/>
        </w:rPr>
        <w:t xml:space="preserve">Tehniskās drošības </w:t>
      </w:r>
      <w:proofErr w:type="spellStart"/>
      <w:r w:rsidRPr="006D4B00">
        <w:rPr>
          <w:rFonts w:ascii="Times New Roman" w:eastAsia="Times New Roman" w:hAnsi="Times New Roman" w:cs="Times New Roman"/>
          <w:sz w:val="24"/>
          <w:szCs w:val="24"/>
          <w:lang w:eastAsia="lv-LV"/>
          <w14:ligatures w14:val="none"/>
        </w:rPr>
        <w:t>pamatkontroles</w:t>
      </w:r>
      <w:proofErr w:type="spellEnd"/>
      <w:r w:rsidRPr="006D4B00">
        <w:rPr>
          <w:rFonts w:ascii="Times New Roman" w:eastAsia="Times New Roman" w:hAnsi="Times New Roman" w:cs="Times New Roman"/>
          <w:sz w:val="24"/>
          <w:szCs w:val="24"/>
          <w:lang w:eastAsia="lv-LV"/>
          <w14:ligatures w14:val="none"/>
        </w:rPr>
        <w:t xml:space="preserve"> institūcijās ir ieviestas, tomēr to brieduma līmenis un praktiskā piemērošana ir nevienmērīga. Neskatoties uz augsto efektīvo novērtējumu īpatsvaru, būtiska daļa nepietiekami efektīvu novērtējumu norāda uz nepieciešamību sistemātiski pilnveidot kontroles mehānismus un stiprināt to ieviešanas uzraudzību.</w:t>
      </w:r>
    </w:p>
    <w:p w14:paraId="4ED9FDB5" w14:textId="77777777" w:rsidR="006D4B00" w:rsidRPr="006D4B00" w:rsidRDefault="006D4B00" w:rsidP="006D4B00">
      <w:pPr>
        <w:spacing w:after="0" w:line="240" w:lineRule="auto"/>
        <w:ind w:firstLine="720"/>
        <w:jc w:val="both"/>
        <w:rPr>
          <w:rFonts w:ascii="Times New Roman" w:eastAsia="Times New Roman" w:hAnsi="Times New Roman" w:cs="Times New Roman"/>
          <w:sz w:val="24"/>
          <w:szCs w:val="24"/>
          <w:lang w:eastAsia="lv-LV"/>
          <w14:ligatures w14:val="none"/>
        </w:rPr>
      </w:pPr>
      <w:r w:rsidRPr="006D4B00">
        <w:rPr>
          <w:rFonts w:ascii="Times New Roman" w:eastAsia="Times New Roman" w:hAnsi="Times New Roman" w:cs="Times New Roman"/>
          <w:sz w:val="24"/>
          <w:szCs w:val="24"/>
          <w:lang w:eastAsia="lv-LV"/>
          <w14:ligatures w14:val="none"/>
        </w:rPr>
        <w:t xml:space="preserve">Konstatētās nepilnības ir sistemātiskas un galvenokārt saistītas ar nepilnīgu infrastruktūras uzskaiti un uzraudzību, kā arī paļaušanos uz ārpakalpojumiem bez pietiekamas institucionālās kontroles, nepietiekamiem fiziskās drošības un piekļuves ierobežojumiem serveru telpās, kā arī nepietiekami formalizētām un vienoti piemērotām drošības prasībām </w:t>
      </w:r>
      <w:proofErr w:type="spellStart"/>
      <w:r w:rsidRPr="006D4B00">
        <w:rPr>
          <w:rFonts w:ascii="Times New Roman" w:eastAsia="Times New Roman" w:hAnsi="Times New Roman" w:cs="Times New Roman"/>
          <w:sz w:val="24"/>
          <w:szCs w:val="24"/>
          <w:lang w:eastAsia="lv-LV"/>
          <w14:ligatures w14:val="none"/>
        </w:rPr>
        <w:t>mākoņdatošanas</w:t>
      </w:r>
      <w:proofErr w:type="spellEnd"/>
      <w:r w:rsidRPr="006D4B00">
        <w:rPr>
          <w:rFonts w:ascii="Times New Roman" w:eastAsia="Times New Roman" w:hAnsi="Times New Roman" w:cs="Times New Roman"/>
          <w:sz w:val="24"/>
          <w:szCs w:val="24"/>
          <w:lang w:eastAsia="lv-LV"/>
          <w14:ligatures w14:val="none"/>
        </w:rPr>
        <w:t>, portatīvo iekārtu un attālinātā darba pārvaldībā.</w:t>
      </w:r>
    </w:p>
    <w:p w14:paraId="5CBA684A" w14:textId="7F4B8A34" w:rsidR="00E935D0" w:rsidRDefault="00E935D0" w:rsidP="00E935D0"/>
    <w:p w14:paraId="2D7BC035" w14:textId="77777777" w:rsidR="00C11190" w:rsidRPr="00E935D0" w:rsidRDefault="00C11190" w:rsidP="00E935D0"/>
    <w:p w14:paraId="763FBA24" w14:textId="18974C7F" w:rsidR="00E935D0" w:rsidRPr="00103515" w:rsidRDefault="00E935D0" w:rsidP="000D3812">
      <w:pPr>
        <w:pStyle w:val="ListParagraph"/>
        <w:numPr>
          <w:ilvl w:val="0"/>
          <w:numId w:val="1"/>
        </w:numPr>
        <w:spacing w:after="0" w:line="240" w:lineRule="auto"/>
        <w:rPr>
          <w:rFonts w:ascii="Times New Roman" w:hAnsi="Times New Roman" w:cs="Times New Roman"/>
          <w:b/>
          <w:bCs/>
          <w:sz w:val="24"/>
          <w:szCs w:val="24"/>
        </w:rPr>
      </w:pPr>
      <w:r w:rsidRPr="00103515">
        <w:rPr>
          <w:rFonts w:ascii="Times New Roman" w:hAnsi="Times New Roman" w:cs="Times New Roman"/>
          <w:b/>
          <w:bCs/>
          <w:sz w:val="24"/>
          <w:szCs w:val="24"/>
        </w:rPr>
        <w:t>IKT drošības ikdienas procesu vadība</w:t>
      </w:r>
    </w:p>
    <w:p w14:paraId="1DEBC193" w14:textId="77777777" w:rsidR="00913541" w:rsidRDefault="00913541" w:rsidP="005552B6">
      <w:pPr>
        <w:pStyle w:val="NormalWeb"/>
        <w:spacing w:before="0" w:beforeAutospacing="0" w:after="0" w:afterAutospacing="0"/>
        <w:ind w:firstLine="360"/>
        <w:jc w:val="both"/>
      </w:pPr>
    </w:p>
    <w:p w14:paraId="61EF5C75" w14:textId="3B71F5B4" w:rsidR="00690D17" w:rsidRDefault="00ED4D3D" w:rsidP="005552B6">
      <w:pPr>
        <w:pStyle w:val="NormalWeb"/>
        <w:spacing w:before="0" w:beforeAutospacing="0" w:after="0" w:afterAutospacing="0"/>
        <w:ind w:firstLine="360"/>
        <w:jc w:val="both"/>
      </w:pPr>
      <w:r w:rsidRPr="00ED4D3D">
        <w:t>Šajā tematiskajā blokā izvērtēta institūciju spēja nodrošināt IKT drošības ikdienas procesu sistemātisku īstenošanu, tostarp lietotāju un piekļuves tiesību pārvaldību, atjauninājumu ieviešanu, ievainojamību pārvaldību un datu aizsardzības pasākumu piemērošanu.</w:t>
      </w:r>
      <w:r>
        <w:t xml:space="preserve"> </w:t>
      </w:r>
      <w:r w:rsidR="00690D17">
        <w:t xml:space="preserve">Minēto procesu organizācija un uzraudzība ir būtisks priekšnoteikums savlaicīgai </w:t>
      </w:r>
      <w:proofErr w:type="spellStart"/>
      <w:r w:rsidR="00690D17">
        <w:t>kiberdrošības</w:t>
      </w:r>
      <w:proofErr w:type="spellEnd"/>
      <w:r w:rsidR="00690D17">
        <w:t xml:space="preserve"> risku identificēšanai un mazināšanai, informācijas sistēmu noturībai un valsts digitālo pakalpojumu drošai un nepārtrauktai darbībai.</w:t>
      </w:r>
    </w:p>
    <w:p w14:paraId="314CED5C" w14:textId="77777777" w:rsidR="00A958FD" w:rsidRPr="00103515" w:rsidRDefault="00A958FD" w:rsidP="002D36B4">
      <w:pPr>
        <w:pStyle w:val="NormalWeb"/>
        <w:spacing w:before="0" w:beforeAutospacing="0" w:after="0" w:afterAutospacing="0"/>
        <w:ind w:firstLine="357"/>
        <w:jc w:val="both"/>
      </w:pPr>
    </w:p>
    <w:p w14:paraId="090867C1" w14:textId="57BCE4DC" w:rsidR="00FC01FE" w:rsidRDefault="00DB362C" w:rsidP="00E935D0">
      <w:r w:rsidRPr="00C5159C">
        <w:rPr>
          <w:rFonts w:ascii="Calibri" w:eastAsia="Times New Roman" w:hAnsi="Calibri" w:cs="Calibri"/>
          <w:noProof/>
          <w:sz w:val="24"/>
          <w:szCs w:val="24"/>
          <w:lang w:eastAsia="lv-LV"/>
        </w:rPr>
        <w:drawing>
          <wp:inline distT="0" distB="0" distL="0" distR="0" wp14:anchorId="04A4B3ED" wp14:editId="41B17170">
            <wp:extent cx="5486400" cy="2006600"/>
            <wp:effectExtent l="0" t="0" r="0" b="0"/>
            <wp:docPr id="197724502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692ECE8" w14:textId="2C505032" w:rsidR="0073019D" w:rsidRPr="00314149" w:rsidRDefault="0073019D" w:rsidP="0073019D">
      <w:pPr>
        <w:spacing w:after="0" w:line="240" w:lineRule="auto"/>
        <w:ind w:firstLine="720"/>
        <w:jc w:val="center"/>
        <w:rPr>
          <w:rFonts w:ascii="Times New Roman" w:eastAsia="Times New Roman" w:hAnsi="Times New Roman" w:cs="Times New Roman"/>
          <w:i/>
          <w:iCs/>
          <w:sz w:val="24"/>
          <w:szCs w:val="24"/>
          <w:lang w:eastAsia="lv-LV"/>
          <w14:ligatures w14:val="none"/>
        </w:rPr>
      </w:pPr>
      <w:r>
        <w:rPr>
          <w:rFonts w:ascii="Times New Roman" w:eastAsia="Times New Roman" w:hAnsi="Times New Roman" w:cs="Times New Roman"/>
          <w:i/>
          <w:iCs/>
          <w:sz w:val="24"/>
          <w:szCs w:val="24"/>
          <w:lang w:eastAsia="lv-LV"/>
          <w14:ligatures w14:val="none"/>
        </w:rPr>
        <w:t>3</w:t>
      </w:r>
      <w:r w:rsidRPr="00314149">
        <w:rPr>
          <w:rFonts w:ascii="Times New Roman" w:eastAsia="Times New Roman" w:hAnsi="Times New Roman" w:cs="Times New Roman"/>
          <w:i/>
          <w:iCs/>
          <w:sz w:val="24"/>
          <w:szCs w:val="24"/>
          <w:lang w:eastAsia="lv-LV"/>
          <w14:ligatures w14:val="none"/>
        </w:rPr>
        <w:t xml:space="preserve">.attēls. IKT </w:t>
      </w:r>
      <w:r>
        <w:rPr>
          <w:rFonts w:ascii="Times New Roman" w:eastAsia="Times New Roman" w:hAnsi="Times New Roman" w:cs="Times New Roman"/>
          <w:i/>
          <w:iCs/>
          <w:sz w:val="24"/>
          <w:szCs w:val="24"/>
          <w:lang w:eastAsia="lv-LV"/>
          <w14:ligatures w14:val="none"/>
        </w:rPr>
        <w:t>resursu un datu pārvaldības</w:t>
      </w:r>
      <w:r w:rsidRPr="00314149">
        <w:rPr>
          <w:rFonts w:ascii="Times New Roman" w:eastAsia="Times New Roman" w:hAnsi="Times New Roman" w:cs="Times New Roman"/>
          <w:i/>
          <w:iCs/>
          <w:sz w:val="24"/>
          <w:szCs w:val="24"/>
          <w:lang w:eastAsia="lv-LV"/>
          <w14:ligatures w14:val="none"/>
        </w:rPr>
        <w:t xml:space="preserve"> novērtējums</w:t>
      </w:r>
    </w:p>
    <w:p w14:paraId="762828DA" w14:textId="77777777" w:rsidR="0073019D" w:rsidRDefault="0073019D" w:rsidP="00C60F1F">
      <w:pPr>
        <w:spacing w:after="0" w:line="240" w:lineRule="auto"/>
        <w:jc w:val="both"/>
        <w:rPr>
          <w:rFonts w:ascii="Times New Roman" w:eastAsia="Times New Roman" w:hAnsi="Times New Roman" w:cs="Times New Roman"/>
          <w:sz w:val="24"/>
          <w:szCs w:val="24"/>
          <w:lang w:eastAsia="lv-LV"/>
          <w14:ligatures w14:val="none"/>
        </w:rPr>
      </w:pPr>
    </w:p>
    <w:p w14:paraId="5F59BC39" w14:textId="54AC6EEC" w:rsidR="00CB7DC0" w:rsidRPr="00CB7DC0" w:rsidRDefault="00CB7DC0" w:rsidP="00CB7DC0">
      <w:pPr>
        <w:spacing w:after="0" w:line="240" w:lineRule="auto"/>
        <w:ind w:firstLine="720"/>
        <w:jc w:val="both"/>
        <w:rPr>
          <w:rFonts w:ascii="Times New Roman" w:eastAsia="Times New Roman" w:hAnsi="Times New Roman" w:cs="Times New Roman"/>
          <w:sz w:val="24"/>
          <w:szCs w:val="24"/>
          <w:lang w:eastAsia="lv-LV"/>
          <w14:ligatures w14:val="none"/>
        </w:rPr>
      </w:pPr>
      <w:r w:rsidRPr="00CB7DC0">
        <w:rPr>
          <w:rFonts w:ascii="Times New Roman" w:eastAsia="Times New Roman" w:hAnsi="Times New Roman" w:cs="Times New Roman"/>
          <w:sz w:val="24"/>
          <w:szCs w:val="24"/>
          <w:lang w:eastAsia="lv-LV"/>
          <w14:ligatures w14:val="none"/>
        </w:rPr>
        <w:t>IKT drošības ikdienas procesu blokā dominē efektīvi un nepietiekami efektīvi novērtējumi. Augstāks efektīvo novērtējumu īpatsvars konstatēts datu drošības un atjauninājumu vadības jomā, savukārt IKT resursu un lietotāju pārvaldībā biežāk konstatēti nepietiekami efektīvi novērtējumi.</w:t>
      </w:r>
    </w:p>
    <w:p w14:paraId="1096B100" w14:textId="77777777" w:rsidR="00CB7DC0" w:rsidRPr="00CB7DC0" w:rsidRDefault="00CB7DC0" w:rsidP="00CB7DC0">
      <w:pPr>
        <w:spacing w:after="0" w:line="240" w:lineRule="auto"/>
        <w:ind w:firstLine="720"/>
        <w:jc w:val="both"/>
        <w:rPr>
          <w:rFonts w:ascii="Times New Roman" w:eastAsia="Times New Roman" w:hAnsi="Times New Roman" w:cs="Times New Roman"/>
          <w:sz w:val="24"/>
          <w:szCs w:val="24"/>
          <w:lang w:eastAsia="lv-LV"/>
          <w14:ligatures w14:val="none"/>
        </w:rPr>
      </w:pPr>
      <w:r w:rsidRPr="00CB7DC0">
        <w:rPr>
          <w:rFonts w:ascii="Times New Roman" w:eastAsia="Times New Roman" w:hAnsi="Times New Roman" w:cs="Times New Roman"/>
          <w:sz w:val="24"/>
          <w:szCs w:val="24"/>
          <w:lang w:eastAsia="lv-LV"/>
          <w14:ligatures w14:val="none"/>
        </w:rPr>
        <w:t>Nepietiekami efektīvo novērtējumu izplatība starp jomām ir relatīvi vienmērīga, kas norāda uz sistemātiskām nepilnībām ikdienas drošības procesu pārvaldībā. Vienlaikus efektīvo novērtējumu īpatsvara svārstības starp jomām liecina par atšķirīgu procesu brieduma līmeni institūcijās.</w:t>
      </w:r>
    </w:p>
    <w:p w14:paraId="0010FBC2" w14:textId="77777777" w:rsidR="00CB7DC0" w:rsidRPr="00CB7DC0" w:rsidRDefault="00CB7DC0" w:rsidP="00CB7DC0">
      <w:pPr>
        <w:spacing w:after="0" w:line="240" w:lineRule="auto"/>
        <w:ind w:firstLine="720"/>
        <w:jc w:val="both"/>
        <w:rPr>
          <w:rFonts w:ascii="Times New Roman" w:eastAsia="Times New Roman" w:hAnsi="Times New Roman" w:cs="Times New Roman"/>
          <w:sz w:val="24"/>
          <w:szCs w:val="24"/>
          <w:lang w:eastAsia="lv-LV"/>
          <w14:ligatures w14:val="none"/>
        </w:rPr>
      </w:pPr>
      <w:r w:rsidRPr="00CB7DC0">
        <w:rPr>
          <w:rFonts w:ascii="Times New Roman" w:eastAsia="Times New Roman" w:hAnsi="Times New Roman" w:cs="Times New Roman"/>
          <w:sz w:val="24"/>
          <w:szCs w:val="24"/>
          <w:lang w:eastAsia="lv-LV"/>
          <w14:ligatures w14:val="none"/>
        </w:rPr>
        <w:t>Atsevišķos gadījumos konstatēti neefektīvi novērtējumi (ievainojamību pārvaldības jomā), savukārt daļā gadījumu novērtējums nav veikts, īpaši atjauninājumu vadības jomā.</w:t>
      </w:r>
    </w:p>
    <w:p w14:paraId="26970224" w14:textId="77777777" w:rsidR="00CB7DC0" w:rsidRPr="00CB7DC0" w:rsidRDefault="00CB7DC0" w:rsidP="00CB7DC0">
      <w:pPr>
        <w:spacing w:after="0" w:line="240" w:lineRule="auto"/>
        <w:ind w:firstLine="720"/>
        <w:jc w:val="both"/>
        <w:rPr>
          <w:rFonts w:ascii="Times New Roman" w:eastAsia="Times New Roman" w:hAnsi="Times New Roman" w:cs="Times New Roman"/>
          <w:sz w:val="24"/>
          <w:szCs w:val="24"/>
          <w:lang w:eastAsia="lv-LV"/>
          <w14:ligatures w14:val="none"/>
        </w:rPr>
      </w:pPr>
      <w:r w:rsidRPr="00CB7DC0">
        <w:rPr>
          <w:rFonts w:ascii="Times New Roman" w:eastAsia="Times New Roman" w:hAnsi="Times New Roman" w:cs="Times New Roman"/>
          <w:sz w:val="24"/>
          <w:szCs w:val="24"/>
          <w:lang w:eastAsia="lv-LV"/>
          <w14:ligatures w14:val="none"/>
        </w:rPr>
        <w:t>Kopumā rezultāti liecina, ka ikdienas drošības procesi institūcijās ir ieviesti, tomēr to piemērošana un pārvaldības briedums nav vienmērīgs.</w:t>
      </w:r>
    </w:p>
    <w:p w14:paraId="471CD6F0" w14:textId="77777777" w:rsidR="00715049" w:rsidRDefault="00715049" w:rsidP="0025053C">
      <w:pPr>
        <w:spacing w:after="0" w:line="240" w:lineRule="auto"/>
        <w:jc w:val="both"/>
        <w:rPr>
          <w:rFonts w:ascii="Times New Roman" w:eastAsia="Times New Roman" w:hAnsi="Times New Roman" w:cs="Times New Roman"/>
          <w:b/>
          <w:bCs/>
          <w:sz w:val="24"/>
          <w:szCs w:val="24"/>
          <w:lang w:eastAsia="lv-LV"/>
          <w14:ligatures w14:val="none"/>
        </w:rPr>
      </w:pPr>
    </w:p>
    <w:p w14:paraId="604863FB" w14:textId="52B36454" w:rsidR="0025053C" w:rsidRPr="0025053C" w:rsidRDefault="0025053C" w:rsidP="0025053C">
      <w:pPr>
        <w:spacing w:after="0" w:line="240" w:lineRule="auto"/>
        <w:jc w:val="both"/>
        <w:rPr>
          <w:rFonts w:ascii="Times New Roman" w:eastAsia="Times New Roman" w:hAnsi="Times New Roman" w:cs="Times New Roman"/>
          <w:sz w:val="24"/>
          <w:szCs w:val="24"/>
          <w:lang w:eastAsia="lv-LV"/>
          <w14:ligatures w14:val="none"/>
        </w:rPr>
      </w:pPr>
      <w:r w:rsidRPr="0025053C">
        <w:rPr>
          <w:rFonts w:ascii="Times New Roman" w:eastAsia="Times New Roman" w:hAnsi="Times New Roman" w:cs="Times New Roman"/>
          <w:b/>
          <w:bCs/>
          <w:sz w:val="24"/>
          <w:szCs w:val="24"/>
          <w:lang w:eastAsia="lv-LV"/>
          <w14:ligatures w14:val="none"/>
        </w:rPr>
        <w:t>Secinājumi</w:t>
      </w:r>
    </w:p>
    <w:p w14:paraId="25707849" w14:textId="77777777" w:rsidR="00E021CB" w:rsidRPr="00E021CB" w:rsidRDefault="00E021CB" w:rsidP="00E021CB">
      <w:pPr>
        <w:spacing w:after="0" w:line="240" w:lineRule="auto"/>
        <w:ind w:firstLine="720"/>
        <w:jc w:val="both"/>
        <w:rPr>
          <w:rFonts w:ascii="Times New Roman" w:eastAsia="Times New Roman" w:hAnsi="Times New Roman" w:cs="Times New Roman"/>
          <w:sz w:val="24"/>
          <w:szCs w:val="24"/>
          <w:lang w:eastAsia="lv-LV"/>
          <w14:ligatures w14:val="none"/>
        </w:rPr>
      </w:pPr>
      <w:r w:rsidRPr="00E021CB">
        <w:rPr>
          <w:rFonts w:ascii="Times New Roman" w:eastAsia="Times New Roman" w:hAnsi="Times New Roman" w:cs="Times New Roman"/>
          <w:sz w:val="24"/>
          <w:szCs w:val="24"/>
          <w:lang w:eastAsia="lv-LV"/>
          <w14:ligatures w14:val="none"/>
        </w:rPr>
        <w:t xml:space="preserve">IKT drošības ikdienas procesu pārvaldības </w:t>
      </w:r>
      <w:proofErr w:type="spellStart"/>
      <w:r w:rsidRPr="00E021CB">
        <w:rPr>
          <w:rFonts w:ascii="Times New Roman" w:eastAsia="Times New Roman" w:hAnsi="Times New Roman" w:cs="Times New Roman"/>
          <w:sz w:val="24"/>
          <w:szCs w:val="24"/>
          <w:lang w:eastAsia="lv-LV"/>
          <w14:ligatures w14:val="none"/>
        </w:rPr>
        <w:t>pamatprocesi</w:t>
      </w:r>
      <w:proofErr w:type="spellEnd"/>
      <w:r w:rsidRPr="00E021CB">
        <w:rPr>
          <w:rFonts w:ascii="Times New Roman" w:eastAsia="Times New Roman" w:hAnsi="Times New Roman" w:cs="Times New Roman"/>
          <w:sz w:val="24"/>
          <w:szCs w:val="24"/>
          <w:lang w:eastAsia="lv-LV"/>
          <w14:ligatures w14:val="none"/>
        </w:rPr>
        <w:t xml:space="preserve"> institūcijās ir izveidoti, tomēr to brieduma līmenis un praktiskā piemērošana ir nevienmērīga. Būtiska nepietiekami efektīvu novērtējumu izplatība visās jomās norāda uz nepieciešamību sistemātiski stiprināt iekšējās kontroles mehānismus un nodrošināt konsekventāku procesu īstenošanu.</w:t>
      </w:r>
    </w:p>
    <w:p w14:paraId="66C33DCB" w14:textId="77777777" w:rsidR="00E021CB" w:rsidRPr="00E021CB" w:rsidRDefault="00E021CB" w:rsidP="00E021CB">
      <w:pPr>
        <w:spacing w:after="0" w:line="240" w:lineRule="auto"/>
        <w:ind w:firstLine="360"/>
        <w:jc w:val="both"/>
        <w:rPr>
          <w:rFonts w:ascii="Times New Roman" w:eastAsia="Times New Roman" w:hAnsi="Times New Roman" w:cs="Times New Roman"/>
          <w:sz w:val="24"/>
          <w:szCs w:val="24"/>
          <w:lang w:eastAsia="lv-LV"/>
          <w14:ligatures w14:val="none"/>
        </w:rPr>
      </w:pPr>
      <w:r w:rsidRPr="00E021CB">
        <w:rPr>
          <w:rFonts w:ascii="Times New Roman" w:eastAsia="Times New Roman" w:hAnsi="Times New Roman" w:cs="Times New Roman"/>
          <w:sz w:val="24"/>
          <w:szCs w:val="24"/>
          <w:lang w:eastAsia="lv-LV"/>
          <w14:ligatures w14:val="none"/>
        </w:rPr>
        <w:t>Konstatētās nepilnības ir sistemātiskas un galvenokārt saistītas ar nepietiekami formalizētu piekļuves tiesību pārvaldību un lietotāju kontroles mehānismiem, fragmentāru atjauninājumu ieviešanu, nepilnīgu ievainojamību uzraudzību un drošības pārbaužu regularitāti, kā arī nepietiekami sistemātisku datu aizsardzības pasākumu īstenošanu.</w:t>
      </w:r>
    </w:p>
    <w:p w14:paraId="35B1549D" w14:textId="77777777" w:rsidR="00BD6705" w:rsidRDefault="00BD6705" w:rsidP="00E935D0">
      <w:pPr>
        <w:rPr>
          <w:b/>
          <w:bCs/>
        </w:rPr>
      </w:pPr>
    </w:p>
    <w:p w14:paraId="3F149DBD" w14:textId="085196DE" w:rsidR="00156074" w:rsidRPr="00156074" w:rsidRDefault="00156074" w:rsidP="000D3812">
      <w:pPr>
        <w:pStyle w:val="ListParagraph"/>
        <w:numPr>
          <w:ilvl w:val="0"/>
          <w:numId w:val="1"/>
        </w:numPr>
        <w:spacing w:after="0" w:line="240" w:lineRule="auto"/>
        <w:rPr>
          <w:rFonts w:ascii="Times New Roman" w:hAnsi="Times New Roman" w:cs="Times New Roman"/>
          <w:b/>
          <w:bCs/>
          <w:sz w:val="24"/>
          <w:szCs w:val="24"/>
        </w:rPr>
      </w:pPr>
      <w:r w:rsidRPr="004B5741">
        <w:rPr>
          <w:rFonts w:ascii="Times New Roman" w:hAnsi="Times New Roman" w:cs="Times New Roman"/>
          <w:b/>
          <w:bCs/>
          <w:sz w:val="24"/>
          <w:szCs w:val="24"/>
        </w:rPr>
        <w:lastRenderedPageBreak/>
        <w:t>Incidentu vadība, darbības nepārtrauktība un krīžu pārvaldība.</w:t>
      </w:r>
    </w:p>
    <w:p w14:paraId="23079965" w14:textId="77777777" w:rsidR="00913541" w:rsidRDefault="00913541" w:rsidP="005552B6">
      <w:pPr>
        <w:pStyle w:val="NormalWeb"/>
        <w:spacing w:before="0" w:beforeAutospacing="0" w:after="0" w:afterAutospacing="0"/>
        <w:ind w:firstLine="360"/>
        <w:jc w:val="both"/>
      </w:pPr>
    </w:p>
    <w:p w14:paraId="6EC11BA7" w14:textId="43C2CB8C" w:rsidR="00851BE2" w:rsidRDefault="004E7D54" w:rsidP="005552B6">
      <w:pPr>
        <w:pStyle w:val="NormalWeb"/>
        <w:spacing w:before="0" w:beforeAutospacing="0" w:after="0" w:afterAutospacing="0"/>
        <w:ind w:firstLine="360"/>
        <w:jc w:val="both"/>
      </w:pPr>
      <w:r w:rsidRPr="004E7D54">
        <w:t>Šajā tematiskajā blokā izvērtēta institūciju spēja savlaicīgi identificēt un pārvaldīt drošības incidentus, kā arī nodrošināt informācijas sistēmu darbības nepārtrauktību un rīcībspēju krīzes situācijās</w:t>
      </w:r>
      <w:r w:rsidR="00851BE2">
        <w:t>.</w:t>
      </w:r>
    </w:p>
    <w:p w14:paraId="0F0449A2" w14:textId="77777777" w:rsidR="005552B6" w:rsidRDefault="005552B6" w:rsidP="005552B6">
      <w:pPr>
        <w:pStyle w:val="NormalWeb"/>
        <w:spacing w:before="0" w:beforeAutospacing="0" w:after="0" w:afterAutospacing="0"/>
        <w:ind w:firstLine="360"/>
        <w:jc w:val="both"/>
      </w:pPr>
    </w:p>
    <w:p w14:paraId="77B1AE26" w14:textId="402D4DF3" w:rsidR="00491BCA" w:rsidRDefault="00491BCA" w:rsidP="002B425A">
      <w:r w:rsidRPr="00C5159C">
        <w:rPr>
          <w:noProof/>
          <w:lang w:eastAsia="lv-LV"/>
        </w:rPr>
        <w:drawing>
          <wp:inline distT="0" distB="0" distL="0" distR="0" wp14:anchorId="36C31430" wp14:editId="0A2CAED1">
            <wp:extent cx="5416550" cy="1949450"/>
            <wp:effectExtent l="0" t="0" r="0" b="0"/>
            <wp:docPr id="59746955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1B4F26A" w14:textId="6E0FCD38" w:rsidR="00330279" w:rsidRPr="00314149" w:rsidRDefault="00330279" w:rsidP="00330279">
      <w:pPr>
        <w:spacing w:after="0" w:line="240" w:lineRule="auto"/>
        <w:ind w:firstLine="720"/>
        <w:jc w:val="center"/>
        <w:rPr>
          <w:rFonts w:ascii="Times New Roman" w:eastAsia="Times New Roman" w:hAnsi="Times New Roman" w:cs="Times New Roman"/>
          <w:i/>
          <w:iCs/>
          <w:sz w:val="24"/>
          <w:szCs w:val="24"/>
          <w:lang w:eastAsia="lv-LV"/>
          <w14:ligatures w14:val="none"/>
        </w:rPr>
      </w:pPr>
      <w:r>
        <w:rPr>
          <w:rFonts w:ascii="Times New Roman" w:eastAsia="Times New Roman" w:hAnsi="Times New Roman" w:cs="Times New Roman"/>
          <w:i/>
          <w:iCs/>
          <w:sz w:val="24"/>
          <w:szCs w:val="24"/>
          <w:lang w:eastAsia="lv-LV"/>
          <w14:ligatures w14:val="none"/>
        </w:rPr>
        <w:t>4</w:t>
      </w:r>
      <w:r w:rsidRPr="00314149">
        <w:rPr>
          <w:rFonts w:ascii="Times New Roman" w:eastAsia="Times New Roman" w:hAnsi="Times New Roman" w:cs="Times New Roman"/>
          <w:i/>
          <w:iCs/>
          <w:sz w:val="24"/>
          <w:szCs w:val="24"/>
          <w:lang w:eastAsia="lv-LV"/>
          <w14:ligatures w14:val="none"/>
        </w:rPr>
        <w:t xml:space="preserve">.attēls. IKT </w:t>
      </w:r>
      <w:r>
        <w:rPr>
          <w:rFonts w:ascii="Times New Roman" w:eastAsia="Times New Roman" w:hAnsi="Times New Roman" w:cs="Times New Roman"/>
          <w:i/>
          <w:iCs/>
          <w:sz w:val="24"/>
          <w:szCs w:val="24"/>
          <w:lang w:eastAsia="lv-LV"/>
          <w14:ligatures w14:val="none"/>
        </w:rPr>
        <w:t>incidentu</w:t>
      </w:r>
      <w:r w:rsidR="00A65DAD">
        <w:rPr>
          <w:rFonts w:ascii="Times New Roman" w:eastAsia="Times New Roman" w:hAnsi="Times New Roman" w:cs="Times New Roman"/>
          <w:i/>
          <w:iCs/>
          <w:sz w:val="24"/>
          <w:szCs w:val="24"/>
          <w:lang w:eastAsia="lv-LV"/>
          <w14:ligatures w14:val="none"/>
        </w:rPr>
        <w:t xml:space="preserve"> un krīzes vadības</w:t>
      </w:r>
      <w:r w:rsidRPr="00314149">
        <w:rPr>
          <w:rFonts w:ascii="Times New Roman" w:eastAsia="Times New Roman" w:hAnsi="Times New Roman" w:cs="Times New Roman"/>
          <w:i/>
          <w:iCs/>
          <w:sz w:val="24"/>
          <w:szCs w:val="24"/>
          <w:lang w:eastAsia="lv-LV"/>
          <w14:ligatures w14:val="none"/>
        </w:rPr>
        <w:t xml:space="preserve"> novērtējums</w:t>
      </w:r>
    </w:p>
    <w:p w14:paraId="1262C7EB" w14:textId="77777777" w:rsidR="00330279" w:rsidRDefault="00330279" w:rsidP="00C60F1F">
      <w:pPr>
        <w:spacing w:after="0" w:line="240" w:lineRule="auto"/>
        <w:jc w:val="center"/>
        <w:rPr>
          <w:rFonts w:ascii="Times New Roman" w:eastAsia="Times New Roman" w:hAnsi="Times New Roman" w:cs="Times New Roman"/>
          <w:sz w:val="24"/>
          <w:szCs w:val="24"/>
          <w:lang w:eastAsia="lv-LV"/>
          <w14:ligatures w14:val="none"/>
        </w:rPr>
      </w:pPr>
    </w:p>
    <w:p w14:paraId="4374623D" w14:textId="54F33C72" w:rsidR="00E90A73" w:rsidRPr="00E90A73" w:rsidRDefault="00E90A73" w:rsidP="00E90A73">
      <w:pPr>
        <w:spacing w:after="0" w:line="240" w:lineRule="auto"/>
        <w:ind w:firstLine="720"/>
        <w:jc w:val="both"/>
        <w:rPr>
          <w:rFonts w:ascii="Times New Roman" w:eastAsia="Times New Roman" w:hAnsi="Times New Roman" w:cs="Times New Roman"/>
          <w:sz w:val="24"/>
          <w:szCs w:val="24"/>
          <w:lang w:eastAsia="lv-LV"/>
          <w14:ligatures w14:val="none"/>
        </w:rPr>
      </w:pPr>
      <w:r>
        <w:rPr>
          <w:rFonts w:ascii="Times New Roman" w:eastAsia="Times New Roman" w:hAnsi="Times New Roman" w:cs="Times New Roman"/>
          <w:sz w:val="24"/>
          <w:szCs w:val="24"/>
          <w:lang w:eastAsia="lv-LV"/>
          <w14:ligatures w14:val="none"/>
        </w:rPr>
        <w:t>I</w:t>
      </w:r>
      <w:r w:rsidRPr="00E90A73">
        <w:rPr>
          <w:rFonts w:ascii="Times New Roman" w:eastAsia="Times New Roman" w:hAnsi="Times New Roman" w:cs="Times New Roman"/>
          <w:sz w:val="24"/>
          <w:szCs w:val="24"/>
          <w:lang w:eastAsia="lv-LV"/>
          <w14:ligatures w14:val="none"/>
        </w:rPr>
        <w:t>ncidentu vadības un noturības blokā konstatēts nevienmērīgs brieduma līmenis starp jomām. Drošības incidentu vadībā dominē efektīvi novērtējumi, kas norāda uz salīdzinoši augstāku šīs jomas attīstības līmeni.</w:t>
      </w:r>
    </w:p>
    <w:p w14:paraId="62E98F15" w14:textId="77777777" w:rsidR="00E90A73" w:rsidRPr="00E90A73" w:rsidRDefault="00E90A73" w:rsidP="00E90A73">
      <w:pPr>
        <w:spacing w:after="0" w:line="240" w:lineRule="auto"/>
        <w:ind w:firstLine="720"/>
        <w:jc w:val="both"/>
        <w:rPr>
          <w:rFonts w:ascii="Times New Roman" w:eastAsia="Times New Roman" w:hAnsi="Times New Roman" w:cs="Times New Roman"/>
          <w:sz w:val="24"/>
          <w:szCs w:val="24"/>
          <w:lang w:eastAsia="lv-LV"/>
          <w14:ligatures w14:val="none"/>
        </w:rPr>
      </w:pPr>
      <w:r w:rsidRPr="00E90A73">
        <w:rPr>
          <w:rFonts w:ascii="Times New Roman" w:eastAsia="Times New Roman" w:hAnsi="Times New Roman" w:cs="Times New Roman"/>
          <w:sz w:val="24"/>
          <w:szCs w:val="24"/>
          <w:lang w:eastAsia="lv-LV"/>
          <w14:ligatures w14:val="none"/>
        </w:rPr>
        <w:t xml:space="preserve">Savukārt darbības nepārtrauktības plānošanā un </w:t>
      </w:r>
      <w:proofErr w:type="spellStart"/>
      <w:r w:rsidRPr="00E90A73">
        <w:rPr>
          <w:rFonts w:ascii="Times New Roman" w:eastAsia="Times New Roman" w:hAnsi="Times New Roman" w:cs="Times New Roman"/>
          <w:sz w:val="24"/>
          <w:szCs w:val="24"/>
          <w:lang w:eastAsia="lv-LV"/>
          <w14:ligatures w14:val="none"/>
        </w:rPr>
        <w:t>kiberdrošības</w:t>
      </w:r>
      <w:proofErr w:type="spellEnd"/>
      <w:r w:rsidRPr="00E90A73">
        <w:rPr>
          <w:rFonts w:ascii="Times New Roman" w:eastAsia="Times New Roman" w:hAnsi="Times New Roman" w:cs="Times New Roman"/>
          <w:sz w:val="24"/>
          <w:szCs w:val="24"/>
          <w:lang w:eastAsia="lv-LV"/>
          <w14:ligatures w14:val="none"/>
        </w:rPr>
        <w:t xml:space="preserve"> krīzes vadībā dominē nepietiekami efektīvi novērtējumi, kas norāda uz nepilnībām šo procesu sistemātiskā ieviešanā un uzturēšanā.</w:t>
      </w:r>
    </w:p>
    <w:p w14:paraId="3522F910" w14:textId="77777777" w:rsidR="00E90A73" w:rsidRPr="00E90A73" w:rsidRDefault="00E90A73" w:rsidP="00E90A73">
      <w:pPr>
        <w:spacing w:after="0" w:line="240" w:lineRule="auto"/>
        <w:ind w:firstLine="720"/>
        <w:jc w:val="both"/>
        <w:rPr>
          <w:rFonts w:ascii="Times New Roman" w:eastAsia="Times New Roman" w:hAnsi="Times New Roman" w:cs="Times New Roman"/>
          <w:sz w:val="24"/>
          <w:szCs w:val="24"/>
          <w:lang w:eastAsia="lv-LV"/>
          <w14:ligatures w14:val="none"/>
        </w:rPr>
      </w:pPr>
      <w:r w:rsidRPr="00E90A73">
        <w:rPr>
          <w:rFonts w:ascii="Times New Roman" w:eastAsia="Times New Roman" w:hAnsi="Times New Roman" w:cs="Times New Roman"/>
          <w:sz w:val="24"/>
          <w:szCs w:val="24"/>
          <w:lang w:eastAsia="lv-LV"/>
          <w14:ligatures w14:val="none"/>
        </w:rPr>
        <w:t>Nepietiekami efektīvo novērtējumu izplatība starp jomām ir relatīvi vienmērīga, kas liecina par sistemātiskām nepilnībām visā blokā. Vienlaikus efektīvo novērtējumu īpatsvara atšķirības starp jomām norāda uz būtisku brieduma līmeņa atšķirību starp incidentu vadības un krīzes pārvaldības procesiem.</w:t>
      </w:r>
    </w:p>
    <w:p w14:paraId="19B9ABE3" w14:textId="77777777" w:rsidR="00E90A73" w:rsidRPr="00E90A73" w:rsidRDefault="00E90A73" w:rsidP="00E90A73">
      <w:pPr>
        <w:spacing w:after="0" w:line="240" w:lineRule="auto"/>
        <w:ind w:firstLine="720"/>
        <w:jc w:val="both"/>
        <w:rPr>
          <w:rFonts w:ascii="Times New Roman" w:eastAsia="Times New Roman" w:hAnsi="Times New Roman" w:cs="Times New Roman"/>
          <w:sz w:val="24"/>
          <w:szCs w:val="24"/>
          <w:lang w:eastAsia="lv-LV"/>
          <w14:ligatures w14:val="none"/>
        </w:rPr>
      </w:pPr>
      <w:r w:rsidRPr="00E90A73">
        <w:rPr>
          <w:rFonts w:ascii="Times New Roman" w:eastAsia="Times New Roman" w:hAnsi="Times New Roman" w:cs="Times New Roman"/>
          <w:sz w:val="24"/>
          <w:szCs w:val="24"/>
          <w:lang w:eastAsia="lv-LV"/>
          <w14:ligatures w14:val="none"/>
        </w:rPr>
        <w:t>Atsevišķos gadījumos konstatēti arī neefektīvi novērtējumi (darbības nepārtrauktības plānošanas jomā), savukārt nelielā daļā gadījumu novērtējums nav veikts.</w:t>
      </w:r>
    </w:p>
    <w:p w14:paraId="0303EB7A" w14:textId="77777777" w:rsidR="00E90A73" w:rsidRPr="00E90A73" w:rsidRDefault="00E90A73" w:rsidP="00E90A73">
      <w:pPr>
        <w:spacing w:after="0" w:line="240" w:lineRule="auto"/>
        <w:jc w:val="both"/>
        <w:rPr>
          <w:rFonts w:ascii="Times New Roman" w:eastAsia="Times New Roman" w:hAnsi="Times New Roman" w:cs="Times New Roman"/>
          <w:sz w:val="24"/>
          <w:szCs w:val="24"/>
          <w:lang w:eastAsia="lv-LV"/>
          <w14:ligatures w14:val="none"/>
        </w:rPr>
      </w:pPr>
      <w:r w:rsidRPr="00E90A73">
        <w:rPr>
          <w:rFonts w:ascii="Times New Roman" w:eastAsia="Times New Roman" w:hAnsi="Times New Roman" w:cs="Times New Roman"/>
          <w:sz w:val="24"/>
          <w:szCs w:val="24"/>
          <w:lang w:eastAsia="lv-LV"/>
          <w14:ligatures w14:val="none"/>
        </w:rPr>
        <w:t>Kopumā rezultāti liecina, ka incidentu identificēšanas un reaģēšanas mehānismi institūcijās ir attīstītāki nekā darbības nepārtrauktības un krīžu pārvaldības procesi.</w:t>
      </w:r>
    </w:p>
    <w:p w14:paraId="4B8F9DDC" w14:textId="4BFEE7CB" w:rsidR="00103653" w:rsidRPr="00103653" w:rsidRDefault="00103653" w:rsidP="006C4019">
      <w:pPr>
        <w:spacing w:after="0" w:line="240" w:lineRule="auto"/>
        <w:jc w:val="both"/>
        <w:rPr>
          <w:rFonts w:ascii="Times New Roman" w:eastAsia="Times New Roman" w:hAnsi="Times New Roman" w:cs="Times New Roman"/>
          <w:sz w:val="24"/>
          <w:szCs w:val="24"/>
          <w:lang w:eastAsia="lv-LV"/>
          <w14:ligatures w14:val="none"/>
        </w:rPr>
      </w:pPr>
    </w:p>
    <w:p w14:paraId="5FA7D4FD" w14:textId="77777777" w:rsidR="00103653" w:rsidRPr="00103653" w:rsidRDefault="00103653" w:rsidP="006C4019">
      <w:pPr>
        <w:spacing w:after="0" w:line="240" w:lineRule="auto"/>
        <w:jc w:val="both"/>
        <w:rPr>
          <w:rFonts w:ascii="Times New Roman" w:eastAsia="Times New Roman" w:hAnsi="Times New Roman" w:cs="Times New Roman"/>
          <w:b/>
          <w:bCs/>
          <w:sz w:val="24"/>
          <w:szCs w:val="24"/>
          <w:lang w:eastAsia="lv-LV"/>
          <w14:ligatures w14:val="none"/>
        </w:rPr>
      </w:pPr>
      <w:r w:rsidRPr="00103653">
        <w:rPr>
          <w:rFonts w:ascii="Times New Roman" w:eastAsia="Times New Roman" w:hAnsi="Times New Roman" w:cs="Times New Roman"/>
          <w:b/>
          <w:bCs/>
          <w:sz w:val="24"/>
          <w:szCs w:val="24"/>
          <w:lang w:eastAsia="lv-LV"/>
          <w14:ligatures w14:val="none"/>
        </w:rPr>
        <w:t>Secinājumi</w:t>
      </w:r>
    </w:p>
    <w:p w14:paraId="1D9F735D" w14:textId="77777777" w:rsidR="003612DF" w:rsidRPr="003612DF" w:rsidRDefault="003612DF" w:rsidP="003612DF">
      <w:pPr>
        <w:spacing w:after="0" w:line="240" w:lineRule="auto"/>
        <w:ind w:firstLine="360"/>
        <w:jc w:val="both"/>
        <w:rPr>
          <w:rFonts w:ascii="Times New Roman" w:eastAsia="Times New Roman" w:hAnsi="Times New Roman" w:cs="Times New Roman"/>
          <w:sz w:val="24"/>
          <w:szCs w:val="24"/>
          <w:lang w:eastAsia="lv-LV"/>
          <w14:ligatures w14:val="none"/>
        </w:rPr>
      </w:pPr>
      <w:r w:rsidRPr="003612DF">
        <w:rPr>
          <w:rFonts w:ascii="Times New Roman" w:eastAsia="Times New Roman" w:hAnsi="Times New Roman" w:cs="Times New Roman"/>
          <w:sz w:val="24"/>
          <w:szCs w:val="24"/>
          <w:lang w:eastAsia="lv-LV"/>
          <w14:ligatures w14:val="none"/>
        </w:rPr>
        <w:t xml:space="preserve">Institūcijās ir izveidoti incidentu pārvaldības </w:t>
      </w:r>
      <w:proofErr w:type="spellStart"/>
      <w:r w:rsidRPr="003612DF">
        <w:rPr>
          <w:rFonts w:ascii="Times New Roman" w:eastAsia="Times New Roman" w:hAnsi="Times New Roman" w:cs="Times New Roman"/>
          <w:sz w:val="24"/>
          <w:szCs w:val="24"/>
          <w:lang w:eastAsia="lv-LV"/>
          <w14:ligatures w14:val="none"/>
        </w:rPr>
        <w:t>pamatmehānismi</w:t>
      </w:r>
      <w:proofErr w:type="spellEnd"/>
      <w:r w:rsidRPr="003612DF">
        <w:rPr>
          <w:rFonts w:ascii="Times New Roman" w:eastAsia="Times New Roman" w:hAnsi="Times New Roman" w:cs="Times New Roman"/>
          <w:sz w:val="24"/>
          <w:szCs w:val="24"/>
          <w:lang w:eastAsia="lv-LV"/>
          <w14:ligatures w14:val="none"/>
        </w:rPr>
        <w:t xml:space="preserve">, tomēr to brieduma līmenis un </w:t>
      </w:r>
      <w:proofErr w:type="spellStart"/>
      <w:r w:rsidRPr="003612DF">
        <w:rPr>
          <w:rFonts w:ascii="Times New Roman" w:eastAsia="Times New Roman" w:hAnsi="Times New Roman" w:cs="Times New Roman"/>
          <w:sz w:val="24"/>
          <w:szCs w:val="24"/>
          <w:lang w:eastAsia="lv-LV"/>
          <w14:ligatures w14:val="none"/>
        </w:rPr>
        <w:t>sasaite</w:t>
      </w:r>
      <w:proofErr w:type="spellEnd"/>
      <w:r w:rsidRPr="003612DF">
        <w:rPr>
          <w:rFonts w:ascii="Times New Roman" w:eastAsia="Times New Roman" w:hAnsi="Times New Roman" w:cs="Times New Roman"/>
          <w:sz w:val="24"/>
          <w:szCs w:val="24"/>
          <w:lang w:eastAsia="lv-LV"/>
          <w14:ligatures w14:val="none"/>
        </w:rPr>
        <w:t xml:space="preserve"> ar darbības nepārtrauktības un krīžu pārvaldības procesiem ir nevienmērīga. Nepietiekami efektīvu novērtējumu izplatība darbības nepārtrauktības un krīzes vadības jomā norāda uz nepieciešamību sistemātiski stiprināt institūciju spēju nodrošināt koordinētu un savlaicīgu darbības atjaunošanu būtisku traucējumu gadījumā.</w:t>
      </w:r>
    </w:p>
    <w:p w14:paraId="09197248" w14:textId="77777777" w:rsidR="003612DF" w:rsidRPr="003612DF" w:rsidRDefault="003612DF" w:rsidP="003612DF">
      <w:pPr>
        <w:spacing w:after="0" w:line="240" w:lineRule="auto"/>
        <w:ind w:firstLine="360"/>
        <w:jc w:val="both"/>
        <w:rPr>
          <w:rFonts w:ascii="Times New Roman" w:eastAsia="Times New Roman" w:hAnsi="Times New Roman" w:cs="Times New Roman"/>
          <w:sz w:val="24"/>
          <w:szCs w:val="24"/>
          <w:lang w:eastAsia="lv-LV"/>
          <w14:ligatures w14:val="none"/>
        </w:rPr>
      </w:pPr>
      <w:r w:rsidRPr="003612DF">
        <w:rPr>
          <w:rFonts w:ascii="Times New Roman" w:eastAsia="Times New Roman" w:hAnsi="Times New Roman" w:cs="Times New Roman"/>
          <w:sz w:val="24"/>
          <w:szCs w:val="24"/>
          <w:lang w:eastAsia="lv-LV"/>
          <w14:ligatures w14:val="none"/>
        </w:rPr>
        <w:t>Konstatētās nepilnības ir sistemātiskas un galvenokārt saistītas ar nepietiekami formalizētām un praksē konsekventi piemērotām incidentu reaģēšanas procedūrām, nepietiekamu notikumu žurnālu uzraudzību un analīzi, nepietiekamu darbinieku sagatavotību, kā arī nepilnīgi testētiem un aktualizētiem darbības nepārtrauktības plāniem.</w:t>
      </w:r>
    </w:p>
    <w:p w14:paraId="5ADECD43" w14:textId="3389DDC5" w:rsidR="00E935D0" w:rsidRPr="00E935D0" w:rsidRDefault="00E935D0" w:rsidP="00E935D0"/>
    <w:p w14:paraId="30755B75" w14:textId="77777777" w:rsidR="00E935D0" w:rsidRPr="002B425A" w:rsidRDefault="00E935D0" w:rsidP="002B425A">
      <w:pPr>
        <w:ind w:firstLine="360"/>
        <w:rPr>
          <w:rFonts w:ascii="Times New Roman" w:eastAsia="Times New Roman" w:hAnsi="Times New Roman" w:cs="Times New Roman"/>
          <w:b/>
          <w:bCs/>
          <w:sz w:val="24"/>
          <w:szCs w:val="24"/>
          <w:lang w:eastAsia="lv-LV"/>
          <w14:ligatures w14:val="none"/>
        </w:rPr>
      </w:pPr>
      <w:r w:rsidRPr="002B425A">
        <w:rPr>
          <w:rFonts w:ascii="Times New Roman" w:eastAsia="Times New Roman" w:hAnsi="Times New Roman" w:cs="Times New Roman"/>
          <w:b/>
          <w:bCs/>
          <w:sz w:val="24"/>
          <w:szCs w:val="24"/>
          <w:lang w:eastAsia="lv-LV"/>
          <w14:ligatures w14:val="none"/>
        </w:rPr>
        <w:lastRenderedPageBreak/>
        <w:t xml:space="preserve">5. </w:t>
      </w:r>
      <w:r w:rsidRPr="002B425A">
        <w:rPr>
          <w:rFonts w:ascii="Times New Roman" w:hAnsi="Times New Roman" w:cs="Times New Roman"/>
          <w:b/>
          <w:bCs/>
          <w:sz w:val="24"/>
          <w:szCs w:val="24"/>
        </w:rPr>
        <w:t>Iekšējās kontroles sistēmas kopējais novērtējums</w:t>
      </w:r>
    </w:p>
    <w:p w14:paraId="4EC33896" w14:textId="6016C933" w:rsidR="00E2344E" w:rsidRDefault="009E18A2" w:rsidP="00E2344E">
      <w:pPr>
        <w:spacing w:after="0" w:line="240" w:lineRule="auto"/>
        <w:ind w:firstLine="360"/>
        <w:jc w:val="both"/>
        <w:rPr>
          <w:rFonts w:ascii="Times New Roman" w:eastAsia="Times New Roman" w:hAnsi="Times New Roman" w:cs="Times New Roman"/>
          <w:sz w:val="24"/>
          <w:szCs w:val="24"/>
          <w:lang w:eastAsia="lv-LV"/>
          <w14:ligatures w14:val="none"/>
        </w:rPr>
      </w:pPr>
      <w:r w:rsidRPr="009E18A2">
        <w:rPr>
          <w:rFonts w:ascii="Times New Roman" w:eastAsia="Times New Roman" w:hAnsi="Times New Roman" w:cs="Times New Roman"/>
          <w:sz w:val="24"/>
          <w:szCs w:val="24"/>
          <w:lang w:eastAsia="lv-LV"/>
          <w14:ligatures w14:val="none"/>
        </w:rPr>
        <w:t>Pamatojoties uz 16 izvērtēto jomu rezultātiem, sniegts kopējais viedoklis par IKT drošības pārvaldības iekšējās kontroles sistēmas (IKS) efektivitāti institūcijās.</w:t>
      </w:r>
      <w:r>
        <w:rPr>
          <w:rFonts w:ascii="Times New Roman" w:eastAsia="Times New Roman" w:hAnsi="Times New Roman" w:cs="Times New Roman"/>
          <w:sz w:val="24"/>
          <w:szCs w:val="24"/>
          <w:lang w:eastAsia="lv-LV"/>
          <w14:ligatures w14:val="none"/>
        </w:rPr>
        <w:t xml:space="preserve"> </w:t>
      </w:r>
      <w:r w:rsidR="00E935D0" w:rsidRPr="00255435">
        <w:rPr>
          <w:rFonts w:ascii="Times New Roman" w:eastAsia="Times New Roman" w:hAnsi="Times New Roman" w:cs="Times New Roman"/>
          <w:sz w:val="24"/>
          <w:szCs w:val="24"/>
          <w:lang w:eastAsia="lv-LV"/>
          <w14:ligatures w14:val="none"/>
        </w:rPr>
        <w:br/>
      </w:r>
    </w:p>
    <w:p w14:paraId="594C91AD" w14:textId="697D89A3" w:rsidR="00A8218F" w:rsidRPr="00E935D0" w:rsidRDefault="00A8218F" w:rsidP="00C60F1F">
      <w:pPr>
        <w:spacing w:after="0" w:line="240" w:lineRule="auto"/>
        <w:jc w:val="center"/>
      </w:pPr>
      <w:r w:rsidRPr="00C5159C">
        <w:rPr>
          <w:noProof/>
          <w:lang w:eastAsia="lv-LV"/>
        </w:rPr>
        <w:drawing>
          <wp:inline distT="0" distB="0" distL="0" distR="0" wp14:anchorId="101632B8" wp14:editId="5BACC4BF">
            <wp:extent cx="4781550" cy="1666875"/>
            <wp:effectExtent l="0" t="0" r="0" b="0"/>
            <wp:docPr id="89672581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E64ADE7" w14:textId="0E8BFCE7" w:rsidR="00A65DAD" w:rsidRPr="00314149" w:rsidRDefault="00A65DAD" w:rsidP="00A65DAD">
      <w:pPr>
        <w:spacing w:after="0" w:line="240" w:lineRule="auto"/>
        <w:ind w:firstLine="720"/>
        <w:jc w:val="center"/>
        <w:rPr>
          <w:rFonts w:ascii="Times New Roman" w:eastAsia="Times New Roman" w:hAnsi="Times New Roman" w:cs="Times New Roman"/>
          <w:i/>
          <w:iCs/>
          <w:sz w:val="24"/>
          <w:szCs w:val="24"/>
          <w:lang w:eastAsia="lv-LV"/>
          <w14:ligatures w14:val="none"/>
        </w:rPr>
      </w:pPr>
      <w:r>
        <w:rPr>
          <w:rFonts w:ascii="Times New Roman" w:eastAsia="Times New Roman" w:hAnsi="Times New Roman" w:cs="Times New Roman"/>
          <w:i/>
          <w:iCs/>
          <w:sz w:val="24"/>
          <w:szCs w:val="24"/>
          <w:lang w:eastAsia="lv-LV"/>
          <w14:ligatures w14:val="none"/>
        </w:rPr>
        <w:t>5</w:t>
      </w:r>
      <w:r w:rsidRPr="00314149">
        <w:rPr>
          <w:rFonts w:ascii="Times New Roman" w:eastAsia="Times New Roman" w:hAnsi="Times New Roman" w:cs="Times New Roman"/>
          <w:i/>
          <w:iCs/>
          <w:sz w:val="24"/>
          <w:szCs w:val="24"/>
          <w:lang w:eastAsia="lv-LV"/>
          <w14:ligatures w14:val="none"/>
        </w:rPr>
        <w:t xml:space="preserve">.attēls. </w:t>
      </w:r>
      <w:r>
        <w:rPr>
          <w:rFonts w:ascii="Times New Roman" w:eastAsia="Times New Roman" w:hAnsi="Times New Roman" w:cs="Times New Roman"/>
          <w:i/>
          <w:iCs/>
          <w:sz w:val="24"/>
          <w:szCs w:val="24"/>
          <w:lang w:eastAsia="lv-LV"/>
          <w14:ligatures w14:val="none"/>
        </w:rPr>
        <w:t>Kopējais IKS</w:t>
      </w:r>
      <w:r w:rsidRPr="00314149">
        <w:rPr>
          <w:rFonts w:ascii="Times New Roman" w:eastAsia="Times New Roman" w:hAnsi="Times New Roman" w:cs="Times New Roman"/>
          <w:i/>
          <w:iCs/>
          <w:sz w:val="24"/>
          <w:szCs w:val="24"/>
          <w:lang w:eastAsia="lv-LV"/>
          <w14:ligatures w14:val="none"/>
        </w:rPr>
        <w:t xml:space="preserve"> novērtējums</w:t>
      </w:r>
      <w:r>
        <w:rPr>
          <w:rFonts w:ascii="Times New Roman" w:eastAsia="Times New Roman" w:hAnsi="Times New Roman" w:cs="Times New Roman"/>
          <w:i/>
          <w:iCs/>
          <w:sz w:val="24"/>
          <w:szCs w:val="24"/>
          <w:lang w:eastAsia="lv-LV"/>
          <w14:ligatures w14:val="none"/>
        </w:rPr>
        <w:t xml:space="preserve"> institūcijās</w:t>
      </w:r>
    </w:p>
    <w:p w14:paraId="3BC2D14D" w14:textId="77777777" w:rsidR="00D72819" w:rsidRDefault="00D72819" w:rsidP="00590A51">
      <w:pPr>
        <w:spacing w:after="0" w:line="240" w:lineRule="auto"/>
        <w:rPr>
          <w:b/>
          <w:bCs/>
        </w:rPr>
      </w:pPr>
    </w:p>
    <w:p w14:paraId="047E0137" w14:textId="77777777" w:rsidR="00A65DAD" w:rsidRDefault="00A65DAD" w:rsidP="00D81E89">
      <w:pPr>
        <w:spacing w:after="0" w:line="240" w:lineRule="auto"/>
        <w:ind w:firstLine="720"/>
        <w:jc w:val="both"/>
        <w:rPr>
          <w:rFonts w:ascii="Times New Roman" w:eastAsia="Times New Roman" w:hAnsi="Times New Roman" w:cs="Times New Roman"/>
          <w:sz w:val="24"/>
          <w:szCs w:val="24"/>
          <w:lang w:eastAsia="lv-LV"/>
          <w14:ligatures w14:val="none"/>
        </w:rPr>
      </w:pPr>
    </w:p>
    <w:p w14:paraId="5D3251E2" w14:textId="7747470F" w:rsidR="00D81E89" w:rsidRPr="00D81E89" w:rsidRDefault="00D81E89" w:rsidP="00D81E89">
      <w:pPr>
        <w:spacing w:after="0" w:line="240" w:lineRule="auto"/>
        <w:ind w:firstLine="720"/>
        <w:jc w:val="both"/>
        <w:rPr>
          <w:rFonts w:ascii="Times New Roman" w:eastAsia="Times New Roman" w:hAnsi="Times New Roman" w:cs="Times New Roman"/>
          <w:sz w:val="24"/>
          <w:szCs w:val="24"/>
          <w:lang w:eastAsia="lv-LV"/>
          <w14:ligatures w14:val="none"/>
        </w:rPr>
      </w:pPr>
      <w:r w:rsidRPr="00D81E89">
        <w:rPr>
          <w:rFonts w:ascii="Times New Roman" w:eastAsia="Times New Roman" w:hAnsi="Times New Roman" w:cs="Times New Roman"/>
          <w:sz w:val="24"/>
          <w:szCs w:val="24"/>
          <w:lang w:eastAsia="lv-LV"/>
          <w14:ligatures w14:val="none"/>
        </w:rPr>
        <w:t>Kopējā IKS novērtējumā dominē pietiekami efektīvi (4</w:t>
      </w:r>
      <w:r w:rsidR="00A70ABB">
        <w:rPr>
          <w:rFonts w:ascii="Times New Roman" w:eastAsia="Times New Roman" w:hAnsi="Times New Roman" w:cs="Times New Roman"/>
          <w:sz w:val="24"/>
          <w:szCs w:val="24"/>
          <w:lang w:eastAsia="lv-LV"/>
          <w14:ligatures w14:val="none"/>
        </w:rPr>
        <w:t>5</w:t>
      </w:r>
      <w:r w:rsidRPr="00D81E89">
        <w:rPr>
          <w:rFonts w:ascii="Times New Roman" w:eastAsia="Times New Roman" w:hAnsi="Times New Roman" w:cs="Times New Roman"/>
          <w:sz w:val="24"/>
          <w:szCs w:val="24"/>
          <w:lang w:eastAsia="lv-LV"/>
          <w14:ligatures w14:val="none"/>
        </w:rPr>
        <w:t xml:space="preserve"> institūcijās) un nepietiekami efektīvi (34 institūcijās) novērtējumi, savukārt efektīvi novērtējumi konstatēti ievērojami mazākā daļā institūciju (12). Atsevišķos gadījumos konstatēti arī neefektīvi novērtējumi, savukārt novērtējums nav veikts tikai atsevišķos gadījumos.</w:t>
      </w:r>
    </w:p>
    <w:p w14:paraId="6E7C290F" w14:textId="77777777" w:rsidR="00D81E89" w:rsidRPr="00D81E89" w:rsidRDefault="00D81E89" w:rsidP="00D81E89">
      <w:pPr>
        <w:spacing w:after="0" w:line="240" w:lineRule="auto"/>
        <w:ind w:firstLine="720"/>
        <w:jc w:val="both"/>
        <w:rPr>
          <w:rFonts w:ascii="Times New Roman" w:eastAsia="Times New Roman" w:hAnsi="Times New Roman" w:cs="Times New Roman"/>
          <w:sz w:val="24"/>
          <w:szCs w:val="24"/>
          <w:lang w:eastAsia="lv-LV"/>
          <w14:ligatures w14:val="none"/>
        </w:rPr>
      </w:pPr>
      <w:r w:rsidRPr="00D81E89">
        <w:rPr>
          <w:rFonts w:ascii="Times New Roman" w:eastAsia="Times New Roman" w:hAnsi="Times New Roman" w:cs="Times New Roman"/>
          <w:sz w:val="24"/>
          <w:szCs w:val="24"/>
          <w:lang w:eastAsia="lv-LV"/>
          <w14:ligatures w14:val="none"/>
        </w:rPr>
        <w:t xml:space="preserve">Rezultātu sadalījums liecina, ka IKT drošības pārvaldības </w:t>
      </w:r>
      <w:proofErr w:type="spellStart"/>
      <w:r w:rsidRPr="00D81E89">
        <w:rPr>
          <w:rFonts w:ascii="Times New Roman" w:eastAsia="Times New Roman" w:hAnsi="Times New Roman" w:cs="Times New Roman"/>
          <w:sz w:val="24"/>
          <w:szCs w:val="24"/>
          <w:lang w:eastAsia="lv-LV"/>
          <w14:ligatures w14:val="none"/>
        </w:rPr>
        <w:t>pamatkontroles</w:t>
      </w:r>
      <w:proofErr w:type="spellEnd"/>
      <w:r w:rsidRPr="00D81E89">
        <w:rPr>
          <w:rFonts w:ascii="Times New Roman" w:eastAsia="Times New Roman" w:hAnsi="Times New Roman" w:cs="Times New Roman"/>
          <w:sz w:val="24"/>
          <w:szCs w:val="24"/>
          <w:lang w:eastAsia="lv-LV"/>
          <w14:ligatures w14:val="none"/>
        </w:rPr>
        <w:t xml:space="preserve"> institūcijās ir izveidotas, tomēr to brieduma līmenis un konsekventa piemērošana praksē ir nevienmērīga. Novērtējumu izkliede starp kategorijām norāda uz būtiskām atšķirībām institūciju IKS attīstības līmenī.</w:t>
      </w:r>
    </w:p>
    <w:p w14:paraId="2C401C1C" w14:textId="77777777" w:rsidR="00D81E89" w:rsidRPr="00D81E89" w:rsidRDefault="00D81E89" w:rsidP="00D81E89">
      <w:pPr>
        <w:spacing w:after="0" w:line="240" w:lineRule="auto"/>
        <w:ind w:firstLine="720"/>
        <w:jc w:val="both"/>
        <w:rPr>
          <w:rFonts w:ascii="Times New Roman" w:eastAsia="Times New Roman" w:hAnsi="Times New Roman" w:cs="Times New Roman"/>
          <w:sz w:val="24"/>
          <w:szCs w:val="24"/>
          <w:lang w:eastAsia="lv-LV"/>
          <w14:ligatures w14:val="none"/>
        </w:rPr>
      </w:pPr>
      <w:r w:rsidRPr="00D81E89">
        <w:rPr>
          <w:rFonts w:ascii="Times New Roman" w:eastAsia="Times New Roman" w:hAnsi="Times New Roman" w:cs="Times New Roman"/>
          <w:sz w:val="24"/>
          <w:szCs w:val="24"/>
          <w:lang w:eastAsia="lv-LV"/>
          <w14:ligatures w14:val="none"/>
        </w:rPr>
        <w:t>Dominējošo kategoriju – pietiekami efektīva un nepietiekami efektīva – līdzīgais īpatsvars liecina, ka IKT drošības pārvaldība valsts pārvaldē kopumā atrodas pārejas posmā starp sākotnēju kontroles mehānismu ieviešanu un sistemātisku, uz risku balstītu pārvaldību.</w:t>
      </w:r>
    </w:p>
    <w:p w14:paraId="32833B29" w14:textId="551ABDB8" w:rsidR="00D81E89" w:rsidRPr="00D81E89" w:rsidRDefault="00552F8D" w:rsidP="00D81E89">
      <w:pPr>
        <w:spacing w:after="0" w:line="240" w:lineRule="auto"/>
        <w:ind w:firstLine="720"/>
        <w:jc w:val="both"/>
        <w:rPr>
          <w:rFonts w:ascii="Times New Roman" w:eastAsia="Times New Roman" w:hAnsi="Times New Roman" w:cs="Times New Roman"/>
          <w:sz w:val="24"/>
          <w:szCs w:val="24"/>
          <w:lang w:eastAsia="lv-LV"/>
          <w14:ligatures w14:val="none"/>
        </w:rPr>
      </w:pPr>
      <w:r w:rsidRPr="00552F8D">
        <w:rPr>
          <w:rFonts w:ascii="Times New Roman" w:eastAsia="Times New Roman" w:hAnsi="Times New Roman" w:cs="Times New Roman"/>
          <w:sz w:val="24"/>
          <w:szCs w:val="24"/>
          <w:lang w:eastAsia="lv-LV"/>
          <w14:ligatures w14:val="none"/>
        </w:rPr>
        <w:t xml:space="preserve">Resoru līmenī no </w:t>
      </w:r>
      <w:r w:rsidR="00D92F1C">
        <w:rPr>
          <w:rFonts w:ascii="Times New Roman" w:eastAsia="Times New Roman" w:hAnsi="Times New Roman" w:cs="Times New Roman"/>
          <w:sz w:val="24"/>
          <w:szCs w:val="24"/>
          <w:lang w:eastAsia="lv-LV"/>
          <w14:ligatures w14:val="none"/>
        </w:rPr>
        <w:t>trīs</w:t>
      </w:r>
      <w:r w:rsidRPr="00552F8D">
        <w:rPr>
          <w:rFonts w:ascii="Times New Roman" w:eastAsia="Times New Roman" w:hAnsi="Times New Roman" w:cs="Times New Roman"/>
          <w:sz w:val="24"/>
          <w:szCs w:val="24"/>
          <w:lang w:eastAsia="lv-LV"/>
          <w14:ligatures w14:val="none"/>
        </w:rPr>
        <w:t xml:space="preserve">padsmit izvērtētajiem resoriem </w:t>
      </w:r>
      <w:r w:rsidR="00D92F1C">
        <w:rPr>
          <w:rFonts w:ascii="Times New Roman" w:eastAsia="Times New Roman" w:hAnsi="Times New Roman" w:cs="Times New Roman"/>
          <w:sz w:val="24"/>
          <w:szCs w:val="24"/>
          <w:lang w:eastAsia="lv-LV"/>
          <w14:ligatures w14:val="none"/>
        </w:rPr>
        <w:t>desmit</w:t>
      </w:r>
      <w:r w:rsidRPr="00552F8D">
        <w:rPr>
          <w:rFonts w:ascii="Times New Roman" w:eastAsia="Times New Roman" w:hAnsi="Times New Roman" w:cs="Times New Roman"/>
          <w:sz w:val="24"/>
          <w:szCs w:val="24"/>
          <w:lang w:eastAsia="lv-LV"/>
          <w14:ligatures w14:val="none"/>
        </w:rPr>
        <w:t xml:space="preserve"> kopējais IKS novērtējums ir pietiekami efektīvs, divos – efektīvs, bet vienā – nepietiekami efektīvs</w:t>
      </w:r>
      <w:r w:rsidR="00D81E89" w:rsidRPr="00D81E89">
        <w:rPr>
          <w:rFonts w:ascii="Times New Roman" w:eastAsia="Times New Roman" w:hAnsi="Times New Roman" w:cs="Times New Roman"/>
          <w:sz w:val="24"/>
          <w:szCs w:val="24"/>
          <w:lang w:eastAsia="lv-LV"/>
          <w14:ligatures w14:val="none"/>
        </w:rPr>
        <w:t>.</w:t>
      </w:r>
    </w:p>
    <w:p w14:paraId="22B07FEF" w14:textId="77777777" w:rsidR="0082189C" w:rsidRDefault="0082189C" w:rsidP="00302598">
      <w:pPr>
        <w:spacing w:after="0" w:line="240" w:lineRule="auto"/>
        <w:jc w:val="both"/>
        <w:rPr>
          <w:rFonts w:ascii="Times New Roman" w:eastAsia="Times New Roman" w:hAnsi="Times New Roman" w:cs="Times New Roman"/>
          <w:sz w:val="24"/>
          <w:szCs w:val="24"/>
          <w:lang w:eastAsia="lv-LV"/>
          <w14:ligatures w14:val="none"/>
        </w:rPr>
      </w:pPr>
    </w:p>
    <w:p w14:paraId="49523E0C" w14:textId="56A8BEE7" w:rsidR="00302598" w:rsidRPr="00302598" w:rsidRDefault="00302598" w:rsidP="00302598">
      <w:pPr>
        <w:spacing w:after="0" w:line="240" w:lineRule="auto"/>
        <w:jc w:val="both"/>
        <w:rPr>
          <w:rFonts w:ascii="Times New Roman" w:eastAsia="Times New Roman" w:hAnsi="Times New Roman" w:cs="Times New Roman"/>
          <w:b/>
          <w:bCs/>
          <w:sz w:val="24"/>
          <w:szCs w:val="24"/>
          <w:lang w:eastAsia="lv-LV"/>
          <w14:ligatures w14:val="none"/>
        </w:rPr>
      </w:pPr>
      <w:r w:rsidRPr="00302598">
        <w:rPr>
          <w:rFonts w:ascii="Times New Roman" w:eastAsia="Times New Roman" w:hAnsi="Times New Roman" w:cs="Times New Roman"/>
          <w:b/>
          <w:bCs/>
          <w:sz w:val="24"/>
          <w:szCs w:val="24"/>
          <w:lang w:eastAsia="lv-LV"/>
          <w14:ligatures w14:val="none"/>
        </w:rPr>
        <w:t>Secinājumi</w:t>
      </w:r>
    </w:p>
    <w:p w14:paraId="385E826E" w14:textId="77777777" w:rsidR="009C57D7" w:rsidRPr="009C57D7" w:rsidRDefault="009C57D7" w:rsidP="009C57D7">
      <w:pPr>
        <w:spacing w:after="0" w:line="240" w:lineRule="auto"/>
        <w:ind w:firstLine="720"/>
        <w:jc w:val="both"/>
        <w:rPr>
          <w:rFonts w:ascii="Times New Roman" w:eastAsia="Times New Roman" w:hAnsi="Times New Roman" w:cs="Times New Roman"/>
          <w:sz w:val="24"/>
          <w:szCs w:val="24"/>
          <w:lang w:eastAsia="lv-LV"/>
          <w14:ligatures w14:val="none"/>
        </w:rPr>
      </w:pPr>
      <w:r w:rsidRPr="009C57D7">
        <w:rPr>
          <w:rFonts w:ascii="Times New Roman" w:eastAsia="Times New Roman" w:hAnsi="Times New Roman" w:cs="Times New Roman"/>
          <w:sz w:val="24"/>
          <w:szCs w:val="24"/>
          <w:lang w:eastAsia="lv-LV"/>
          <w14:ligatures w14:val="none"/>
        </w:rPr>
        <w:t>Kopējais novērtējums liecina, ka IKT drošības pārvaldības iekšējās kontroles sistēma valsts pārvaldē ir attīstības procesā, tomēr tās brieduma līmenis un praktiskā piemērošana ir nevienmērīga. Pietiekami efektīvu un nepietiekami efektīvu novērtējumu dominēšana norāda uz nepieciešamību sistemātiski stiprināt iekšējās kontroles sistēmu un pāriet uz konsekventāku, uz risku balstītu pārvaldības pieeju.</w:t>
      </w:r>
    </w:p>
    <w:p w14:paraId="1CBE8935" w14:textId="77777777" w:rsidR="009C57D7" w:rsidRPr="009C57D7" w:rsidRDefault="009C57D7" w:rsidP="009C57D7">
      <w:pPr>
        <w:spacing w:after="0" w:line="240" w:lineRule="auto"/>
        <w:ind w:firstLine="360"/>
        <w:jc w:val="both"/>
        <w:rPr>
          <w:rFonts w:ascii="Times New Roman" w:eastAsia="Times New Roman" w:hAnsi="Times New Roman" w:cs="Times New Roman"/>
          <w:sz w:val="24"/>
          <w:szCs w:val="24"/>
          <w:lang w:eastAsia="lv-LV"/>
          <w14:ligatures w14:val="none"/>
        </w:rPr>
      </w:pPr>
      <w:r w:rsidRPr="009C57D7">
        <w:rPr>
          <w:rFonts w:ascii="Times New Roman" w:eastAsia="Times New Roman" w:hAnsi="Times New Roman" w:cs="Times New Roman"/>
          <w:sz w:val="24"/>
          <w:szCs w:val="24"/>
          <w:lang w:eastAsia="lv-LV"/>
          <w14:ligatures w14:val="none"/>
        </w:rPr>
        <w:t>Konstatētās nepilnības ir sistēmiskas un galvenokārt saistītas ar:</w:t>
      </w:r>
    </w:p>
    <w:p w14:paraId="54A28886" w14:textId="77777777" w:rsidR="009C57D7" w:rsidRPr="009C57D7" w:rsidRDefault="009C57D7" w:rsidP="000D3812">
      <w:pPr>
        <w:numPr>
          <w:ilvl w:val="0"/>
          <w:numId w:val="4"/>
        </w:numPr>
        <w:spacing w:after="0" w:line="240" w:lineRule="auto"/>
        <w:jc w:val="both"/>
        <w:rPr>
          <w:rFonts w:ascii="Times New Roman" w:eastAsia="Times New Roman" w:hAnsi="Times New Roman" w:cs="Times New Roman"/>
          <w:sz w:val="24"/>
          <w:szCs w:val="24"/>
          <w:lang w:eastAsia="lv-LV"/>
          <w14:ligatures w14:val="none"/>
        </w:rPr>
      </w:pPr>
      <w:r w:rsidRPr="009C57D7">
        <w:rPr>
          <w:rFonts w:ascii="Times New Roman" w:eastAsia="Times New Roman" w:hAnsi="Times New Roman" w:cs="Times New Roman"/>
          <w:sz w:val="24"/>
          <w:szCs w:val="24"/>
          <w:lang w:eastAsia="lv-LV"/>
          <w14:ligatures w14:val="none"/>
        </w:rPr>
        <w:t xml:space="preserve">neviennozīmīgi interpretējamu atbildības sadalījumu un pārvaldības struktūru; </w:t>
      </w:r>
    </w:p>
    <w:p w14:paraId="7A5C6773" w14:textId="77777777" w:rsidR="009C57D7" w:rsidRPr="009C57D7" w:rsidRDefault="009C57D7" w:rsidP="000D3812">
      <w:pPr>
        <w:numPr>
          <w:ilvl w:val="0"/>
          <w:numId w:val="4"/>
        </w:numPr>
        <w:spacing w:after="0" w:line="240" w:lineRule="auto"/>
        <w:jc w:val="both"/>
        <w:rPr>
          <w:rFonts w:ascii="Times New Roman" w:eastAsia="Times New Roman" w:hAnsi="Times New Roman" w:cs="Times New Roman"/>
          <w:sz w:val="24"/>
          <w:szCs w:val="24"/>
          <w:lang w:eastAsia="lv-LV"/>
          <w14:ligatures w14:val="none"/>
        </w:rPr>
      </w:pPr>
      <w:r w:rsidRPr="009C57D7">
        <w:rPr>
          <w:rFonts w:ascii="Times New Roman" w:eastAsia="Times New Roman" w:hAnsi="Times New Roman" w:cs="Times New Roman"/>
          <w:sz w:val="24"/>
          <w:szCs w:val="24"/>
          <w:lang w:eastAsia="lv-LV"/>
          <w14:ligatures w14:val="none"/>
        </w:rPr>
        <w:t xml:space="preserve">atšķirīgu pieeju dokumentācijas izstrādei un procesu organizācijai resoru ietvaros; </w:t>
      </w:r>
    </w:p>
    <w:p w14:paraId="45F9A0C3" w14:textId="77777777" w:rsidR="009C57D7" w:rsidRPr="009C57D7" w:rsidRDefault="009C57D7" w:rsidP="000D3812">
      <w:pPr>
        <w:numPr>
          <w:ilvl w:val="0"/>
          <w:numId w:val="4"/>
        </w:numPr>
        <w:spacing w:after="0" w:line="240" w:lineRule="auto"/>
        <w:jc w:val="both"/>
        <w:rPr>
          <w:rFonts w:ascii="Times New Roman" w:eastAsia="Times New Roman" w:hAnsi="Times New Roman" w:cs="Times New Roman"/>
          <w:sz w:val="24"/>
          <w:szCs w:val="24"/>
          <w:lang w:eastAsia="lv-LV"/>
          <w14:ligatures w14:val="none"/>
        </w:rPr>
      </w:pPr>
      <w:r w:rsidRPr="009C57D7">
        <w:rPr>
          <w:rFonts w:ascii="Times New Roman" w:eastAsia="Times New Roman" w:hAnsi="Times New Roman" w:cs="Times New Roman"/>
          <w:sz w:val="24"/>
          <w:szCs w:val="24"/>
          <w:lang w:eastAsia="lv-LV"/>
          <w14:ligatures w14:val="none"/>
        </w:rPr>
        <w:t xml:space="preserve">nepietiekamu iekšējo uzraudzību par </w:t>
      </w:r>
      <w:proofErr w:type="spellStart"/>
      <w:r w:rsidRPr="009C57D7">
        <w:rPr>
          <w:rFonts w:ascii="Times New Roman" w:eastAsia="Times New Roman" w:hAnsi="Times New Roman" w:cs="Times New Roman"/>
          <w:sz w:val="24"/>
          <w:szCs w:val="24"/>
          <w:lang w:eastAsia="lv-LV"/>
          <w14:ligatures w14:val="none"/>
        </w:rPr>
        <w:t>kiberdrošības</w:t>
      </w:r>
      <w:proofErr w:type="spellEnd"/>
      <w:r w:rsidRPr="009C57D7">
        <w:rPr>
          <w:rFonts w:ascii="Times New Roman" w:eastAsia="Times New Roman" w:hAnsi="Times New Roman" w:cs="Times New Roman"/>
          <w:sz w:val="24"/>
          <w:szCs w:val="24"/>
          <w:lang w:eastAsia="lv-LV"/>
          <w14:ligatures w14:val="none"/>
        </w:rPr>
        <w:t xml:space="preserve"> pasākumu īstenošanu; </w:t>
      </w:r>
    </w:p>
    <w:p w14:paraId="14992798" w14:textId="77777777" w:rsidR="009C57D7" w:rsidRPr="009C57D7" w:rsidRDefault="009C57D7" w:rsidP="000D3812">
      <w:pPr>
        <w:numPr>
          <w:ilvl w:val="0"/>
          <w:numId w:val="4"/>
        </w:numPr>
        <w:spacing w:after="0" w:line="240" w:lineRule="auto"/>
        <w:jc w:val="both"/>
        <w:rPr>
          <w:rFonts w:ascii="Times New Roman" w:eastAsia="Times New Roman" w:hAnsi="Times New Roman" w:cs="Times New Roman"/>
          <w:sz w:val="24"/>
          <w:szCs w:val="24"/>
          <w:lang w:eastAsia="lv-LV"/>
          <w14:ligatures w14:val="none"/>
        </w:rPr>
      </w:pPr>
      <w:r w:rsidRPr="009C57D7">
        <w:rPr>
          <w:rFonts w:ascii="Times New Roman" w:eastAsia="Times New Roman" w:hAnsi="Times New Roman" w:cs="Times New Roman"/>
          <w:sz w:val="24"/>
          <w:szCs w:val="24"/>
          <w:lang w:eastAsia="lv-LV"/>
          <w14:ligatures w14:val="none"/>
        </w:rPr>
        <w:t xml:space="preserve">ierobežotu cilvēkresursu un specializēto kompetenču kapacitāti; </w:t>
      </w:r>
    </w:p>
    <w:p w14:paraId="5290A206" w14:textId="77777777" w:rsidR="009C57D7" w:rsidRPr="009C57D7" w:rsidRDefault="009C57D7" w:rsidP="000D3812">
      <w:pPr>
        <w:numPr>
          <w:ilvl w:val="0"/>
          <w:numId w:val="4"/>
        </w:numPr>
        <w:spacing w:after="0" w:line="240" w:lineRule="auto"/>
        <w:jc w:val="both"/>
        <w:rPr>
          <w:rFonts w:ascii="Times New Roman" w:eastAsia="Times New Roman" w:hAnsi="Times New Roman" w:cs="Times New Roman"/>
          <w:sz w:val="24"/>
          <w:szCs w:val="24"/>
          <w:lang w:eastAsia="lv-LV"/>
          <w14:ligatures w14:val="none"/>
        </w:rPr>
      </w:pPr>
      <w:r w:rsidRPr="009C57D7">
        <w:rPr>
          <w:rFonts w:ascii="Times New Roman" w:eastAsia="Times New Roman" w:hAnsi="Times New Roman" w:cs="Times New Roman"/>
          <w:sz w:val="24"/>
          <w:szCs w:val="24"/>
          <w:lang w:eastAsia="lv-LV"/>
          <w14:ligatures w14:val="none"/>
        </w:rPr>
        <w:t xml:space="preserve">normatīvo prasību (t.sk. neseno izmaiņu) nevienmērīgu ieviešanu praksē; </w:t>
      </w:r>
    </w:p>
    <w:p w14:paraId="11A495AD" w14:textId="77777777" w:rsidR="009C57D7" w:rsidRPr="009C57D7" w:rsidRDefault="009C57D7" w:rsidP="000D3812">
      <w:pPr>
        <w:numPr>
          <w:ilvl w:val="0"/>
          <w:numId w:val="4"/>
        </w:numPr>
        <w:spacing w:after="0" w:line="240" w:lineRule="auto"/>
        <w:jc w:val="both"/>
        <w:rPr>
          <w:rFonts w:ascii="Times New Roman" w:eastAsia="Times New Roman" w:hAnsi="Times New Roman" w:cs="Times New Roman"/>
          <w:sz w:val="24"/>
          <w:szCs w:val="24"/>
          <w:lang w:eastAsia="lv-LV"/>
          <w14:ligatures w14:val="none"/>
        </w:rPr>
      </w:pPr>
      <w:r w:rsidRPr="009C57D7">
        <w:rPr>
          <w:rFonts w:ascii="Times New Roman" w:eastAsia="Times New Roman" w:hAnsi="Times New Roman" w:cs="Times New Roman"/>
          <w:sz w:val="24"/>
          <w:szCs w:val="24"/>
          <w:lang w:eastAsia="lv-LV"/>
          <w14:ligatures w14:val="none"/>
        </w:rPr>
        <w:t xml:space="preserve">atsevišķos gadījumos nepietiekamu finansējumu drošības pasākumu nodrošināšanai. </w:t>
      </w:r>
    </w:p>
    <w:p w14:paraId="78E078BE" w14:textId="77777777" w:rsidR="00915C63" w:rsidRDefault="009C57D7" w:rsidP="009C57D7">
      <w:pPr>
        <w:spacing w:after="0" w:line="240" w:lineRule="auto"/>
        <w:ind w:firstLine="360"/>
        <w:jc w:val="both"/>
        <w:rPr>
          <w:rFonts w:ascii="Times New Roman" w:eastAsia="Times New Roman" w:hAnsi="Times New Roman" w:cs="Times New Roman"/>
          <w:sz w:val="24"/>
          <w:szCs w:val="24"/>
          <w:lang w:eastAsia="lv-LV"/>
          <w14:ligatures w14:val="none"/>
        </w:rPr>
      </w:pPr>
      <w:r w:rsidRPr="009C57D7">
        <w:rPr>
          <w:rFonts w:ascii="Times New Roman" w:eastAsia="Times New Roman" w:hAnsi="Times New Roman" w:cs="Times New Roman"/>
          <w:sz w:val="24"/>
          <w:szCs w:val="24"/>
          <w:lang w:eastAsia="lv-LV"/>
          <w14:ligatures w14:val="none"/>
        </w:rPr>
        <w:lastRenderedPageBreak/>
        <w:t xml:space="preserve">Papildus konstatēti arī atsevišķi tehniski un organizatoriski faktori, kas ietekmē drošības pasākumu efektivitāti, tostarp informācijas sistēmu savietojamības ierobežojumi un nepietiekama sadarbība starp </w:t>
      </w:r>
      <w:proofErr w:type="spellStart"/>
      <w:r w:rsidRPr="009C57D7">
        <w:rPr>
          <w:rFonts w:ascii="Times New Roman" w:eastAsia="Times New Roman" w:hAnsi="Times New Roman" w:cs="Times New Roman"/>
          <w:sz w:val="24"/>
          <w:szCs w:val="24"/>
          <w:lang w:eastAsia="lv-LV"/>
          <w14:ligatures w14:val="none"/>
        </w:rPr>
        <w:t>kiberdrošības</w:t>
      </w:r>
      <w:proofErr w:type="spellEnd"/>
      <w:r w:rsidRPr="009C57D7">
        <w:rPr>
          <w:rFonts w:ascii="Times New Roman" w:eastAsia="Times New Roman" w:hAnsi="Times New Roman" w:cs="Times New Roman"/>
          <w:sz w:val="24"/>
          <w:szCs w:val="24"/>
          <w:lang w:eastAsia="lv-LV"/>
          <w14:ligatures w14:val="none"/>
        </w:rPr>
        <w:t xml:space="preserve"> funkciju un institūciju augstāko vadību.</w:t>
      </w:r>
    </w:p>
    <w:p w14:paraId="6BF54823" w14:textId="2A9715BC" w:rsidR="005371FF" w:rsidRDefault="005371FF" w:rsidP="006D2C92">
      <w:pPr>
        <w:pStyle w:val="Heading1"/>
      </w:pPr>
      <w:bookmarkStart w:id="0" w:name="Pielikums2"/>
    </w:p>
    <w:p w14:paraId="073FAAFC" w14:textId="77777777" w:rsidR="002E2F82" w:rsidRDefault="006D2C92" w:rsidP="005772DA">
      <w:pPr>
        <w:pStyle w:val="Heading1"/>
        <w:spacing w:before="120" w:after="120" w:line="240" w:lineRule="auto"/>
        <w:rPr>
          <w:caps/>
          <w:color w:val="auto"/>
          <w:szCs w:val="24"/>
        </w:rPr>
      </w:pPr>
      <w:r w:rsidRPr="005772DA">
        <w:rPr>
          <w:caps/>
          <w:color w:val="auto"/>
          <w:szCs w:val="24"/>
        </w:rPr>
        <w:t xml:space="preserve">Ieteikumi informācijas un komunikāciju tehnoloģiju </w:t>
      </w:r>
    </w:p>
    <w:p w14:paraId="0E04FC38" w14:textId="48A1EE4C" w:rsidR="00FB1310" w:rsidRPr="005772DA" w:rsidRDefault="006D2C92" w:rsidP="005772DA">
      <w:pPr>
        <w:pStyle w:val="Heading1"/>
        <w:spacing w:before="0"/>
        <w:rPr>
          <w:caps/>
          <w:color w:val="auto"/>
          <w:szCs w:val="24"/>
        </w:rPr>
      </w:pPr>
      <w:r w:rsidRPr="005772DA">
        <w:rPr>
          <w:caps/>
          <w:color w:val="auto"/>
          <w:szCs w:val="24"/>
        </w:rPr>
        <w:t>drošības pārvaldības sistēmas pilnveidošanai</w:t>
      </w:r>
    </w:p>
    <w:bookmarkEnd w:id="0"/>
    <w:p w14:paraId="2EE37380" w14:textId="77777777" w:rsidR="002D226D" w:rsidRDefault="002D226D" w:rsidP="002D226D"/>
    <w:p w14:paraId="07B5D926" w14:textId="77777777" w:rsidR="002D226D" w:rsidRPr="002D226D" w:rsidRDefault="002D226D" w:rsidP="003016B5">
      <w:pPr>
        <w:spacing w:after="0" w:line="240" w:lineRule="auto"/>
        <w:ind w:firstLine="720"/>
        <w:jc w:val="both"/>
        <w:rPr>
          <w:rFonts w:ascii="Times New Roman" w:eastAsia="Times New Roman" w:hAnsi="Times New Roman" w:cs="Times New Roman"/>
          <w:sz w:val="24"/>
          <w:szCs w:val="24"/>
          <w:lang w:eastAsia="lv-LV"/>
          <w14:ligatures w14:val="none"/>
        </w:rPr>
      </w:pPr>
      <w:r w:rsidRPr="002D226D">
        <w:rPr>
          <w:rFonts w:ascii="Times New Roman" w:eastAsia="Times New Roman" w:hAnsi="Times New Roman" w:cs="Times New Roman"/>
          <w:sz w:val="24"/>
          <w:szCs w:val="24"/>
          <w:lang w:eastAsia="lv-LV"/>
          <w14:ligatures w14:val="none"/>
        </w:rPr>
        <w:t>Audita rezultāti liecina, ka valsts pārvaldē ir izveidoti IKT drošības pārvaldības pamatprincipi, tomēr to īstenošana institūcijās ir nevienmērīga. Konstatētās nepilnības norāda uz nepieciešamību pilnveidot normatīvo regulējumu un stiprināt vienotu, uz risku balstītu pieeju IKT drošības pārvaldībai valsts pārvaldē.</w:t>
      </w:r>
    </w:p>
    <w:p w14:paraId="665836D5" w14:textId="77777777" w:rsidR="002D226D" w:rsidRPr="002D226D" w:rsidRDefault="002D226D" w:rsidP="003016B5">
      <w:pPr>
        <w:spacing w:after="0" w:line="240" w:lineRule="auto"/>
        <w:ind w:firstLine="720"/>
        <w:jc w:val="both"/>
        <w:rPr>
          <w:rFonts w:ascii="Times New Roman" w:eastAsia="Times New Roman" w:hAnsi="Times New Roman" w:cs="Times New Roman"/>
          <w:sz w:val="24"/>
          <w:szCs w:val="24"/>
          <w:lang w:eastAsia="lv-LV"/>
          <w14:ligatures w14:val="none"/>
        </w:rPr>
      </w:pPr>
      <w:r w:rsidRPr="002D226D">
        <w:rPr>
          <w:rFonts w:ascii="Times New Roman" w:eastAsia="Times New Roman" w:hAnsi="Times New Roman" w:cs="Times New Roman"/>
          <w:sz w:val="24"/>
          <w:szCs w:val="24"/>
          <w:lang w:eastAsia="lv-LV"/>
          <w14:ligatures w14:val="none"/>
        </w:rPr>
        <w:t xml:space="preserve">Par audita rezultātiem un ieteikumiem tiks informēts Nacionālais </w:t>
      </w:r>
      <w:proofErr w:type="spellStart"/>
      <w:r w:rsidRPr="002D226D">
        <w:rPr>
          <w:rFonts w:ascii="Times New Roman" w:eastAsia="Times New Roman" w:hAnsi="Times New Roman" w:cs="Times New Roman"/>
          <w:sz w:val="24"/>
          <w:szCs w:val="24"/>
          <w:lang w:eastAsia="lv-LV"/>
          <w14:ligatures w14:val="none"/>
        </w:rPr>
        <w:t>kiberdrošības</w:t>
      </w:r>
      <w:proofErr w:type="spellEnd"/>
      <w:r w:rsidRPr="002D226D">
        <w:rPr>
          <w:rFonts w:ascii="Times New Roman" w:eastAsia="Times New Roman" w:hAnsi="Times New Roman" w:cs="Times New Roman"/>
          <w:sz w:val="24"/>
          <w:szCs w:val="24"/>
          <w:lang w:eastAsia="lv-LV"/>
          <w14:ligatures w14:val="none"/>
        </w:rPr>
        <w:t xml:space="preserve"> centrs kā attiecīgo subjektu uzraudzības iestāde.</w:t>
      </w:r>
    </w:p>
    <w:p w14:paraId="3C867B06" w14:textId="0AD5E69B" w:rsidR="002D226D" w:rsidRDefault="003016B5" w:rsidP="003016B5">
      <w:pPr>
        <w:spacing w:after="0" w:line="240" w:lineRule="auto"/>
        <w:ind w:firstLine="720"/>
        <w:jc w:val="both"/>
        <w:rPr>
          <w:rFonts w:ascii="Times New Roman" w:eastAsia="Times New Roman" w:hAnsi="Times New Roman" w:cs="Times New Roman"/>
          <w:sz w:val="24"/>
          <w:szCs w:val="24"/>
          <w:lang w:eastAsia="lv-LV"/>
          <w14:ligatures w14:val="none"/>
        </w:rPr>
      </w:pPr>
      <w:r w:rsidRPr="003016B5">
        <w:rPr>
          <w:rFonts w:ascii="Times New Roman" w:eastAsia="Times New Roman" w:hAnsi="Times New Roman" w:cs="Times New Roman"/>
          <w:sz w:val="24"/>
          <w:szCs w:val="24"/>
          <w:lang w:eastAsia="lv-LV"/>
          <w14:ligatures w14:val="none"/>
        </w:rPr>
        <w:t>Pamatojoties uz audita rezultātiem, politikas veidotājam ieteicams izvērtēt šādus attīstības virzienus:</w:t>
      </w:r>
    </w:p>
    <w:p w14:paraId="19105F5B" w14:textId="77777777" w:rsidR="000B60B3" w:rsidRDefault="000B60B3" w:rsidP="000B60B3">
      <w:pPr>
        <w:spacing w:after="0" w:line="240" w:lineRule="auto"/>
        <w:jc w:val="both"/>
        <w:rPr>
          <w:rFonts w:ascii="Times New Roman" w:eastAsia="Times New Roman" w:hAnsi="Times New Roman" w:cs="Times New Roman"/>
          <w:sz w:val="24"/>
          <w:szCs w:val="24"/>
          <w:lang w:eastAsia="lv-LV"/>
          <w14:ligatures w14:val="none"/>
        </w:rPr>
      </w:pPr>
    </w:p>
    <w:tbl>
      <w:tblPr>
        <w:tblStyle w:val="GridTable4-Accent1"/>
        <w:tblW w:w="0" w:type="auto"/>
        <w:tblLook w:val="04A0" w:firstRow="1" w:lastRow="0" w:firstColumn="1" w:lastColumn="0" w:noHBand="0" w:noVBand="1"/>
      </w:tblPr>
      <w:tblGrid>
        <w:gridCol w:w="2952"/>
        <w:gridCol w:w="3833"/>
        <w:gridCol w:w="2610"/>
      </w:tblGrid>
      <w:tr w:rsidR="009329AD" w:rsidRPr="009329AD" w14:paraId="7A265345" w14:textId="77777777" w:rsidTr="009329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ECBFBC"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Problēma</w:t>
            </w:r>
          </w:p>
        </w:tc>
        <w:tc>
          <w:tcPr>
            <w:tcW w:w="0" w:type="auto"/>
            <w:hideMark/>
          </w:tcPr>
          <w:p w14:paraId="558465C3" w14:textId="77777777" w:rsidR="009329AD" w:rsidRPr="009329AD" w:rsidRDefault="009329AD" w:rsidP="009329AD">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Ieteikums</w:t>
            </w:r>
          </w:p>
        </w:tc>
        <w:tc>
          <w:tcPr>
            <w:tcW w:w="0" w:type="auto"/>
            <w:hideMark/>
          </w:tcPr>
          <w:p w14:paraId="5340DB35" w14:textId="77777777" w:rsidR="009329AD" w:rsidRPr="009329AD" w:rsidRDefault="009329AD" w:rsidP="009329AD">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Sagaidāmais ieguvums</w:t>
            </w:r>
          </w:p>
        </w:tc>
      </w:tr>
      <w:tr w:rsidR="009329AD" w:rsidRPr="009329AD" w14:paraId="69FD5F9A" w14:textId="77777777" w:rsidTr="009329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558829"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Atšķirīga pieeja IKT drošības pārvaldībai institūcijās, trūkst vienota metodiskā ietvara</w:t>
            </w:r>
          </w:p>
        </w:tc>
        <w:tc>
          <w:tcPr>
            <w:tcW w:w="0" w:type="auto"/>
            <w:hideMark/>
          </w:tcPr>
          <w:p w14:paraId="0B555DBF"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Izstrādāt vienotu metodisko ietvaru IKT drošības pārvaldībai valsts pārvaldē, tostarp informācijas sistēmu dzīves cikla, drošības pārbaužu un risku pārvaldībai</w:t>
            </w:r>
          </w:p>
        </w:tc>
        <w:tc>
          <w:tcPr>
            <w:tcW w:w="0" w:type="auto"/>
            <w:hideMark/>
          </w:tcPr>
          <w:p w14:paraId="64FA1B7C"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Vienota un salīdzināma pieeja IKT drošības pārvaldībai, uzlabota kontroles kvalitāte</w:t>
            </w:r>
          </w:p>
        </w:tc>
      </w:tr>
      <w:tr w:rsidR="009329AD" w:rsidRPr="009329AD" w14:paraId="2894BE39" w14:textId="77777777" w:rsidTr="009329AD">
        <w:tc>
          <w:tcPr>
            <w:cnfStyle w:val="001000000000" w:firstRow="0" w:lastRow="0" w:firstColumn="1" w:lastColumn="0" w:oddVBand="0" w:evenVBand="0" w:oddHBand="0" w:evenHBand="0" w:firstRowFirstColumn="0" w:firstRowLastColumn="0" w:lastRowFirstColumn="0" w:lastRowLastColumn="0"/>
            <w:tcW w:w="0" w:type="auto"/>
            <w:hideMark/>
          </w:tcPr>
          <w:p w14:paraId="384984F1"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Nav vienotas pieejas regulārām informācijas sistēmu drošības pārbaudēm</w:t>
            </w:r>
          </w:p>
        </w:tc>
        <w:tc>
          <w:tcPr>
            <w:tcW w:w="0" w:type="auto"/>
            <w:hideMark/>
          </w:tcPr>
          <w:p w14:paraId="777DDDE6"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Noteikt vienotu kārtību regulāru drošības pārbaužu veikšanai, nosakot to apjomu, regularitāti un atbildību</w:t>
            </w:r>
          </w:p>
        </w:tc>
        <w:tc>
          <w:tcPr>
            <w:tcW w:w="0" w:type="auto"/>
            <w:hideMark/>
          </w:tcPr>
          <w:p w14:paraId="32B6C448"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Savlaicīga ievainojamību identificēšana un risku mazināšana</w:t>
            </w:r>
          </w:p>
        </w:tc>
      </w:tr>
      <w:tr w:rsidR="009329AD" w:rsidRPr="009329AD" w14:paraId="2401B7D2" w14:textId="77777777" w:rsidTr="009329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524FCB"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Nepietiekami attīstīta piekļuves tiesību un identitātes pārvaldība</w:t>
            </w:r>
          </w:p>
        </w:tc>
        <w:tc>
          <w:tcPr>
            <w:tcW w:w="0" w:type="auto"/>
            <w:hideMark/>
          </w:tcPr>
          <w:p w14:paraId="09CC1CB4"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Noteikt vienotas prasības lietotāju piekļuves tiesību pārvaldībai, īpaši privileģēto kontu kontrolei un daudzfaktoru autentifikācijai</w:t>
            </w:r>
          </w:p>
        </w:tc>
        <w:tc>
          <w:tcPr>
            <w:tcW w:w="0" w:type="auto"/>
            <w:hideMark/>
          </w:tcPr>
          <w:p w14:paraId="7675E5E7"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Samazināti nesankcionētas piekļuves un drošības incidentu riski</w:t>
            </w:r>
          </w:p>
        </w:tc>
      </w:tr>
      <w:tr w:rsidR="009329AD" w:rsidRPr="009329AD" w14:paraId="0E23FBFE" w14:textId="77777777" w:rsidTr="009329AD">
        <w:tc>
          <w:tcPr>
            <w:cnfStyle w:val="001000000000" w:firstRow="0" w:lastRow="0" w:firstColumn="1" w:lastColumn="0" w:oddVBand="0" w:evenVBand="0" w:oddHBand="0" w:evenHBand="0" w:firstRowFirstColumn="0" w:firstRowLastColumn="0" w:lastRowFirstColumn="0" w:lastRowLastColumn="0"/>
            <w:tcW w:w="0" w:type="auto"/>
            <w:hideMark/>
          </w:tcPr>
          <w:p w14:paraId="70F5B227"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 xml:space="preserve">Nepietiekami vienota pieeja </w:t>
            </w:r>
            <w:proofErr w:type="spellStart"/>
            <w:r w:rsidRPr="009329AD">
              <w:rPr>
                <w:rFonts w:ascii="Times New Roman" w:eastAsia="Times New Roman" w:hAnsi="Times New Roman" w:cs="Times New Roman"/>
                <w:sz w:val="20"/>
                <w:szCs w:val="20"/>
                <w:lang w:eastAsia="lv-LV"/>
                <w14:ligatures w14:val="none"/>
              </w:rPr>
              <w:t>kiberdrošības</w:t>
            </w:r>
            <w:proofErr w:type="spellEnd"/>
            <w:r w:rsidRPr="009329AD">
              <w:rPr>
                <w:rFonts w:ascii="Times New Roman" w:eastAsia="Times New Roman" w:hAnsi="Times New Roman" w:cs="Times New Roman"/>
                <w:sz w:val="20"/>
                <w:szCs w:val="20"/>
                <w:lang w:eastAsia="lv-LV"/>
                <w14:ligatures w14:val="none"/>
              </w:rPr>
              <w:t xml:space="preserve"> risku pārvaldībai</w:t>
            </w:r>
          </w:p>
        </w:tc>
        <w:tc>
          <w:tcPr>
            <w:tcW w:w="0" w:type="auto"/>
            <w:hideMark/>
          </w:tcPr>
          <w:p w14:paraId="1CC06B38"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 xml:space="preserve">Izstrādāt vienotu pieeju </w:t>
            </w:r>
            <w:proofErr w:type="spellStart"/>
            <w:r w:rsidRPr="009329AD">
              <w:rPr>
                <w:rFonts w:ascii="Times New Roman" w:eastAsia="Times New Roman" w:hAnsi="Times New Roman" w:cs="Times New Roman"/>
                <w:sz w:val="20"/>
                <w:szCs w:val="20"/>
                <w:lang w:eastAsia="lv-LV"/>
                <w14:ligatures w14:val="none"/>
              </w:rPr>
              <w:t>kiberdrošības</w:t>
            </w:r>
            <w:proofErr w:type="spellEnd"/>
            <w:r w:rsidRPr="009329AD">
              <w:rPr>
                <w:rFonts w:ascii="Times New Roman" w:eastAsia="Times New Roman" w:hAnsi="Times New Roman" w:cs="Times New Roman"/>
                <w:sz w:val="20"/>
                <w:szCs w:val="20"/>
                <w:lang w:eastAsia="lv-LV"/>
                <w14:ligatures w14:val="none"/>
              </w:rPr>
              <w:t xml:space="preserve"> risku identificēšanai, novērtēšanai un uzraudzībai</w:t>
            </w:r>
          </w:p>
        </w:tc>
        <w:tc>
          <w:tcPr>
            <w:tcW w:w="0" w:type="auto"/>
            <w:hideMark/>
          </w:tcPr>
          <w:p w14:paraId="1CDE104C"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Uzlabota risku pārvaldība un savlaicīga apdraudējumu identificēšana</w:t>
            </w:r>
          </w:p>
        </w:tc>
      </w:tr>
      <w:tr w:rsidR="009329AD" w:rsidRPr="009329AD" w14:paraId="54A889AF" w14:textId="77777777" w:rsidTr="009329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870496"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Atšķirīga incidentu pārvaldības prakse institūcijās</w:t>
            </w:r>
          </w:p>
        </w:tc>
        <w:tc>
          <w:tcPr>
            <w:tcW w:w="0" w:type="auto"/>
            <w:hideMark/>
          </w:tcPr>
          <w:p w14:paraId="77C7A2A4"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Pilnveidot vienotu drošības incidentu pārvaldības metodiku, tostarp klasifikāciju, reģistrēšanu un koordinētu reaģēšanu</w:t>
            </w:r>
          </w:p>
        </w:tc>
        <w:tc>
          <w:tcPr>
            <w:tcW w:w="0" w:type="auto"/>
            <w:hideMark/>
          </w:tcPr>
          <w:p w14:paraId="40B7579A"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Efektīvāka incidentu pārvaldība un koordinēta rīcība valsts līmenī</w:t>
            </w:r>
          </w:p>
        </w:tc>
      </w:tr>
      <w:tr w:rsidR="009329AD" w:rsidRPr="009329AD" w14:paraId="321EF239" w14:textId="77777777" w:rsidTr="009329AD">
        <w:tc>
          <w:tcPr>
            <w:cnfStyle w:val="001000000000" w:firstRow="0" w:lastRow="0" w:firstColumn="1" w:lastColumn="0" w:oddVBand="0" w:evenVBand="0" w:oddHBand="0" w:evenHBand="0" w:firstRowFirstColumn="0" w:firstRowLastColumn="0" w:lastRowFirstColumn="0" w:lastRowLastColumn="0"/>
            <w:tcW w:w="0" w:type="auto"/>
            <w:hideMark/>
          </w:tcPr>
          <w:p w14:paraId="60B6D723"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 xml:space="preserve">Nepietiekama darbinieku kompetence </w:t>
            </w:r>
            <w:proofErr w:type="spellStart"/>
            <w:r w:rsidRPr="009329AD">
              <w:rPr>
                <w:rFonts w:ascii="Times New Roman" w:eastAsia="Times New Roman" w:hAnsi="Times New Roman" w:cs="Times New Roman"/>
                <w:sz w:val="20"/>
                <w:szCs w:val="20"/>
                <w:lang w:eastAsia="lv-LV"/>
                <w14:ligatures w14:val="none"/>
              </w:rPr>
              <w:t>kiberdrošības</w:t>
            </w:r>
            <w:proofErr w:type="spellEnd"/>
            <w:r w:rsidRPr="009329AD">
              <w:rPr>
                <w:rFonts w:ascii="Times New Roman" w:eastAsia="Times New Roman" w:hAnsi="Times New Roman" w:cs="Times New Roman"/>
                <w:sz w:val="20"/>
                <w:szCs w:val="20"/>
                <w:lang w:eastAsia="lv-LV"/>
                <w14:ligatures w14:val="none"/>
              </w:rPr>
              <w:t xml:space="preserve"> jomā</w:t>
            </w:r>
          </w:p>
        </w:tc>
        <w:tc>
          <w:tcPr>
            <w:tcW w:w="0" w:type="auto"/>
            <w:hideMark/>
          </w:tcPr>
          <w:p w14:paraId="61684E60"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 xml:space="preserve">Nodrošināt koordinētu un centralizētu pieeju darbinieku apmācībām un zināšanu pārbaudei </w:t>
            </w:r>
            <w:proofErr w:type="spellStart"/>
            <w:r w:rsidRPr="009329AD">
              <w:rPr>
                <w:rFonts w:ascii="Times New Roman" w:eastAsia="Times New Roman" w:hAnsi="Times New Roman" w:cs="Times New Roman"/>
                <w:sz w:val="20"/>
                <w:szCs w:val="20"/>
                <w:lang w:eastAsia="lv-LV"/>
                <w14:ligatures w14:val="none"/>
              </w:rPr>
              <w:t>kiberdrošības</w:t>
            </w:r>
            <w:proofErr w:type="spellEnd"/>
            <w:r w:rsidRPr="009329AD">
              <w:rPr>
                <w:rFonts w:ascii="Times New Roman" w:eastAsia="Times New Roman" w:hAnsi="Times New Roman" w:cs="Times New Roman"/>
                <w:sz w:val="20"/>
                <w:szCs w:val="20"/>
                <w:lang w:eastAsia="lv-LV"/>
                <w14:ligatures w14:val="none"/>
              </w:rPr>
              <w:t xml:space="preserve"> jomā</w:t>
            </w:r>
          </w:p>
        </w:tc>
        <w:tc>
          <w:tcPr>
            <w:tcW w:w="0" w:type="auto"/>
            <w:hideMark/>
          </w:tcPr>
          <w:p w14:paraId="7993B1F5"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 xml:space="preserve">Paaugstināta institūciju kapacitāte un izpratne par </w:t>
            </w:r>
            <w:proofErr w:type="spellStart"/>
            <w:r w:rsidRPr="009329AD">
              <w:rPr>
                <w:rFonts w:ascii="Times New Roman" w:eastAsia="Times New Roman" w:hAnsi="Times New Roman" w:cs="Times New Roman"/>
                <w:sz w:val="20"/>
                <w:szCs w:val="20"/>
                <w:lang w:eastAsia="lv-LV"/>
                <w14:ligatures w14:val="none"/>
              </w:rPr>
              <w:t>kiberdrošības</w:t>
            </w:r>
            <w:proofErr w:type="spellEnd"/>
            <w:r w:rsidRPr="009329AD">
              <w:rPr>
                <w:rFonts w:ascii="Times New Roman" w:eastAsia="Times New Roman" w:hAnsi="Times New Roman" w:cs="Times New Roman"/>
                <w:sz w:val="20"/>
                <w:szCs w:val="20"/>
                <w:lang w:eastAsia="lv-LV"/>
                <w14:ligatures w14:val="none"/>
              </w:rPr>
              <w:t xml:space="preserve"> riskiem</w:t>
            </w:r>
          </w:p>
        </w:tc>
      </w:tr>
      <w:tr w:rsidR="009329AD" w:rsidRPr="009329AD" w14:paraId="6BFA789C" w14:textId="77777777" w:rsidTr="009329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3F5609"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Ierobežota cilvēkresursu kapacitāte un specializēto kompetenču trūkums</w:t>
            </w:r>
          </w:p>
        </w:tc>
        <w:tc>
          <w:tcPr>
            <w:tcW w:w="0" w:type="auto"/>
            <w:hideMark/>
          </w:tcPr>
          <w:p w14:paraId="60D49599"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 xml:space="preserve">Izvērtēt iespējas attīstīt centralizētus </w:t>
            </w:r>
            <w:proofErr w:type="spellStart"/>
            <w:r w:rsidRPr="009329AD">
              <w:rPr>
                <w:rFonts w:ascii="Times New Roman" w:eastAsia="Times New Roman" w:hAnsi="Times New Roman" w:cs="Times New Roman"/>
                <w:sz w:val="20"/>
                <w:szCs w:val="20"/>
                <w:lang w:eastAsia="lv-LV"/>
                <w14:ligatures w14:val="none"/>
              </w:rPr>
              <w:t>kiberdrošības</w:t>
            </w:r>
            <w:proofErr w:type="spellEnd"/>
            <w:r w:rsidRPr="009329AD">
              <w:rPr>
                <w:rFonts w:ascii="Times New Roman" w:eastAsia="Times New Roman" w:hAnsi="Times New Roman" w:cs="Times New Roman"/>
                <w:sz w:val="20"/>
                <w:szCs w:val="20"/>
                <w:lang w:eastAsia="lv-LV"/>
                <w14:ligatures w14:val="none"/>
              </w:rPr>
              <w:t xml:space="preserve"> pakalpojumus vai kompetenču centrus</w:t>
            </w:r>
          </w:p>
        </w:tc>
        <w:tc>
          <w:tcPr>
            <w:tcW w:w="0" w:type="auto"/>
            <w:hideMark/>
          </w:tcPr>
          <w:p w14:paraId="567BF1DC"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Efektīvāka resursu izmantošana un kvalificētu speciālistu pieejamība</w:t>
            </w:r>
          </w:p>
        </w:tc>
      </w:tr>
      <w:tr w:rsidR="009329AD" w:rsidRPr="009329AD" w14:paraId="62C4E018" w14:textId="77777777" w:rsidTr="009329AD">
        <w:tc>
          <w:tcPr>
            <w:cnfStyle w:val="001000000000" w:firstRow="0" w:lastRow="0" w:firstColumn="1" w:lastColumn="0" w:oddVBand="0" w:evenVBand="0" w:oddHBand="0" w:evenHBand="0" w:firstRowFirstColumn="0" w:firstRowLastColumn="0" w:lastRowFirstColumn="0" w:lastRowLastColumn="0"/>
            <w:tcW w:w="0" w:type="auto"/>
            <w:hideMark/>
          </w:tcPr>
          <w:p w14:paraId="02F1E3E6"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Nepietiekami vienota pieeja informācijas sistēmu dzīves cikla pārvaldībai</w:t>
            </w:r>
          </w:p>
        </w:tc>
        <w:tc>
          <w:tcPr>
            <w:tcW w:w="0" w:type="auto"/>
            <w:hideMark/>
          </w:tcPr>
          <w:p w14:paraId="14C09F56"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Noteikt vienotas prasības informācijas sistēmu ieviešanai, uzturēšanai un likvidēšanai</w:t>
            </w:r>
          </w:p>
        </w:tc>
        <w:tc>
          <w:tcPr>
            <w:tcW w:w="0" w:type="auto"/>
            <w:hideMark/>
          </w:tcPr>
          <w:p w14:paraId="3CAD633D"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Uzlabota sistēmu drošība visā to dzīves ciklā</w:t>
            </w:r>
          </w:p>
        </w:tc>
      </w:tr>
      <w:tr w:rsidR="009329AD" w:rsidRPr="009329AD" w14:paraId="68689BBF" w14:textId="77777777" w:rsidTr="009329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D5D6C1"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Nepilnības programmatūras atjauninājumu pārvaldībā</w:t>
            </w:r>
          </w:p>
        </w:tc>
        <w:tc>
          <w:tcPr>
            <w:tcW w:w="0" w:type="auto"/>
            <w:hideMark/>
          </w:tcPr>
          <w:p w14:paraId="679C8260"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Noteikt vienotas prasības drošības un programmatūras atjauninājumu pārvaldībai, tostarp ārkārtas atjauninājumu ieviešanai</w:t>
            </w:r>
          </w:p>
        </w:tc>
        <w:tc>
          <w:tcPr>
            <w:tcW w:w="0" w:type="auto"/>
            <w:hideMark/>
          </w:tcPr>
          <w:p w14:paraId="7A429C06"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Samazināts ievainojamību risks un savlaicīga drošības problēmu novēršana</w:t>
            </w:r>
          </w:p>
        </w:tc>
      </w:tr>
      <w:tr w:rsidR="009329AD" w:rsidRPr="009329AD" w14:paraId="5A6267E7" w14:textId="77777777" w:rsidTr="009329AD">
        <w:tc>
          <w:tcPr>
            <w:cnfStyle w:val="001000000000" w:firstRow="0" w:lastRow="0" w:firstColumn="1" w:lastColumn="0" w:oddVBand="0" w:evenVBand="0" w:oddHBand="0" w:evenHBand="0" w:firstRowFirstColumn="0" w:firstRowLastColumn="0" w:lastRowFirstColumn="0" w:lastRowLastColumn="0"/>
            <w:tcW w:w="0" w:type="auto"/>
            <w:hideMark/>
          </w:tcPr>
          <w:p w14:paraId="102BDB1C"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Nepietiekama darbības nepārtrauktības plānošana un testēšana</w:t>
            </w:r>
          </w:p>
        </w:tc>
        <w:tc>
          <w:tcPr>
            <w:tcW w:w="0" w:type="auto"/>
            <w:hideMark/>
          </w:tcPr>
          <w:p w14:paraId="7D818A26"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Pilnveidot vienotu pieeju darbības nepārtrauktības plānošanai un regulārai testēšanai</w:t>
            </w:r>
          </w:p>
        </w:tc>
        <w:tc>
          <w:tcPr>
            <w:tcW w:w="0" w:type="auto"/>
            <w:hideMark/>
          </w:tcPr>
          <w:p w14:paraId="6D9DD0DC"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Uzlabota institūciju noturība pret traucējumiem</w:t>
            </w:r>
          </w:p>
        </w:tc>
      </w:tr>
      <w:tr w:rsidR="009329AD" w:rsidRPr="009329AD" w14:paraId="04ACE05D" w14:textId="77777777" w:rsidTr="009329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38FCFC"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lastRenderedPageBreak/>
              <w:t xml:space="preserve">Nepietiekami attīstīts </w:t>
            </w:r>
            <w:proofErr w:type="spellStart"/>
            <w:r w:rsidRPr="009329AD">
              <w:rPr>
                <w:rFonts w:ascii="Times New Roman" w:eastAsia="Times New Roman" w:hAnsi="Times New Roman" w:cs="Times New Roman"/>
                <w:sz w:val="20"/>
                <w:szCs w:val="20"/>
                <w:lang w:eastAsia="lv-LV"/>
                <w14:ligatures w14:val="none"/>
              </w:rPr>
              <w:t>kiberdrošības</w:t>
            </w:r>
            <w:proofErr w:type="spellEnd"/>
            <w:r w:rsidRPr="009329AD">
              <w:rPr>
                <w:rFonts w:ascii="Times New Roman" w:eastAsia="Times New Roman" w:hAnsi="Times New Roman" w:cs="Times New Roman"/>
                <w:sz w:val="20"/>
                <w:szCs w:val="20"/>
                <w:lang w:eastAsia="lv-LV"/>
                <w14:ligatures w14:val="none"/>
              </w:rPr>
              <w:t xml:space="preserve"> krīžu pārvaldības ietvars</w:t>
            </w:r>
          </w:p>
        </w:tc>
        <w:tc>
          <w:tcPr>
            <w:tcW w:w="0" w:type="auto"/>
            <w:hideMark/>
          </w:tcPr>
          <w:p w14:paraId="014E10E3"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Izstrādāt vienotu IKT krīžu pārvaldības ietvaru un koordinācijas mehānismus</w:t>
            </w:r>
          </w:p>
        </w:tc>
        <w:tc>
          <w:tcPr>
            <w:tcW w:w="0" w:type="auto"/>
            <w:hideMark/>
          </w:tcPr>
          <w:p w14:paraId="2AEA96EE"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Efektīvāka rīcība krīzes situācijās un ātrāka darbības atjaunošana</w:t>
            </w:r>
          </w:p>
        </w:tc>
      </w:tr>
      <w:tr w:rsidR="009329AD" w:rsidRPr="009329AD" w14:paraId="35469778" w14:textId="77777777" w:rsidTr="009329AD">
        <w:tc>
          <w:tcPr>
            <w:cnfStyle w:val="001000000000" w:firstRow="0" w:lastRow="0" w:firstColumn="1" w:lastColumn="0" w:oddVBand="0" w:evenVBand="0" w:oddHBand="0" w:evenHBand="0" w:firstRowFirstColumn="0" w:firstRowLastColumn="0" w:lastRowFirstColumn="0" w:lastRowLastColumn="0"/>
            <w:tcW w:w="0" w:type="auto"/>
            <w:hideMark/>
          </w:tcPr>
          <w:p w14:paraId="7727FBBA"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Neskaidrs atbildību sadalījums sadarbībā ar centralizētiem IKT pakalpojumu sniedzējiem</w:t>
            </w:r>
          </w:p>
        </w:tc>
        <w:tc>
          <w:tcPr>
            <w:tcW w:w="0" w:type="auto"/>
            <w:hideMark/>
          </w:tcPr>
          <w:p w14:paraId="53F11002"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Izstrādāt vadlīnijas sadarbībai starp institūcijām un centralizēto pakalpojumu sniedzējiem, nosakot skaidru atbildību sadalījumu</w:t>
            </w:r>
          </w:p>
        </w:tc>
        <w:tc>
          <w:tcPr>
            <w:tcW w:w="0" w:type="auto"/>
            <w:hideMark/>
          </w:tcPr>
          <w:p w14:paraId="62000181"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Skaidrs atbildību sadalījums un uzlabota drošības prasību ievērošana</w:t>
            </w:r>
          </w:p>
        </w:tc>
      </w:tr>
      <w:tr w:rsidR="009329AD" w:rsidRPr="009329AD" w14:paraId="424B9D53" w14:textId="77777777" w:rsidTr="009329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2D95C1"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Ierobežota finansējuma pārskatāmība IKT drošības jomā</w:t>
            </w:r>
          </w:p>
        </w:tc>
        <w:tc>
          <w:tcPr>
            <w:tcW w:w="0" w:type="auto"/>
            <w:hideMark/>
          </w:tcPr>
          <w:p w14:paraId="1FD7120A"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Izvērtēt iespēju noteikt atsevišķu budžeta klasifikāciju IKT drošības pasākumiem</w:t>
            </w:r>
          </w:p>
        </w:tc>
        <w:tc>
          <w:tcPr>
            <w:tcW w:w="0" w:type="auto"/>
            <w:hideMark/>
          </w:tcPr>
          <w:p w14:paraId="18DBC61A"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Pārskatāmāka un mērķtiecīgāka finansējuma plānošana</w:t>
            </w:r>
          </w:p>
        </w:tc>
      </w:tr>
      <w:tr w:rsidR="009329AD" w:rsidRPr="009329AD" w14:paraId="54A1F4B3" w14:textId="77777777" w:rsidTr="009329AD">
        <w:tc>
          <w:tcPr>
            <w:cnfStyle w:val="001000000000" w:firstRow="0" w:lastRow="0" w:firstColumn="1" w:lastColumn="0" w:oddVBand="0" w:evenVBand="0" w:oddHBand="0" w:evenHBand="0" w:firstRowFirstColumn="0" w:firstRowLastColumn="0" w:lastRowFirstColumn="0" w:lastRowLastColumn="0"/>
            <w:tcW w:w="0" w:type="auto"/>
            <w:hideMark/>
          </w:tcPr>
          <w:p w14:paraId="69DF56BC"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IKT drošības pārvaldnieku prasības neatbilst institūciju kapacitātei</w:t>
            </w:r>
          </w:p>
        </w:tc>
        <w:tc>
          <w:tcPr>
            <w:tcW w:w="0" w:type="auto"/>
            <w:hideMark/>
          </w:tcPr>
          <w:p w14:paraId="380F657B"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Izvērtēt IKT drošības pārvaldnieku kvalifikācijas prasības un noslodzes regulējumu</w:t>
            </w:r>
          </w:p>
        </w:tc>
        <w:tc>
          <w:tcPr>
            <w:tcW w:w="0" w:type="auto"/>
            <w:hideMark/>
          </w:tcPr>
          <w:p w14:paraId="41B4EAD6"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Reālistiskāka un efektīvāka funkcijas izpilde institūcijās</w:t>
            </w:r>
          </w:p>
        </w:tc>
      </w:tr>
      <w:tr w:rsidR="009329AD" w:rsidRPr="009329AD" w14:paraId="49EE2479" w14:textId="77777777" w:rsidTr="009329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355283"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Augstas administratīvās prasības dokumentācijai</w:t>
            </w:r>
          </w:p>
        </w:tc>
        <w:tc>
          <w:tcPr>
            <w:tcW w:w="0" w:type="auto"/>
            <w:hideMark/>
          </w:tcPr>
          <w:p w14:paraId="6CAB6379"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Izvērtēt iespēju diferencēt dokumentācijas prasības, ņemot vērā informācijas sistēmu klasifikāciju un kritiskumu</w:t>
            </w:r>
          </w:p>
        </w:tc>
        <w:tc>
          <w:tcPr>
            <w:tcW w:w="0" w:type="auto"/>
            <w:hideMark/>
          </w:tcPr>
          <w:p w14:paraId="06140AC7" w14:textId="77777777" w:rsidR="009329AD" w:rsidRPr="009329AD" w:rsidRDefault="009329AD" w:rsidP="009329A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Samazināts administratīvais slogs un efektīvāka dokumentu pārvaldība</w:t>
            </w:r>
          </w:p>
        </w:tc>
      </w:tr>
      <w:tr w:rsidR="009329AD" w:rsidRPr="009329AD" w14:paraId="7D3E054A" w14:textId="77777777" w:rsidTr="009329AD">
        <w:tc>
          <w:tcPr>
            <w:cnfStyle w:val="001000000000" w:firstRow="0" w:lastRow="0" w:firstColumn="1" w:lastColumn="0" w:oddVBand="0" w:evenVBand="0" w:oddHBand="0" w:evenHBand="0" w:firstRowFirstColumn="0" w:firstRowLastColumn="0" w:lastRowFirstColumn="0" w:lastRowLastColumn="0"/>
            <w:tcW w:w="0" w:type="auto"/>
            <w:hideMark/>
          </w:tcPr>
          <w:p w14:paraId="4FFA07EE" w14:textId="77777777" w:rsidR="009329AD" w:rsidRPr="009329AD" w:rsidRDefault="009329AD" w:rsidP="009329AD">
            <w:pPr>
              <w:jc w:val="both"/>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Dinamiska IKT resursu un sistēmu uzskaite rada uzturēšanas izaicinājumus</w:t>
            </w:r>
          </w:p>
        </w:tc>
        <w:tc>
          <w:tcPr>
            <w:tcW w:w="0" w:type="auto"/>
            <w:hideMark/>
          </w:tcPr>
          <w:p w14:paraId="460F045C"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Pilnveidot pieeju IKT resursu un sistēmu uzskaitei, paredzot elastīgus un automatizētus risinājumus to uzturēšanai</w:t>
            </w:r>
          </w:p>
        </w:tc>
        <w:tc>
          <w:tcPr>
            <w:tcW w:w="0" w:type="auto"/>
            <w:hideMark/>
          </w:tcPr>
          <w:p w14:paraId="49272187" w14:textId="77777777" w:rsidR="009329AD" w:rsidRPr="009329AD" w:rsidRDefault="009329AD" w:rsidP="009329A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lv-LV"/>
                <w14:ligatures w14:val="none"/>
              </w:rPr>
            </w:pPr>
            <w:r w:rsidRPr="009329AD">
              <w:rPr>
                <w:rFonts w:ascii="Times New Roman" w:eastAsia="Times New Roman" w:hAnsi="Times New Roman" w:cs="Times New Roman"/>
                <w:sz w:val="20"/>
                <w:szCs w:val="20"/>
                <w:lang w:eastAsia="lv-LV"/>
                <w14:ligatures w14:val="none"/>
              </w:rPr>
              <w:t>Precīzāka un efektīvāka resursu pārvaldība</w:t>
            </w:r>
          </w:p>
        </w:tc>
      </w:tr>
    </w:tbl>
    <w:p w14:paraId="5F63FF3D" w14:textId="77777777" w:rsidR="000B60B3" w:rsidRDefault="000B60B3" w:rsidP="000B60B3">
      <w:pPr>
        <w:spacing w:after="0" w:line="240" w:lineRule="auto"/>
        <w:jc w:val="both"/>
        <w:rPr>
          <w:rFonts w:ascii="Times New Roman" w:eastAsia="Times New Roman" w:hAnsi="Times New Roman" w:cs="Times New Roman"/>
          <w:sz w:val="24"/>
          <w:szCs w:val="24"/>
          <w:lang w:eastAsia="lv-LV"/>
          <w14:ligatures w14:val="none"/>
        </w:rPr>
      </w:pPr>
    </w:p>
    <w:p w14:paraId="7586BC2A" w14:textId="6CE2CECC" w:rsidR="00245535" w:rsidRDefault="00245535" w:rsidP="00245535">
      <w:pPr>
        <w:spacing w:after="0" w:line="240" w:lineRule="auto"/>
        <w:ind w:firstLine="720"/>
        <w:jc w:val="both"/>
        <w:rPr>
          <w:rFonts w:ascii="Times New Roman" w:eastAsia="Times New Roman" w:hAnsi="Times New Roman" w:cs="Times New Roman"/>
          <w:sz w:val="24"/>
          <w:szCs w:val="24"/>
          <w:lang w:eastAsia="lv-LV"/>
          <w14:ligatures w14:val="none"/>
        </w:rPr>
      </w:pPr>
      <w:r w:rsidRPr="00245535">
        <w:rPr>
          <w:rFonts w:ascii="Times New Roman" w:eastAsia="Times New Roman" w:hAnsi="Times New Roman" w:cs="Times New Roman"/>
          <w:sz w:val="24"/>
          <w:szCs w:val="24"/>
          <w:lang w:eastAsia="lv-LV"/>
          <w14:ligatures w14:val="none"/>
        </w:rPr>
        <w:t xml:space="preserve">Ieteikumu īstenošana veicinātu vienotu un uz risku balstītu IKT drošības pārvaldības sistēmas attīstību valsts pārvaldē, stiprinātu institūciju spēju savlaicīgi identificēt un mazināt </w:t>
      </w:r>
      <w:proofErr w:type="spellStart"/>
      <w:r w:rsidRPr="00245535">
        <w:rPr>
          <w:rFonts w:ascii="Times New Roman" w:eastAsia="Times New Roman" w:hAnsi="Times New Roman" w:cs="Times New Roman"/>
          <w:sz w:val="24"/>
          <w:szCs w:val="24"/>
          <w:lang w:eastAsia="lv-LV"/>
          <w14:ligatures w14:val="none"/>
        </w:rPr>
        <w:t>kiberdrošības</w:t>
      </w:r>
      <w:proofErr w:type="spellEnd"/>
      <w:r w:rsidRPr="00245535">
        <w:rPr>
          <w:rFonts w:ascii="Times New Roman" w:eastAsia="Times New Roman" w:hAnsi="Times New Roman" w:cs="Times New Roman"/>
          <w:sz w:val="24"/>
          <w:szCs w:val="24"/>
          <w:lang w:eastAsia="lv-LV"/>
          <w14:ligatures w14:val="none"/>
        </w:rPr>
        <w:t xml:space="preserve"> riskus, kā arī nodrošinātu drošu un nepārtrauktu valsts digitālo pakalpojumu pieejamību.</w:t>
      </w:r>
    </w:p>
    <w:p w14:paraId="305463C0" w14:textId="4B37ED97" w:rsidR="00C11424" w:rsidRDefault="00C11424">
      <w:pPr>
        <w:rPr>
          <w:rFonts w:ascii="Times New Roman" w:eastAsia="Times New Roman" w:hAnsi="Times New Roman" w:cs="Times New Roman"/>
          <w:sz w:val="24"/>
          <w:szCs w:val="24"/>
          <w:lang w:eastAsia="lv-LV"/>
          <w14:ligatures w14:val="none"/>
        </w:rPr>
      </w:pPr>
    </w:p>
    <w:p w14:paraId="68BDA58E" w14:textId="77777777" w:rsidR="003839F0" w:rsidRDefault="003839F0">
      <w:pPr>
        <w:rPr>
          <w:rFonts w:ascii="Times New Roman" w:eastAsia="Times New Roman" w:hAnsi="Times New Roman" w:cs="Times New Roman"/>
          <w:sz w:val="24"/>
          <w:szCs w:val="24"/>
          <w:lang w:eastAsia="lv-LV"/>
          <w14:ligatures w14:val="none"/>
        </w:rPr>
      </w:pPr>
    </w:p>
    <w:p w14:paraId="46CB485F" w14:textId="09F2835E" w:rsidR="00EF58F6" w:rsidRPr="003016B5" w:rsidRDefault="00D4274E" w:rsidP="006F709C">
      <w:pPr>
        <w:spacing w:after="0" w:line="240" w:lineRule="auto"/>
        <w:jc w:val="both"/>
        <w:rPr>
          <w:rFonts w:ascii="Times New Roman" w:eastAsia="Times New Roman" w:hAnsi="Times New Roman" w:cs="Times New Roman"/>
          <w:sz w:val="24"/>
          <w:szCs w:val="24"/>
          <w:lang w:eastAsia="lv-LV"/>
          <w14:ligatures w14:val="none"/>
        </w:rPr>
      </w:pPr>
      <w:r>
        <w:rPr>
          <w:rFonts w:ascii="Times New Roman" w:eastAsia="Times New Roman" w:hAnsi="Times New Roman" w:cs="Times New Roman"/>
          <w:sz w:val="24"/>
          <w:szCs w:val="24"/>
          <w:lang w:eastAsia="lv-LV"/>
          <w14:ligatures w14:val="none"/>
        </w:rPr>
        <w:t>Finanšu ministrs</w:t>
      </w:r>
      <w:r w:rsidR="007670FF">
        <w:rPr>
          <w:rFonts w:ascii="Times New Roman" w:eastAsia="Times New Roman" w:hAnsi="Times New Roman" w:cs="Times New Roman"/>
          <w:sz w:val="24"/>
          <w:szCs w:val="24"/>
          <w:lang w:eastAsia="lv-LV"/>
          <w14:ligatures w14:val="none"/>
        </w:rPr>
        <w:tab/>
      </w:r>
      <w:r w:rsidR="007670FF">
        <w:rPr>
          <w:rFonts w:ascii="Times New Roman" w:eastAsia="Times New Roman" w:hAnsi="Times New Roman" w:cs="Times New Roman"/>
          <w:sz w:val="24"/>
          <w:szCs w:val="24"/>
          <w:lang w:eastAsia="lv-LV"/>
          <w14:ligatures w14:val="none"/>
        </w:rPr>
        <w:tab/>
      </w:r>
      <w:r w:rsidR="007670FF">
        <w:rPr>
          <w:rFonts w:ascii="Times New Roman" w:eastAsia="Times New Roman" w:hAnsi="Times New Roman" w:cs="Times New Roman"/>
          <w:sz w:val="24"/>
          <w:szCs w:val="24"/>
          <w:lang w:eastAsia="lv-LV"/>
          <w14:ligatures w14:val="none"/>
        </w:rPr>
        <w:tab/>
      </w:r>
      <w:r w:rsidR="007670FF">
        <w:rPr>
          <w:rFonts w:ascii="Times New Roman" w:eastAsia="Times New Roman" w:hAnsi="Times New Roman" w:cs="Times New Roman"/>
          <w:sz w:val="24"/>
          <w:szCs w:val="24"/>
          <w:lang w:eastAsia="lv-LV"/>
          <w14:ligatures w14:val="none"/>
        </w:rPr>
        <w:tab/>
      </w:r>
      <w:r w:rsidR="007670FF">
        <w:rPr>
          <w:rFonts w:ascii="Times New Roman" w:eastAsia="Times New Roman" w:hAnsi="Times New Roman" w:cs="Times New Roman"/>
          <w:sz w:val="24"/>
          <w:szCs w:val="24"/>
          <w:lang w:eastAsia="lv-LV"/>
          <w14:ligatures w14:val="none"/>
        </w:rPr>
        <w:tab/>
      </w:r>
      <w:r w:rsidR="003839F0">
        <w:rPr>
          <w:rFonts w:ascii="Times New Roman" w:eastAsia="Times New Roman" w:hAnsi="Times New Roman" w:cs="Times New Roman"/>
          <w:sz w:val="24"/>
          <w:szCs w:val="24"/>
          <w:lang w:eastAsia="lv-LV"/>
          <w14:ligatures w14:val="none"/>
        </w:rPr>
        <w:tab/>
      </w:r>
      <w:r w:rsidR="003839F0">
        <w:rPr>
          <w:rFonts w:ascii="Times New Roman" w:eastAsia="Times New Roman" w:hAnsi="Times New Roman" w:cs="Times New Roman"/>
          <w:sz w:val="24"/>
          <w:szCs w:val="24"/>
          <w:lang w:eastAsia="lv-LV"/>
          <w14:ligatures w14:val="none"/>
        </w:rPr>
        <w:tab/>
      </w:r>
      <w:r w:rsidR="00762E60">
        <w:rPr>
          <w:rFonts w:ascii="Times New Roman" w:eastAsia="Times New Roman" w:hAnsi="Times New Roman" w:cs="Times New Roman"/>
          <w:sz w:val="24"/>
          <w:szCs w:val="24"/>
          <w:lang w:eastAsia="lv-LV"/>
          <w14:ligatures w14:val="none"/>
        </w:rPr>
        <w:tab/>
      </w:r>
      <w:r w:rsidR="00762E60">
        <w:rPr>
          <w:rFonts w:ascii="Times New Roman" w:eastAsia="Times New Roman" w:hAnsi="Times New Roman" w:cs="Times New Roman"/>
          <w:sz w:val="24"/>
          <w:szCs w:val="24"/>
          <w:lang w:eastAsia="lv-LV"/>
          <w14:ligatures w14:val="none"/>
        </w:rPr>
        <w:tab/>
      </w:r>
      <w:proofErr w:type="spellStart"/>
      <w:r w:rsidR="007670FF">
        <w:rPr>
          <w:rFonts w:ascii="Times New Roman" w:eastAsia="Times New Roman" w:hAnsi="Times New Roman" w:cs="Times New Roman"/>
          <w:sz w:val="24"/>
          <w:szCs w:val="24"/>
          <w:lang w:eastAsia="lv-LV"/>
          <w14:ligatures w14:val="none"/>
        </w:rPr>
        <w:t>M.Kučinskis</w:t>
      </w:r>
      <w:proofErr w:type="spellEnd"/>
    </w:p>
    <w:sectPr w:rsidR="00EF58F6" w:rsidRPr="003016B5" w:rsidSect="00BD6CCB">
      <w:headerReference w:type="default" r:id="rId13"/>
      <w:footerReference w:type="default" r:id="rId14"/>
      <w:headerReference w:type="first" r:id="rId15"/>
      <w:footerReference w:type="first" r:id="rId16"/>
      <w:pgSz w:w="12240" w:h="15840"/>
      <w:pgMar w:top="1361" w:right="1134" w:bottom="136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2EEF1" w14:textId="77777777" w:rsidR="00D2106D" w:rsidRDefault="00D2106D" w:rsidP="00B338BF">
      <w:pPr>
        <w:spacing w:after="0" w:line="240" w:lineRule="auto"/>
      </w:pPr>
      <w:r>
        <w:separator/>
      </w:r>
    </w:p>
  </w:endnote>
  <w:endnote w:type="continuationSeparator" w:id="0">
    <w:p w14:paraId="7C012DEC" w14:textId="77777777" w:rsidR="00D2106D" w:rsidRDefault="00D2106D" w:rsidP="00B33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844AC" w14:textId="62E97A35" w:rsidR="00B338BF" w:rsidRDefault="00B338BF">
    <w:pPr>
      <w:pStyle w:val="Footer"/>
      <w:jc w:val="center"/>
    </w:pPr>
  </w:p>
  <w:p w14:paraId="712E8459" w14:textId="77777777" w:rsidR="002C2C62" w:rsidRPr="00314149" w:rsidRDefault="002C2C62" w:rsidP="002C2C62">
    <w:pPr>
      <w:pStyle w:val="Footer"/>
      <w:rPr>
        <w:rFonts w:ascii="Times New Roman" w:hAnsi="Times New Roman" w:cs="Times New Roman"/>
        <w:sz w:val="20"/>
        <w:szCs w:val="20"/>
      </w:rPr>
    </w:pPr>
    <w:r w:rsidRPr="00314149">
      <w:rPr>
        <w:rFonts w:ascii="Times New Roman" w:hAnsi="Times New Roman" w:cs="Times New Roman"/>
        <w:sz w:val="20"/>
        <w:szCs w:val="20"/>
      </w:rPr>
      <w:t>26-TA-1200</w:t>
    </w:r>
  </w:p>
  <w:p w14:paraId="2C095B64" w14:textId="77777777" w:rsidR="00B338BF" w:rsidRDefault="00B338BF" w:rsidP="002C2C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8E67" w14:textId="456F8813" w:rsidR="00CB373B" w:rsidRPr="00C60F1F" w:rsidRDefault="001F3B2F">
    <w:pPr>
      <w:pStyle w:val="Footer"/>
      <w:rPr>
        <w:rFonts w:ascii="Times New Roman" w:hAnsi="Times New Roman" w:cs="Times New Roman"/>
        <w:sz w:val="20"/>
        <w:szCs w:val="20"/>
      </w:rPr>
    </w:pPr>
    <w:r w:rsidRPr="00C60F1F">
      <w:rPr>
        <w:rFonts w:ascii="Times New Roman" w:hAnsi="Times New Roman" w:cs="Times New Roman"/>
        <w:sz w:val="20"/>
        <w:szCs w:val="20"/>
      </w:rPr>
      <w:t>26-TA-1200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F8978" w14:textId="77777777" w:rsidR="00D2106D" w:rsidRDefault="00D2106D" w:rsidP="00B338BF">
      <w:pPr>
        <w:spacing w:after="0" w:line="240" w:lineRule="auto"/>
      </w:pPr>
      <w:r>
        <w:separator/>
      </w:r>
    </w:p>
  </w:footnote>
  <w:footnote w:type="continuationSeparator" w:id="0">
    <w:p w14:paraId="6E17589A" w14:textId="77777777" w:rsidR="00D2106D" w:rsidRDefault="00D2106D" w:rsidP="00B33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430628"/>
      <w:docPartObj>
        <w:docPartGallery w:val="Page Numbers (Top of Page)"/>
        <w:docPartUnique/>
      </w:docPartObj>
    </w:sdtPr>
    <w:sdtEndPr>
      <w:rPr>
        <w:rFonts w:ascii="Times New Roman" w:hAnsi="Times New Roman" w:cs="Times New Roman"/>
        <w:noProof/>
      </w:rPr>
    </w:sdtEndPr>
    <w:sdtContent>
      <w:p w14:paraId="588499EB" w14:textId="435038EB" w:rsidR="007C0E8C" w:rsidRPr="00BD6CCB" w:rsidRDefault="007C0E8C">
        <w:pPr>
          <w:pStyle w:val="Header"/>
          <w:jc w:val="center"/>
          <w:rPr>
            <w:rFonts w:ascii="Times New Roman" w:hAnsi="Times New Roman" w:cs="Times New Roman"/>
          </w:rPr>
        </w:pPr>
        <w:r w:rsidRPr="00BD6CCB">
          <w:rPr>
            <w:rFonts w:ascii="Times New Roman" w:hAnsi="Times New Roman" w:cs="Times New Roman"/>
          </w:rPr>
          <w:fldChar w:fldCharType="begin"/>
        </w:r>
        <w:r w:rsidRPr="00BD6CCB">
          <w:rPr>
            <w:rFonts w:ascii="Times New Roman" w:hAnsi="Times New Roman" w:cs="Times New Roman"/>
          </w:rPr>
          <w:instrText xml:space="preserve"> PAGE   \* MERGEFORMAT </w:instrText>
        </w:r>
        <w:r w:rsidRPr="00BD6CCB">
          <w:rPr>
            <w:rFonts w:ascii="Times New Roman" w:hAnsi="Times New Roman" w:cs="Times New Roman"/>
          </w:rPr>
          <w:fldChar w:fldCharType="separate"/>
        </w:r>
        <w:r w:rsidRPr="00BD6CCB">
          <w:rPr>
            <w:rFonts w:ascii="Times New Roman" w:hAnsi="Times New Roman" w:cs="Times New Roman"/>
            <w:noProof/>
          </w:rPr>
          <w:t>2</w:t>
        </w:r>
        <w:r w:rsidRPr="00BD6CCB">
          <w:rPr>
            <w:rFonts w:ascii="Times New Roman" w:hAnsi="Times New Roman" w:cs="Times New Roman"/>
            <w:noProof/>
          </w:rPr>
          <w:fldChar w:fldCharType="end"/>
        </w:r>
      </w:p>
    </w:sdtContent>
  </w:sdt>
  <w:p w14:paraId="456F6454" w14:textId="77777777" w:rsidR="00CB373B" w:rsidRDefault="00CB3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F8D3" w14:textId="77777777" w:rsidR="007C0E8C" w:rsidRPr="009D7E89" w:rsidRDefault="007C0E8C" w:rsidP="004E6610">
    <w:pPr>
      <w:pStyle w:val="Header"/>
      <w:jc w:val="right"/>
      <w:rPr>
        <w:rFonts w:ascii="Times New Roman" w:hAnsi="Times New Roman" w:cs="Times New Roman"/>
      </w:rPr>
    </w:pPr>
  </w:p>
  <w:p w14:paraId="51C5F4B7" w14:textId="77777777" w:rsidR="00CB373B" w:rsidRDefault="00CB37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AB4"/>
    <w:multiLevelType w:val="hybridMultilevel"/>
    <w:tmpl w:val="1148541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C610944"/>
    <w:multiLevelType w:val="multilevel"/>
    <w:tmpl w:val="3470F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494BD9"/>
    <w:multiLevelType w:val="multilevel"/>
    <w:tmpl w:val="0992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823903"/>
    <w:multiLevelType w:val="multilevel"/>
    <w:tmpl w:val="E788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871528"/>
    <w:multiLevelType w:val="hybridMultilevel"/>
    <w:tmpl w:val="E3CA780C"/>
    <w:lvl w:ilvl="0" w:tplc="6C30F7B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38607970">
    <w:abstractNumId w:val="0"/>
  </w:num>
  <w:num w:numId="2" w16cid:durableId="165752732">
    <w:abstractNumId w:val="4"/>
  </w:num>
  <w:num w:numId="3" w16cid:durableId="1337995640">
    <w:abstractNumId w:val="1"/>
  </w:num>
  <w:num w:numId="4" w16cid:durableId="2127581092">
    <w:abstractNumId w:val="3"/>
  </w:num>
  <w:num w:numId="5" w16cid:durableId="35481256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959"/>
    <w:rsid w:val="00016A65"/>
    <w:rsid w:val="00024DD7"/>
    <w:rsid w:val="00025E5C"/>
    <w:rsid w:val="000262BA"/>
    <w:rsid w:val="00031726"/>
    <w:rsid w:val="00032873"/>
    <w:rsid w:val="00037A0A"/>
    <w:rsid w:val="00037C64"/>
    <w:rsid w:val="00045372"/>
    <w:rsid w:val="00047ECB"/>
    <w:rsid w:val="00051B4F"/>
    <w:rsid w:val="000523C6"/>
    <w:rsid w:val="00062488"/>
    <w:rsid w:val="000656C1"/>
    <w:rsid w:val="00071AC1"/>
    <w:rsid w:val="000729F3"/>
    <w:rsid w:val="0007729B"/>
    <w:rsid w:val="00084658"/>
    <w:rsid w:val="00084E6E"/>
    <w:rsid w:val="0008554A"/>
    <w:rsid w:val="00087CE0"/>
    <w:rsid w:val="00094818"/>
    <w:rsid w:val="000A16F7"/>
    <w:rsid w:val="000A3304"/>
    <w:rsid w:val="000A49E9"/>
    <w:rsid w:val="000A59E6"/>
    <w:rsid w:val="000A6D37"/>
    <w:rsid w:val="000B1205"/>
    <w:rsid w:val="000B4627"/>
    <w:rsid w:val="000B501F"/>
    <w:rsid w:val="000B60B3"/>
    <w:rsid w:val="000B6F23"/>
    <w:rsid w:val="000C0B8F"/>
    <w:rsid w:val="000C407A"/>
    <w:rsid w:val="000C4E4F"/>
    <w:rsid w:val="000C625C"/>
    <w:rsid w:val="000C68B6"/>
    <w:rsid w:val="000D23B8"/>
    <w:rsid w:val="000D3812"/>
    <w:rsid w:val="000D4B07"/>
    <w:rsid w:val="000D5CB4"/>
    <w:rsid w:val="000E22A5"/>
    <w:rsid w:val="000E3846"/>
    <w:rsid w:val="000E4E9E"/>
    <w:rsid w:val="000E4FC2"/>
    <w:rsid w:val="000E4FD3"/>
    <w:rsid w:val="000F0FA0"/>
    <w:rsid w:val="000F27EF"/>
    <w:rsid w:val="000F40AB"/>
    <w:rsid w:val="000F416F"/>
    <w:rsid w:val="00101409"/>
    <w:rsid w:val="00103515"/>
    <w:rsid w:val="00103653"/>
    <w:rsid w:val="001039BC"/>
    <w:rsid w:val="00110CB2"/>
    <w:rsid w:val="001162D2"/>
    <w:rsid w:val="001166F4"/>
    <w:rsid w:val="00123103"/>
    <w:rsid w:val="001326BE"/>
    <w:rsid w:val="001331FA"/>
    <w:rsid w:val="001345CB"/>
    <w:rsid w:val="00140D1A"/>
    <w:rsid w:val="00143542"/>
    <w:rsid w:val="001535D0"/>
    <w:rsid w:val="00154514"/>
    <w:rsid w:val="00156074"/>
    <w:rsid w:val="001572E5"/>
    <w:rsid w:val="00157585"/>
    <w:rsid w:val="001622A1"/>
    <w:rsid w:val="00174CAE"/>
    <w:rsid w:val="001802D7"/>
    <w:rsid w:val="00186D8A"/>
    <w:rsid w:val="0018705E"/>
    <w:rsid w:val="00187DC9"/>
    <w:rsid w:val="00190DFC"/>
    <w:rsid w:val="0019296A"/>
    <w:rsid w:val="001954EE"/>
    <w:rsid w:val="001A1C50"/>
    <w:rsid w:val="001A5DB8"/>
    <w:rsid w:val="001B09C5"/>
    <w:rsid w:val="001C0688"/>
    <w:rsid w:val="001C1478"/>
    <w:rsid w:val="001C4404"/>
    <w:rsid w:val="001C479C"/>
    <w:rsid w:val="001C4DFE"/>
    <w:rsid w:val="001C6D18"/>
    <w:rsid w:val="001D11DC"/>
    <w:rsid w:val="001E1CD3"/>
    <w:rsid w:val="001F3006"/>
    <w:rsid w:val="001F3A86"/>
    <w:rsid w:val="001F3B2F"/>
    <w:rsid w:val="001F4678"/>
    <w:rsid w:val="001F495A"/>
    <w:rsid w:val="0020085F"/>
    <w:rsid w:val="00202A03"/>
    <w:rsid w:val="0020330D"/>
    <w:rsid w:val="0020384C"/>
    <w:rsid w:val="00207BF1"/>
    <w:rsid w:val="00213AA8"/>
    <w:rsid w:val="002163DA"/>
    <w:rsid w:val="002165F7"/>
    <w:rsid w:val="00216A51"/>
    <w:rsid w:val="00220234"/>
    <w:rsid w:val="0022093E"/>
    <w:rsid w:val="00222F89"/>
    <w:rsid w:val="00222FF2"/>
    <w:rsid w:val="00224BB0"/>
    <w:rsid w:val="00225BBD"/>
    <w:rsid w:val="00227EBA"/>
    <w:rsid w:val="00227EC7"/>
    <w:rsid w:val="00232BE0"/>
    <w:rsid w:val="00236E8B"/>
    <w:rsid w:val="00237215"/>
    <w:rsid w:val="00241397"/>
    <w:rsid w:val="002447F0"/>
    <w:rsid w:val="00245535"/>
    <w:rsid w:val="0025017B"/>
    <w:rsid w:val="0025053C"/>
    <w:rsid w:val="00250C71"/>
    <w:rsid w:val="00250FCF"/>
    <w:rsid w:val="00251FA0"/>
    <w:rsid w:val="00253298"/>
    <w:rsid w:val="00255435"/>
    <w:rsid w:val="002567D6"/>
    <w:rsid w:val="00261322"/>
    <w:rsid w:val="00261D23"/>
    <w:rsid w:val="00263F7D"/>
    <w:rsid w:val="002645A5"/>
    <w:rsid w:val="00265346"/>
    <w:rsid w:val="002730F2"/>
    <w:rsid w:val="00275553"/>
    <w:rsid w:val="0027567A"/>
    <w:rsid w:val="00277F7E"/>
    <w:rsid w:val="00282B32"/>
    <w:rsid w:val="00283216"/>
    <w:rsid w:val="00284324"/>
    <w:rsid w:val="0029416A"/>
    <w:rsid w:val="0029619B"/>
    <w:rsid w:val="0029788D"/>
    <w:rsid w:val="002A0933"/>
    <w:rsid w:val="002A1F43"/>
    <w:rsid w:val="002B0CA7"/>
    <w:rsid w:val="002B2102"/>
    <w:rsid w:val="002B418D"/>
    <w:rsid w:val="002B425A"/>
    <w:rsid w:val="002B553E"/>
    <w:rsid w:val="002B6A41"/>
    <w:rsid w:val="002C2C62"/>
    <w:rsid w:val="002C6EDD"/>
    <w:rsid w:val="002C7352"/>
    <w:rsid w:val="002D08F0"/>
    <w:rsid w:val="002D226D"/>
    <w:rsid w:val="002D2A6B"/>
    <w:rsid w:val="002D31D7"/>
    <w:rsid w:val="002D36B4"/>
    <w:rsid w:val="002D3AB5"/>
    <w:rsid w:val="002D7666"/>
    <w:rsid w:val="002D7702"/>
    <w:rsid w:val="002E14B0"/>
    <w:rsid w:val="002E2F82"/>
    <w:rsid w:val="002E58AB"/>
    <w:rsid w:val="002F0654"/>
    <w:rsid w:val="002F313E"/>
    <w:rsid w:val="002F7CB0"/>
    <w:rsid w:val="003006F9"/>
    <w:rsid w:val="003016B5"/>
    <w:rsid w:val="00302598"/>
    <w:rsid w:val="00303798"/>
    <w:rsid w:val="00306C95"/>
    <w:rsid w:val="00310D63"/>
    <w:rsid w:val="00314975"/>
    <w:rsid w:val="003231BE"/>
    <w:rsid w:val="00324A89"/>
    <w:rsid w:val="00327FE9"/>
    <w:rsid w:val="00330279"/>
    <w:rsid w:val="003343F9"/>
    <w:rsid w:val="00335FD5"/>
    <w:rsid w:val="003363E5"/>
    <w:rsid w:val="003415B5"/>
    <w:rsid w:val="00342E4E"/>
    <w:rsid w:val="00344149"/>
    <w:rsid w:val="0034486C"/>
    <w:rsid w:val="00353A6F"/>
    <w:rsid w:val="00360715"/>
    <w:rsid w:val="003612DF"/>
    <w:rsid w:val="00361643"/>
    <w:rsid w:val="00365CF8"/>
    <w:rsid w:val="003663EF"/>
    <w:rsid w:val="003678E9"/>
    <w:rsid w:val="00377484"/>
    <w:rsid w:val="00380D10"/>
    <w:rsid w:val="003810FF"/>
    <w:rsid w:val="003839F0"/>
    <w:rsid w:val="003871BB"/>
    <w:rsid w:val="00390ED8"/>
    <w:rsid w:val="00391989"/>
    <w:rsid w:val="003924E4"/>
    <w:rsid w:val="0039294A"/>
    <w:rsid w:val="00393A32"/>
    <w:rsid w:val="00397D0D"/>
    <w:rsid w:val="003A15AA"/>
    <w:rsid w:val="003A2295"/>
    <w:rsid w:val="003A369B"/>
    <w:rsid w:val="003A3A50"/>
    <w:rsid w:val="003A4C6D"/>
    <w:rsid w:val="003B0035"/>
    <w:rsid w:val="003B128A"/>
    <w:rsid w:val="003B20CC"/>
    <w:rsid w:val="003B21B4"/>
    <w:rsid w:val="003B2617"/>
    <w:rsid w:val="003B3470"/>
    <w:rsid w:val="003B356D"/>
    <w:rsid w:val="003C3B3A"/>
    <w:rsid w:val="003C6C8B"/>
    <w:rsid w:val="003D42CE"/>
    <w:rsid w:val="003D5D45"/>
    <w:rsid w:val="003D659F"/>
    <w:rsid w:val="003D75A4"/>
    <w:rsid w:val="003E6DE6"/>
    <w:rsid w:val="004004E8"/>
    <w:rsid w:val="00400923"/>
    <w:rsid w:val="00403F6E"/>
    <w:rsid w:val="0040422F"/>
    <w:rsid w:val="00407454"/>
    <w:rsid w:val="00414F2D"/>
    <w:rsid w:val="00417531"/>
    <w:rsid w:val="004209B5"/>
    <w:rsid w:val="00427166"/>
    <w:rsid w:val="00427BB8"/>
    <w:rsid w:val="00432695"/>
    <w:rsid w:val="00434A9F"/>
    <w:rsid w:val="0043572B"/>
    <w:rsid w:val="00435883"/>
    <w:rsid w:val="00447947"/>
    <w:rsid w:val="00451B5C"/>
    <w:rsid w:val="00460D4B"/>
    <w:rsid w:val="00462250"/>
    <w:rsid w:val="00462D21"/>
    <w:rsid w:val="004633C1"/>
    <w:rsid w:val="00467BF8"/>
    <w:rsid w:val="00472B28"/>
    <w:rsid w:val="00473318"/>
    <w:rsid w:val="00473B3C"/>
    <w:rsid w:val="00473DA8"/>
    <w:rsid w:val="00474390"/>
    <w:rsid w:val="00475F34"/>
    <w:rsid w:val="00477B3D"/>
    <w:rsid w:val="00480480"/>
    <w:rsid w:val="004824D5"/>
    <w:rsid w:val="004863D9"/>
    <w:rsid w:val="00491BCA"/>
    <w:rsid w:val="0049572A"/>
    <w:rsid w:val="00495D4A"/>
    <w:rsid w:val="004A7155"/>
    <w:rsid w:val="004A7FB6"/>
    <w:rsid w:val="004B3B5F"/>
    <w:rsid w:val="004B5741"/>
    <w:rsid w:val="004B6759"/>
    <w:rsid w:val="004C1E19"/>
    <w:rsid w:val="004C4ABC"/>
    <w:rsid w:val="004C6F80"/>
    <w:rsid w:val="004C7857"/>
    <w:rsid w:val="004C7A4F"/>
    <w:rsid w:val="004D25D3"/>
    <w:rsid w:val="004D636F"/>
    <w:rsid w:val="004D79ED"/>
    <w:rsid w:val="004E0A5B"/>
    <w:rsid w:val="004E2F08"/>
    <w:rsid w:val="004E5ECA"/>
    <w:rsid w:val="004E6610"/>
    <w:rsid w:val="004E7D54"/>
    <w:rsid w:val="004F012A"/>
    <w:rsid w:val="004F1F54"/>
    <w:rsid w:val="004F2CDB"/>
    <w:rsid w:val="004F5DB2"/>
    <w:rsid w:val="00502888"/>
    <w:rsid w:val="00504BEB"/>
    <w:rsid w:val="0050770E"/>
    <w:rsid w:val="005113E9"/>
    <w:rsid w:val="0051347F"/>
    <w:rsid w:val="00513F8C"/>
    <w:rsid w:val="005157C3"/>
    <w:rsid w:val="005247DA"/>
    <w:rsid w:val="005313DC"/>
    <w:rsid w:val="00532A9E"/>
    <w:rsid w:val="005371FF"/>
    <w:rsid w:val="00540229"/>
    <w:rsid w:val="0054158D"/>
    <w:rsid w:val="005415B0"/>
    <w:rsid w:val="00541874"/>
    <w:rsid w:val="005428C5"/>
    <w:rsid w:val="0054339A"/>
    <w:rsid w:val="00544034"/>
    <w:rsid w:val="00544C94"/>
    <w:rsid w:val="0054500E"/>
    <w:rsid w:val="00545970"/>
    <w:rsid w:val="0054657F"/>
    <w:rsid w:val="00550A45"/>
    <w:rsid w:val="00552745"/>
    <w:rsid w:val="00552F8D"/>
    <w:rsid w:val="005552B6"/>
    <w:rsid w:val="00556A75"/>
    <w:rsid w:val="00556A90"/>
    <w:rsid w:val="00556FBC"/>
    <w:rsid w:val="005618E6"/>
    <w:rsid w:val="00563907"/>
    <w:rsid w:val="00567089"/>
    <w:rsid w:val="00567448"/>
    <w:rsid w:val="00567587"/>
    <w:rsid w:val="00570B2E"/>
    <w:rsid w:val="00570E4B"/>
    <w:rsid w:val="005714E4"/>
    <w:rsid w:val="00572959"/>
    <w:rsid w:val="00574BCC"/>
    <w:rsid w:val="005772DA"/>
    <w:rsid w:val="0058254B"/>
    <w:rsid w:val="00584AF1"/>
    <w:rsid w:val="00585280"/>
    <w:rsid w:val="005867B1"/>
    <w:rsid w:val="0059013F"/>
    <w:rsid w:val="00590A51"/>
    <w:rsid w:val="00591585"/>
    <w:rsid w:val="00593102"/>
    <w:rsid w:val="00593EAC"/>
    <w:rsid w:val="00596A25"/>
    <w:rsid w:val="005A2168"/>
    <w:rsid w:val="005B462E"/>
    <w:rsid w:val="005B4CEF"/>
    <w:rsid w:val="005C7D78"/>
    <w:rsid w:val="005C7E09"/>
    <w:rsid w:val="005D17D3"/>
    <w:rsid w:val="005D325E"/>
    <w:rsid w:val="005D69D7"/>
    <w:rsid w:val="005E1A06"/>
    <w:rsid w:val="005E4EFA"/>
    <w:rsid w:val="005F321B"/>
    <w:rsid w:val="005F5556"/>
    <w:rsid w:val="005F5B69"/>
    <w:rsid w:val="006001B2"/>
    <w:rsid w:val="00604861"/>
    <w:rsid w:val="00606D2D"/>
    <w:rsid w:val="00610B10"/>
    <w:rsid w:val="00615928"/>
    <w:rsid w:val="0062374E"/>
    <w:rsid w:val="006248E7"/>
    <w:rsid w:val="00630979"/>
    <w:rsid w:val="006338F7"/>
    <w:rsid w:val="00634BA0"/>
    <w:rsid w:val="0065117F"/>
    <w:rsid w:val="00657EE0"/>
    <w:rsid w:val="00670B7E"/>
    <w:rsid w:val="00670BA1"/>
    <w:rsid w:val="00675595"/>
    <w:rsid w:val="00680985"/>
    <w:rsid w:val="00680E7B"/>
    <w:rsid w:val="00680E83"/>
    <w:rsid w:val="00682F89"/>
    <w:rsid w:val="00685B65"/>
    <w:rsid w:val="00690D17"/>
    <w:rsid w:val="0069738E"/>
    <w:rsid w:val="00697588"/>
    <w:rsid w:val="006A00D6"/>
    <w:rsid w:val="006A053F"/>
    <w:rsid w:val="006A4B2C"/>
    <w:rsid w:val="006A4FBE"/>
    <w:rsid w:val="006B209A"/>
    <w:rsid w:val="006B5F21"/>
    <w:rsid w:val="006B6D2C"/>
    <w:rsid w:val="006C0E08"/>
    <w:rsid w:val="006C4019"/>
    <w:rsid w:val="006C4DF9"/>
    <w:rsid w:val="006D2C92"/>
    <w:rsid w:val="006D3CD0"/>
    <w:rsid w:val="006D4B00"/>
    <w:rsid w:val="006E0444"/>
    <w:rsid w:val="006E7771"/>
    <w:rsid w:val="006F0A2F"/>
    <w:rsid w:val="006F23BE"/>
    <w:rsid w:val="006F251F"/>
    <w:rsid w:val="006F57FC"/>
    <w:rsid w:val="006F5F95"/>
    <w:rsid w:val="006F6594"/>
    <w:rsid w:val="006F709C"/>
    <w:rsid w:val="0070425B"/>
    <w:rsid w:val="00705CFD"/>
    <w:rsid w:val="00712217"/>
    <w:rsid w:val="00715049"/>
    <w:rsid w:val="007204CD"/>
    <w:rsid w:val="00724188"/>
    <w:rsid w:val="00724289"/>
    <w:rsid w:val="00726CB2"/>
    <w:rsid w:val="00727F76"/>
    <w:rsid w:val="0073019D"/>
    <w:rsid w:val="00731C77"/>
    <w:rsid w:val="00734720"/>
    <w:rsid w:val="00741022"/>
    <w:rsid w:val="00746BEC"/>
    <w:rsid w:val="00746F1B"/>
    <w:rsid w:val="007476D5"/>
    <w:rsid w:val="00754238"/>
    <w:rsid w:val="007609C9"/>
    <w:rsid w:val="00762E60"/>
    <w:rsid w:val="007654E6"/>
    <w:rsid w:val="007666A8"/>
    <w:rsid w:val="007670FF"/>
    <w:rsid w:val="00773C31"/>
    <w:rsid w:val="00776383"/>
    <w:rsid w:val="00780FCF"/>
    <w:rsid w:val="007824E5"/>
    <w:rsid w:val="00783772"/>
    <w:rsid w:val="00791399"/>
    <w:rsid w:val="00791CE2"/>
    <w:rsid w:val="00792D88"/>
    <w:rsid w:val="0079499F"/>
    <w:rsid w:val="007A51D1"/>
    <w:rsid w:val="007B4F0C"/>
    <w:rsid w:val="007C0E8C"/>
    <w:rsid w:val="007C0EE8"/>
    <w:rsid w:val="007C2B2A"/>
    <w:rsid w:val="007C2DF9"/>
    <w:rsid w:val="008009CC"/>
    <w:rsid w:val="008141AE"/>
    <w:rsid w:val="00815980"/>
    <w:rsid w:val="008203E9"/>
    <w:rsid w:val="0082189C"/>
    <w:rsid w:val="0082441E"/>
    <w:rsid w:val="008258C8"/>
    <w:rsid w:val="0082703E"/>
    <w:rsid w:val="00840BF6"/>
    <w:rsid w:val="0084143C"/>
    <w:rsid w:val="008435D0"/>
    <w:rsid w:val="0084457D"/>
    <w:rsid w:val="00845935"/>
    <w:rsid w:val="00847AF3"/>
    <w:rsid w:val="00850CCB"/>
    <w:rsid w:val="00851BE2"/>
    <w:rsid w:val="008526A9"/>
    <w:rsid w:val="00860383"/>
    <w:rsid w:val="00861B37"/>
    <w:rsid w:val="00862D06"/>
    <w:rsid w:val="00865796"/>
    <w:rsid w:val="00870E7E"/>
    <w:rsid w:val="008727EB"/>
    <w:rsid w:val="008777C5"/>
    <w:rsid w:val="008802EC"/>
    <w:rsid w:val="0088251F"/>
    <w:rsid w:val="008849E6"/>
    <w:rsid w:val="00885C69"/>
    <w:rsid w:val="0088697B"/>
    <w:rsid w:val="0088754D"/>
    <w:rsid w:val="00887BFA"/>
    <w:rsid w:val="00890B20"/>
    <w:rsid w:val="00895975"/>
    <w:rsid w:val="008A7C64"/>
    <w:rsid w:val="008B01CD"/>
    <w:rsid w:val="008B02A0"/>
    <w:rsid w:val="008B1817"/>
    <w:rsid w:val="008C1633"/>
    <w:rsid w:val="008C2279"/>
    <w:rsid w:val="008C258D"/>
    <w:rsid w:val="008C5707"/>
    <w:rsid w:val="008D2E91"/>
    <w:rsid w:val="008D421E"/>
    <w:rsid w:val="008D6508"/>
    <w:rsid w:val="008F40ED"/>
    <w:rsid w:val="008F7E10"/>
    <w:rsid w:val="0090747D"/>
    <w:rsid w:val="00910050"/>
    <w:rsid w:val="00912395"/>
    <w:rsid w:val="0091307A"/>
    <w:rsid w:val="00913541"/>
    <w:rsid w:val="00913782"/>
    <w:rsid w:val="00915C63"/>
    <w:rsid w:val="00921BA7"/>
    <w:rsid w:val="00923A19"/>
    <w:rsid w:val="00930010"/>
    <w:rsid w:val="009329AD"/>
    <w:rsid w:val="009337F4"/>
    <w:rsid w:val="00934C58"/>
    <w:rsid w:val="00941B24"/>
    <w:rsid w:val="009437C0"/>
    <w:rsid w:val="0095149D"/>
    <w:rsid w:val="009545ED"/>
    <w:rsid w:val="00957525"/>
    <w:rsid w:val="009602A7"/>
    <w:rsid w:val="009609E5"/>
    <w:rsid w:val="00971261"/>
    <w:rsid w:val="00974576"/>
    <w:rsid w:val="0098657F"/>
    <w:rsid w:val="00991492"/>
    <w:rsid w:val="0099233B"/>
    <w:rsid w:val="00995E25"/>
    <w:rsid w:val="009962F8"/>
    <w:rsid w:val="009B008D"/>
    <w:rsid w:val="009B1C95"/>
    <w:rsid w:val="009B44E2"/>
    <w:rsid w:val="009B5A8D"/>
    <w:rsid w:val="009B73F0"/>
    <w:rsid w:val="009C2384"/>
    <w:rsid w:val="009C57D7"/>
    <w:rsid w:val="009C645D"/>
    <w:rsid w:val="009C6977"/>
    <w:rsid w:val="009D2775"/>
    <w:rsid w:val="009D3A07"/>
    <w:rsid w:val="009D4F16"/>
    <w:rsid w:val="009D556E"/>
    <w:rsid w:val="009E18A2"/>
    <w:rsid w:val="009E5178"/>
    <w:rsid w:val="009F0442"/>
    <w:rsid w:val="009F3E87"/>
    <w:rsid w:val="009F4C5E"/>
    <w:rsid w:val="009F75C5"/>
    <w:rsid w:val="00A060C5"/>
    <w:rsid w:val="00A126FE"/>
    <w:rsid w:val="00A16E50"/>
    <w:rsid w:val="00A201AC"/>
    <w:rsid w:val="00A22497"/>
    <w:rsid w:val="00A22E3E"/>
    <w:rsid w:val="00A30F11"/>
    <w:rsid w:val="00A317A9"/>
    <w:rsid w:val="00A3532F"/>
    <w:rsid w:val="00A3785F"/>
    <w:rsid w:val="00A45D8D"/>
    <w:rsid w:val="00A55734"/>
    <w:rsid w:val="00A56A79"/>
    <w:rsid w:val="00A65DAD"/>
    <w:rsid w:val="00A669BA"/>
    <w:rsid w:val="00A70623"/>
    <w:rsid w:val="00A70710"/>
    <w:rsid w:val="00A70ABB"/>
    <w:rsid w:val="00A73465"/>
    <w:rsid w:val="00A73652"/>
    <w:rsid w:val="00A74573"/>
    <w:rsid w:val="00A74F93"/>
    <w:rsid w:val="00A75F00"/>
    <w:rsid w:val="00A77127"/>
    <w:rsid w:val="00A8003A"/>
    <w:rsid w:val="00A8218F"/>
    <w:rsid w:val="00A82630"/>
    <w:rsid w:val="00A83924"/>
    <w:rsid w:val="00A862E0"/>
    <w:rsid w:val="00A86581"/>
    <w:rsid w:val="00A874F3"/>
    <w:rsid w:val="00A93D2B"/>
    <w:rsid w:val="00A958FD"/>
    <w:rsid w:val="00A9710B"/>
    <w:rsid w:val="00AA3149"/>
    <w:rsid w:val="00AA5337"/>
    <w:rsid w:val="00AA734B"/>
    <w:rsid w:val="00AA7D64"/>
    <w:rsid w:val="00AB41BD"/>
    <w:rsid w:val="00AB5C22"/>
    <w:rsid w:val="00AB7552"/>
    <w:rsid w:val="00AB7930"/>
    <w:rsid w:val="00AC3ABD"/>
    <w:rsid w:val="00AC4558"/>
    <w:rsid w:val="00AC69AC"/>
    <w:rsid w:val="00AC70DF"/>
    <w:rsid w:val="00AD6181"/>
    <w:rsid w:val="00AD78A8"/>
    <w:rsid w:val="00AE047A"/>
    <w:rsid w:val="00AE0F2F"/>
    <w:rsid w:val="00AE1FA1"/>
    <w:rsid w:val="00AE2DE1"/>
    <w:rsid w:val="00AE5B4D"/>
    <w:rsid w:val="00AF2675"/>
    <w:rsid w:val="00AF2ACB"/>
    <w:rsid w:val="00AF57BD"/>
    <w:rsid w:val="00AF5E25"/>
    <w:rsid w:val="00AF7DD7"/>
    <w:rsid w:val="00B01872"/>
    <w:rsid w:val="00B01D3E"/>
    <w:rsid w:val="00B0261B"/>
    <w:rsid w:val="00B041E9"/>
    <w:rsid w:val="00B04AA0"/>
    <w:rsid w:val="00B05411"/>
    <w:rsid w:val="00B0553C"/>
    <w:rsid w:val="00B0565D"/>
    <w:rsid w:val="00B05D59"/>
    <w:rsid w:val="00B1195A"/>
    <w:rsid w:val="00B20811"/>
    <w:rsid w:val="00B21B7B"/>
    <w:rsid w:val="00B21BF9"/>
    <w:rsid w:val="00B228B0"/>
    <w:rsid w:val="00B321F4"/>
    <w:rsid w:val="00B32F88"/>
    <w:rsid w:val="00B338BF"/>
    <w:rsid w:val="00B34451"/>
    <w:rsid w:val="00B34AAD"/>
    <w:rsid w:val="00B4246C"/>
    <w:rsid w:val="00B4299F"/>
    <w:rsid w:val="00B4343A"/>
    <w:rsid w:val="00B4757C"/>
    <w:rsid w:val="00B50885"/>
    <w:rsid w:val="00B54715"/>
    <w:rsid w:val="00B56E44"/>
    <w:rsid w:val="00B66CDD"/>
    <w:rsid w:val="00B70569"/>
    <w:rsid w:val="00B70EA2"/>
    <w:rsid w:val="00B71F09"/>
    <w:rsid w:val="00B7214A"/>
    <w:rsid w:val="00B72D15"/>
    <w:rsid w:val="00B809D6"/>
    <w:rsid w:val="00B8155C"/>
    <w:rsid w:val="00B85A0B"/>
    <w:rsid w:val="00B85ABF"/>
    <w:rsid w:val="00B90D2F"/>
    <w:rsid w:val="00B91EAE"/>
    <w:rsid w:val="00B9240A"/>
    <w:rsid w:val="00B92819"/>
    <w:rsid w:val="00B9485A"/>
    <w:rsid w:val="00B95BE4"/>
    <w:rsid w:val="00BA11C5"/>
    <w:rsid w:val="00BA1250"/>
    <w:rsid w:val="00BA1F2B"/>
    <w:rsid w:val="00BA66D6"/>
    <w:rsid w:val="00BB1A02"/>
    <w:rsid w:val="00BB356D"/>
    <w:rsid w:val="00BB429D"/>
    <w:rsid w:val="00BB5604"/>
    <w:rsid w:val="00BB5EF5"/>
    <w:rsid w:val="00BB68E1"/>
    <w:rsid w:val="00BB728C"/>
    <w:rsid w:val="00BC4369"/>
    <w:rsid w:val="00BC6D95"/>
    <w:rsid w:val="00BD206A"/>
    <w:rsid w:val="00BD34AD"/>
    <w:rsid w:val="00BD6705"/>
    <w:rsid w:val="00BD6CCB"/>
    <w:rsid w:val="00BD749F"/>
    <w:rsid w:val="00BD7DC4"/>
    <w:rsid w:val="00BE1841"/>
    <w:rsid w:val="00BE1E61"/>
    <w:rsid w:val="00BE3069"/>
    <w:rsid w:val="00C028E2"/>
    <w:rsid w:val="00C0670F"/>
    <w:rsid w:val="00C10DEB"/>
    <w:rsid w:val="00C11190"/>
    <w:rsid w:val="00C11424"/>
    <w:rsid w:val="00C12B10"/>
    <w:rsid w:val="00C22A0B"/>
    <w:rsid w:val="00C25FA6"/>
    <w:rsid w:val="00C2756E"/>
    <w:rsid w:val="00C31844"/>
    <w:rsid w:val="00C32F00"/>
    <w:rsid w:val="00C335CF"/>
    <w:rsid w:val="00C34D0A"/>
    <w:rsid w:val="00C41B86"/>
    <w:rsid w:val="00C44FD1"/>
    <w:rsid w:val="00C45777"/>
    <w:rsid w:val="00C500FB"/>
    <w:rsid w:val="00C50177"/>
    <w:rsid w:val="00C5159C"/>
    <w:rsid w:val="00C52E5F"/>
    <w:rsid w:val="00C53654"/>
    <w:rsid w:val="00C545EB"/>
    <w:rsid w:val="00C60F1F"/>
    <w:rsid w:val="00C610D1"/>
    <w:rsid w:val="00C62411"/>
    <w:rsid w:val="00C62528"/>
    <w:rsid w:val="00C70FF9"/>
    <w:rsid w:val="00C749C3"/>
    <w:rsid w:val="00C81F6B"/>
    <w:rsid w:val="00C82325"/>
    <w:rsid w:val="00C8235E"/>
    <w:rsid w:val="00C8247D"/>
    <w:rsid w:val="00C838CA"/>
    <w:rsid w:val="00C84634"/>
    <w:rsid w:val="00C95AE2"/>
    <w:rsid w:val="00C97320"/>
    <w:rsid w:val="00C97680"/>
    <w:rsid w:val="00CA651D"/>
    <w:rsid w:val="00CB0815"/>
    <w:rsid w:val="00CB1713"/>
    <w:rsid w:val="00CB373B"/>
    <w:rsid w:val="00CB4C6B"/>
    <w:rsid w:val="00CB5208"/>
    <w:rsid w:val="00CB7DC0"/>
    <w:rsid w:val="00CC17E1"/>
    <w:rsid w:val="00CC2640"/>
    <w:rsid w:val="00CC5806"/>
    <w:rsid w:val="00CC5B89"/>
    <w:rsid w:val="00CC72F4"/>
    <w:rsid w:val="00CC7DA7"/>
    <w:rsid w:val="00CE3ECD"/>
    <w:rsid w:val="00CE52E6"/>
    <w:rsid w:val="00CE7ED0"/>
    <w:rsid w:val="00CF0D57"/>
    <w:rsid w:val="00CF3122"/>
    <w:rsid w:val="00D0098E"/>
    <w:rsid w:val="00D12AF9"/>
    <w:rsid w:val="00D17FFB"/>
    <w:rsid w:val="00D2038E"/>
    <w:rsid w:val="00D20C3F"/>
    <w:rsid w:val="00D20E47"/>
    <w:rsid w:val="00D2106D"/>
    <w:rsid w:val="00D24FA0"/>
    <w:rsid w:val="00D25F0E"/>
    <w:rsid w:val="00D2777A"/>
    <w:rsid w:val="00D4070B"/>
    <w:rsid w:val="00D4274E"/>
    <w:rsid w:val="00D43F5D"/>
    <w:rsid w:val="00D45ED0"/>
    <w:rsid w:val="00D5052C"/>
    <w:rsid w:val="00D50551"/>
    <w:rsid w:val="00D50AE8"/>
    <w:rsid w:val="00D51A2F"/>
    <w:rsid w:val="00D523CA"/>
    <w:rsid w:val="00D6581A"/>
    <w:rsid w:val="00D665AB"/>
    <w:rsid w:val="00D67F86"/>
    <w:rsid w:val="00D70BD4"/>
    <w:rsid w:val="00D72819"/>
    <w:rsid w:val="00D81E89"/>
    <w:rsid w:val="00D86095"/>
    <w:rsid w:val="00D876EE"/>
    <w:rsid w:val="00D90116"/>
    <w:rsid w:val="00D92F1C"/>
    <w:rsid w:val="00D951A9"/>
    <w:rsid w:val="00D95366"/>
    <w:rsid w:val="00DA02B6"/>
    <w:rsid w:val="00DA03E4"/>
    <w:rsid w:val="00DA4592"/>
    <w:rsid w:val="00DA5CFA"/>
    <w:rsid w:val="00DB362C"/>
    <w:rsid w:val="00DB3FAA"/>
    <w:rsid w:val="00DC1DB1"/>
    <w:rsid w:val="00DC2295"/>
    <w:rsid w:val="00DC70D7"/>
    <w:rsid w:val="00DD2D29"/>
    <w:rsid w:val="00DE0965"/>
    <w:rsid w:val="00DE2DA8"/>
    <w:rsid w:val="00DE471F"/>
    <w:rsid w:val="00DE7FD8"/>
    <w:rsid w:val="00DF14CE"/>
    <w:rsid w:val="00DF7EDE"/>
    <w:rsid w:val="00DF7FE7"/>
    <w:rsid w:val="00E01626"/>
    <w:rsid w:val="00E01ED6"/>
    <w:rsid w:val="00E021CB"/>
    <w:rsid w:val="00E076C4"/>
    <w:rsid w:val="00E07FFB"/>
    <w:rsid w:val="00E103D8"/>
    <w:rsid w:val="00E1062E"/>
    <w:rsid w:val="00E13A8B"/>
    <w:rsid w:val="00E170DD"/>
    <w:rsid w:val="00E179AF"/>
    <w:rsid w:val="00E2344E"/>
    <w:rsid w:val="00E24C89"/>
    <w:rsid w:val="00E31E75"/>
    <w:rsid w:val="00E35509"/>
    <w:rsid w:val="00E40FBD"/>
    <w:rsid w:val="00E47827"/>
    <w:rsid w:val="00E512CB"/>
    <w:rsid w:val="00E54D45"/>
    <w:rsid w:val="00E57B29"/>
    <w:rsid w:val="00E57C33"/>
    <w:rsid w:val="00E6275D"/>
    <w:rsid w:val="00E62F48"/>
    <w:rsid w:val="00E66664"/>
    <w:rsid w:val="00E72A1A"/>
    <w:rsid w:val="00E72BDC"/>
    <w:rsid w:val="00E73F2E"/>
    <w:rsid w:val="00E775F1"/>
    <w:rsid w:val="00E82A87"/>
    <w:rsid w:val="00E853D1"/>
    <w:rsid w:val="00E86C9C"/>
    <w:rsid w:val="00E90A73"/>
    <w:rsid w:val="00E915E9"/>
    <w:rsid w:val="00E935D0"/>
    <w:rsid w:val="00EA0F0B"/>
    <w:rsid w:val="00EA479C"/>
    <w:rsid w:val="00EA5625"/>
    <w:rsid w:val="00EB6964"/>
    <w:rsid w:val="00EC0B87"/>
    <w:rsid w:val="00EC3807"/>
    <w:rsid w:val="00EC4C57"/>
    <w:rsid w:val="00EC7C0B"/>
    <w:rsid w:val="00ED3D38"/>
    <w:rsid w:val="00ED469C"/>
    <w:rsid w:val="00ED4D3D"/>
    <w:rsid w:val="00ED74F0"/>
    <w:rsid w:val="00EE6F60"/>
    <w:rsid w:val="00EF390C"/>
    <w:rsid w:val="00EF58F6"/>
    <w:rsid w:val="00F0093D"/>
    <w:rsid w:val="00F01818"/>
    <w:rsid w:val="00F04663"/>
    <w:rsid w:val="00F054D3"/>
    <w:rsid w:val="00F05D5E"/>
    <w:rsid w:val="00F076F8"/>
    <w:rsid w:val="00F1358F"/>
    <w:rsid w:val="00F13709"/>
    <w:rsid w:val="00F20899"/>
    <w:rsid w:val="00F21F3B"/>
    <w:rsid w:val="00F227E3"/>
    <w:rsid w:val="00F25521"/>
    <w:rsid w:val="00F2584B"/>
    <w:rsid w:val="00F26CA2"/>
    <w:rsid w:val="00F27250"/>
    <w:rsid w:val="00F305D4"/>
    <w:rsid w:val="00F309AC"/>
    <w:rsid w:val="00F30CA6"/>
    <w:rsid w:val="00F31D2E"/>
    <w:rsid w:val="00F33F35"/>
    <w:rsid w:val="00F342CF"/>
    <w:rsid w:val="00F47937"/>
    <w:rsid w:val="00F50CE6"/>
    <w:rsid w:val="00F52DAA"/>
    <w:rsid w:val="00F52E19"/>
    <w:rsid w:val="00F53888"/>
    <w:rsid w:val="00F5597F"/>
    <w:rsid w:val="00F572FB"/>
    <w:rsid w:val="00F6673D"/>
    <w:rsid w:val="00F66BB7"/>
    <w:rsid w:val="00F66FCE"/>
    <w:rsid w:val="00F671CE"/>
    <w:rsid w:val="00F67BFA"/>
    <w:rsid w:val="00F75F97"/>
    <w:rsid w:val="00F805AA"/>
    <w:rsid w:val="00F82D3E"/>
    <w:rsid w:val="00F855C5"/>
    <w:rsid w:val="00F87EA4"/>
    <w:rsid w:val="00F96DF8"/>
    <w:rsid w:val="00F97617"/>
    <w:rsid w:val="00FB1310"/>
    <w:rsid w:val="00FB48E9"/>
    <w:rsid w:val="00FB68BF"/>
    <w:rsid w:val="00FC01FE"/>
    <w:rsid w:val="00FC07E7"/>
    <w:rsid w:val="00FC6E42"/>
    <w:rsid w:val="00FD06A0"/>
    <w:rsid w:val="00FD0D89"/>
    <w:rsid w:val="00FD4E72"/>
    <w:rsid w:val="00FD515A"/>
    <w:rsid w:val="00FD55F3"/>
    <w:rsid w:val="00FD577E"/>
    <w:rsid w:val="00FD5B9F"/>
    <w:rsid w:val="00FE0837"/>
    <w:rsid w:val="00FE0DAD"/>
    <w:rsid w:val="00FE1A9A"/>
    <w:rsid w:val="00FE6709"/>
    <w:rsid w:val="00FF0D22"/>
    <w:rsid w:val="00FF4653"/>
    <w:rsid w:val="00FF71B5"/>
    <w:rsid w:val="00FF74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1837"/>
  <w15:chartTrackingRefBased/>
  <w15:docId w15:val="{CEB53027-591D-42FD-93C9-B320830FE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A41"/>
    <w:pPr>
      <w:keepNext/>
      <w:keepLines/>
      <w:spacing w:before="360" w:after="80"/>
      <w:jc w:val="center"/>
      <w:outlineLvl w:val="0"/>
    </w:pPr>
    <w:rPr>
      <w:rFonts w:ascii="Times New Roman" w:eastAsiaTheme="majorEastAsia" w:hAnsi="Times New Roman" w:cstheme="majorBidi"/>
      <w:b/>
      <w:color w:val="0F4761" w:themeColor="accent1" w:themeShade="BF"/>
      <w:sz w:val="24"/>
      <w:szCs w:val="40"/>
    </w:rPr>
  </w:style>
  <w:style w:type="paragraph" w:styleId="Heading2">
    <w:name w:val="heading 2"/>
    <w:basedOn w:val="Normal"/>
    <w:next w:val="Normal"/>
    <w:link w:val="Heading2Char"/>
    <w:uiPriority w:val="9"/>
    <w:semiHidden/>
    <w:unhideWhenUsed/>
    <w:qFormat/>
    <w:rsid w:val="005729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9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9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9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A41"/>
    <w:rPr>
      <w:rFonts w:ascii="Times New Roman" w:eastAsiaTheme="majorEastAsia" w:hAnsi="Times New Roman" w:cstheme="majorBidi"/>
      <w:b/>
      <w:color w:val="0F4761" w:themeColor="accent1" w:themeShade="BF"/>
      <w:sz w:val="24"/>
      <w:szCs w:val="40"/>
    </w:rPr>
  </w:style>
  <w:style w:type="character" w:customStyle="1" w:styleId="Heading2Char">
    <w:name w:val="Heading 2 Char"/>
    <w:basedOn w:val="DefaultParagraphFont"/>
    <w:link w:val="Heading2"/>
    <w:uiPriority w:val="9"/>
    <w:semiHidden/>
    <w:rsid w:val="005729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9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9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9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959"/>
    <w:rPr>
      <w:rFonts w:eastAsiaTheme="majorEastAsia" w:cstheme="majorBidi"/>
      <w:color w:val="272727" w:themeColor="text1" w:themeTint="D8"/>
    </w:rPr>
  </w:style>
  <w:style w:type="paragraph" w:styleId="Title">
    <w:name w:val="Title"/>
    <w:basedOn w:val="Normal"/>
    <w:next w:val="Normal"/>
    <w:link w:val="TitleChar"/>
    <w:uiPriority w:val="10"/>
    <w:qFormat/>
    <w:rsid w:val="00572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959"/>
    <w:pPr>
      <w:spacing w:before="160"/>
      <w:jc w:val="center"/>
    </w:pPr>
    <w:rPr>
      <w:i/>
      <w:iCs/>
      <w:color w:val="404040" w:themeColor="text1" w:themeTint="BF"/>
    </w:rPr>
  </w:style>
  <w:style w:type="character" w:customStyle="1" w:styleId="QuoteChar">
    <w:name w:val="Quote Char"/>
    <w:basedOn w:val="DefaultParagraphFont"/>
    <w:link w:val="Quote"/>
    <w:uiPriority w:val="29"/>
    <w:rsid w:val="00572959"/>
    <w:rPr>
      <w:i/>
      <w:iCs/>
      <w:color w:val="404040" w:themeColor="text1" w:themeTint="BF"/>
    </w:rPr>
  </w:style>
  <w:style w:type="paragraph" w:styleId="ListParagraph">
    <w:name w:val="List Paragraph"/>
    <w:basedOn w:val="Normal"/>
    <w:uiPriority w:val="34"/>
    <w:qFormat/>
    <w:rsid w:val="00572959"/>
    <w:pPr>
      <w:ind w:left="720"/>
      <w:contextualSpacing/>
    </w:pPr>
  </w:style>
  <w:style w:type="character" w:styleId="IntenseEmphasis">
    <w:name w:val="Intense Emphasis"/>
    <w:basedOn w:val="DefaultParagraphFont"/>
    <w:uiPriority w:val="21"/>
    <w:qFormat/>
    <w:rsid w:val="00572959"/>
    <w:rPr>
      <w:i/>
      <w:iCs/>
      <w:color w:val="0F4761" w:themeColor="accent1" w:themeShade="BF"/>
    </w:rPr>
  </w:style>
  <w:style w:type="paragraph" w:styleId="IntenseQuote">
    <w:name w:val="Intense Quote"/>
    <w:basedOn w:val="Normal"/>
    <w:next w:val="Normal"/>
    <w:link w:val="IntenseQuoteChar"/>
    <w:uiPriority w:val="30"/>
    <w:qFormat/>
    <w:rsid w:val="005729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959"/>
    <w:rPr>
      <w:i/>
      <w:iCs/>
      <w:color w:val="0F4761" w:themeColor="accent1" w:themeShade="BF"/>
    </w:rPr>
  </w:style>
  <w:style w:type="character" w:styleId="IntenseReference">
    <w:name w:val="Intense Reference"/>
    <w:basedOn w:val="DefaultParagraphFont"/>
    <w:uiPriority w:val="32"/>
    <w:qFormat/>
    <w:rsid w:val="00572959"/>
    <w:rPr>
      <w:b/>
      <w:bCs/>
      <w:smallCaps/>
      <w:color w:val="0F4761" w:themeColor="accent1" w:themeShade="BF"/>
      <w:spacing w:val="5"/>
    </w:rPr>
  </w:style>
  <w:style w:type="paragraph" w:styleId="Header">
    <w:name w:val="header"/>
    <w:basedOn w:val="Normal"/>
    <w:link w:val="HeaderChar"/>
    <w:uiPriority w:val="99"/>
    <w:unhideWhenUsed/>
    <w:rsid w:val="00B338BF"/>
    <w:pPr>
      <w:tabs>
        <w:tab w:val="center" w:pos="4153"/>
        <w:tab w:val="right" w:pos="8306"/>
      </w:tabs>
      <w:spacing w:after="0" w:line="240" w:lineRule="auto"/>
    </w:pPr>
  </w:style>
  <w:style w:type="character" w:customStyle="1" w:styleId="HeaderChar">
    <w:name w:val="Header Char"/>
    <w:basedOn w:val="DefaultParagraphFont"/>
    <w:link w:val="Header"/>
    <w:uiPriority w:val="99"/>
    <w:rsid w:val="00B338BF"/>
  </w:style>
  <w:style w:type="paragraph" w:styleId="Footer">
    <w:name w:val="footer"/>
    <w:basedOn w:val="Normal"/>
    <w:link w:val="FooterChar"/>
    <w:uiPriority w:val="99"/>
    <w:unhideWhenUsed/>
    <w:rsid w:val="00B338BF"/>
    <w:pPr>
      <w:tabs>
        <w:tab w:val="center" w:pos="4153"/>
        <w:tab w:val="right" w:pos="8306"/>
      </w:tabs>
      <w:spacing w:after="0" w:line="240" w:lineRule="auto"/>
    </w:pPr>
  </w:style>
  <w:style w:type="character" w:customStyle="1" w:styleId="FooterChar">
    <w:name w:val="Footer Char"/>
    <w:basedOn w:val="DefaultParagraphFont"/>
    <w:link w:val="Footer"/>
    <w:uiPriority w:val="99"/>
    <w:rsid w:val="00B338BF"/>
  </w:style>
  <w:style w:type="character" w:styleId="Strong">
    <w:name w:val="Strong"/>
    <w:basedOn w:val="DefaultParagraphFont"/>
    <w:uiPriority w:val="22"/>
    <w:qFormat/>
    <w:rsid w:val="00B92819"/>
    <w:rPr>
      <w:b/>
      <w:bCs/>
    </w:rPr>
  </w:style>
  <w:style w:type="paragraph" w:styleId="NormalWeb">
    <w:name w:val="Normal (Web)"/>
    <w:basedOn w:val="Normal"/>
    <w:uiPriority w:val="99"/>
    <w:unhideWhenUsed/>
    <w:rsid w:val="00596A25"/>
    <w:pPr>
      <w:spacing w:before="100" w:beforeAutospacing="1" w:after="100" w:afterAutospacing="1" w:line="240" w:lineRule="auto"/>
    </w:pPr>
    <w:rPr>
      <w:rFonts w:ascii="Times New Roman" w:eastAsia="Times New Roman" w:hAnsi="Times New Roman" w:cs="Times New Roman"/>
      <w:sz w:val="24"/>
      <w:szCs w:val="24"/>
      <w:lang w:eastAsia="lv-LV"/>
      <w14:ligatures w14:val="none"/>
    </w:rPr>
  </w:style>
  <w:style w:type="table" w:styleId="TableGrid">
    <w:name w:val="Table Grid"/>
    <w:basedOn w:val="TableNormal"/>
    <w:uiPriority w:val="39"/>
    <w:rsid w:val="00746F1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143542"/>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8727EB"/>
    <w:rPr>
      <w:color w:val="467886" w:themeColor="hyperlink"/>
      <w:u w:val="single"/>
    </w:rPr>
  </w:style>
  <w:style w:type="character" w:styleId="UnresolvedMention">
    <w:name w:val="Unresolved Mention"/>
    <w:basedOn w:val="DefaultParagraphFont"/>
    <w:uiPriority w:val="99"/>
    <w:semiHidden/>
    <w:unhideWhenUsed/>
    <w:rsid w:val="008727EB"/>
    <w:rPr>
      <w:color w:val="605E5C"/>
      <w:shd w:val="clear" w:color="auto" w:fill="E1DFDD"/>
    </w:rPr>
  </w:style>
  <w:style w:type="character" w:styleId="FollowedHyperlink">
    <w:name w:val="FollowedHyperlink"/>
    <w:basedOn w:val="DefaultParagraphFont"/>
    <w:uiPriority w:val="99"/>
    <w:semiHidden/>
    <w:unhideWhenUsed/>
    <w:rsid w:val="008727EB"/>
    <w:rPr>
      <w:color w:val="96607D" w:themeColor="followedHyperlink"/>
      <w:u w:val="single"/>
    </w:rPr>
  </w:style>
  <w:style w:type="paragraph" w:styleId="Revision">
    <w:name w:val="Revision"/>
    <w:hidden/>
    <w:uiPriority w:val="99"/>
    <w:semiHidden/>
    <w:rsid w:val="00C457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lv-LV" sz="1200" b="1">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rPr>
              <a:t>IKT pārvaldības iekšējo kontroļu novērtējums (%)</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0.34514374186654856"/>
          <c:y val="0.17474962320228754"/>
          <c:w val="0.6170646730758923"/>
          <c:h val="0.53540243404279297"/>
        </c:manualLayout>
      </c:layout>
      <c:barChart>
        <c:barDir val="bar"/>
        <c:grouping val="percentStacked"/>
        <c:varyColors val="0"/>
        <c:ser>
          <c:idx val="0"/>
          <c:order val="0"/>
          <c:tx>
            <c:strRef>
              <c:f>Sheet1!$B$1</c:f>
              <c:strCache>
                <c:ptCount val="1"/>
                <c:pt idx="0">
                  <c:v>Efektīva </c:v>
                </c:pt>
              </c:strCache>
            </c:strRef>
          </c:tx>
          <c:spPr>
            <a:solidFill>
              <a:srgbClr val="00B050"/>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IKT  drošības organizatoriskā vide </c:v>
                </c:pt>
                <c:pt idx="1">
                  <c:v>IKT drošības procesu pārvaldība</c:v>
                </c:pt>
                <c:pt idx="2">
                  <c:v>Apmācības, zināšanu pārbaudes</c:v>
                </c:pt>
                <c:pt idx="3">
                  <c:v>IS dzīves cikla vadība</c:v>
                </c:pt>
              </c:strCache>
            </c:strRef>
          </c:cat>
          <c:val>
            <c:numRef>
              <c:f>Sheet1!$B$2:$B$5</c:f>
              <c:numCache>
                <c:formatCode>General</c:formatCode>
                <c:ptCount val="4"/>
                <c:pt idx="0">
                  <c:v>28</c:v>
                </c:pt>
                <c:pt idx="1">
                  <c:v>22</c:v>
                </c:pt>
                <c:pt idx="2">
                  <c:v>38</c:v>
                </c:pt>
                <c:pt idx="3">
                  <c:v>26</c:v>
                </c:pt>
              </c:numCache>
            </c:numRef>
          </c:val>
          <c:extLst>
            <c:ext xmlns:c16="http://schemas.microsoft.com/office/drawing/2014/chart" uri="{C3380CC4-5D6E-409C-BE32-E72D297353CC}">
              <c16:uniqueId val="{00000000-2769-4CAA-AD80-7CDD17C84705}"/>
            </c:ext>
          </c:extLst>
        </c:ser>
        <c:ser>
          <c:idx val="1"/>
          <c:order val="1"/>
          <c:tx>
            <c:strRef>
              <c:f>Sheet1!$C$1</c:f>
              <c:strCache>
                <c:ptCount val="1"/>
                <c:pt idx="0">
                  <c:v>Pietiekami efektīva </c:v>
                </c:pt>
              </c:strCache>
            </c:strRef>
          </c:tx>
          <c:spPr>
            <a:solidFill>
              <a:srgbClr val="FFFF00"/>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IKT  drošības organizatoriskā vide </c:v>
                </c:pt>
                <c:pt idx="1">
                  <c:v>IKT drošības procesu pārvaldība</c:v>
                </c:pt>
                <c:pt idx="2">
                  <c:v>Apmācības, zināšanu pārbaudes</c:v>
                </c:pt>
                <c:pt idx="3">
                  <c:v>IS dzīves cikla vadība</c:v>
                </c:pt>
              </c:strCache>
            </c:strRef>
          </c:cat>
          <c:val>
            <c:numRef>
              <c:f>Sheet1!$C$2:$C$5</c:f>
              <c:numCache>
                <c:formatCode>General</c:formatCode>
                <c:ptCount val="4"/>
                <c:pt idx="0">
                  <c:v>28</c:v>
                </c:pt>
                <c:pt idx="1">
                  <c:v>36</c:v>
                </c:pt>
                <c:pt idx="2">
                  <c:v>23</c:v>
                </c:pt>
                <c:pt idx="3">
                  <c:v>27</c:v>
                </c:pt>
              </c:numCache>
            </c:numRef>
          </c:val>
          <c:extLst>
            <c:ext xmlns:c16="http://schemas.microsoft.com/office/drawing/2014/chart" uri="{C3380CC4-5D6E-409C-BE32-E72D297353CC}">
              <c16:uniqueId val="{00000001-2769-4CAA-AD80-7CDD17C84705}"/>
            </c:ext>
          </c:extLst>
        </c:ser>
        <c:ser>
          <c:idx val="2"/>
          <c:order val="2"/>
          <c:tx>
            <c:strRef>
              <c:f>Sheet1!$D$1</c:f>
              <c:strCache>
                <c:ptCount val="1"/>
                <c:pt idx="0">
                  <c:v>Nepietiekami efektīva </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IKT  drošības organizatoriskā vide </c:v>
                </c:pt>
                <c:pt idx="1">
                  <c:v>IKT drošības procesu pārvaldība</c:v>
                </c:pt>
                <c:pt idx="2">
                  <c:v>Apmācības, zināšanu pārbaudes</c:v>
                </c:pt>
                <c:pt idx="3">
                  <c:v>IS dzīves cikla vadība</c:v>
                </c:pt>
              </c:strCache>
            </c:strRef>
          </c:cat>
          <c:val>
            <c:numRef>
              <c:f>Sheet1!$D$2:$D$5</c:f>
              <c:numCache>
                <c:formatCode>General</c:formatCode>
                <c:ptCount val="4"/>
                <c:pt idx="0">
                  <c:v>34</c:v>
                </c:pt>
                <c:pt idx="1">
                  <c:v>32</c:v>
                </c:pt>
                <c:pt idx="2">
                  <c:v>31</c:v>
                </c:pt>
                <c:pt idx="3">
                  <c:v>34</c:v>
                </c:pt>
              </c:numCache>
            </c:numRef>
          </c:val>
          <c:extLst>
            <c:ext xmlns:c16="http://schemas.microsoft.com/office/drawing/2014/chart" uri="{C3380CC4-5D6E-409C-BE32-E72D297353CC}">
              <c16:uniqueId val="{00000002-2769-4CAA-AD80-7CDD17C84705}"/>
            </c:ext>
          </c:extLst>
        </c:ser>
        <c:ser>
          <c:idx val="3"/>
          <c:order val="3"/>
          <c:tx>
            <c:strRef>
              <c:f>Sheet1!$E$1</c:f>
              <c:strCache>
                <c:ptCount val="1"/>
                <c:pt idx="0">
                  <c:v>Neefektīva </c:v>
                </c:pt>
              </c:strCache>
            </c:strRef>
          </c:tx>
          <c:spPr>
            <a:solidFill>
              <a:srgbClr val="EE0000"/>
            </a:solidFill>
            <a:ln>
              <a:noFill/>
            </a:ln>
            <a:effectLst/>
          </c:spPr>
          <c:invertIfNegative val="0"/>
          <c:dLbls>
            <c:delete val="1"/>
          </c:dLbls>
          <c:cat>
            <c:strRef>
              <c:f>Sheet1!$A$2:$A$5</c:f>
              <c:strCache>
                <c:ptCount val="4"/>
                <c:pt idx="0">
                  <c:v>IKT  drošības organizatoriskā vide </c:v>
                </c:pt>
                <c:pt idx="1">
                  <c:v>IKT drošības procesu pārvaldība</c:v>
                </c:pt>
                <c:pt idx="2">
                  <c:v>Apmācības, zināšanu pārbaudes</c:v>
                </c:pt>
                <c:pt idx="3">
                  <c:v>IS dzīves cikla vadība</c:v>
                </c:pt>
              </c:strCache>
            </c:strRef>
          </c:cat>
          <c:val>
            <c:numRef>
              <c:f>Sheet1!$E$2:$E$5</c:f>
              <c:numCache>
                <c:formatCode>General</c:formatCode>
                <c:ptCount val="4"/>
                <c:pt idx="0">
                  <c:v>3</c:v>
                </c:pt>
                <c:pt idx="1">
                  <c:v>3</c:v>
                </c:pt>
                <c:pt idx="2">
                  <c:v>0</c:v>
                </c:pt>
                <c:pt idx="3">
                  <c:v>0</c:v>
                </c:pt>
              </c:numCache>
            </c:numRef>
          </c:val>
          <c:extLst>
            <c:ext xmlns:c16="http://schemas.microsoft.com/office/drawing/2014/chart" uri="{C3380CC4-5D6E-409C-BE32-E72D297353CC}">
              <c16:uniqueId val="{00000003-2769-4CAA-AD80-7CDD17C84705}"/>
            </c:ext>
          </c:extLst>
        </c:ser>
        <c:ser>
          <c:idx val="4"/>
          <c:order val="4"/>
          <c:tx>
            <c:strRef>
              <c:f>Sheet1!$F$1</c:f>
              <c:strCache>
                <c:ptCount val="1"/>
                <c:pt idx="0">
                  <c:v>Nav vērtēts</c:v>
                </c:pt>
              </c:strCache>
            </c:strRef>
          </c:tx>
          <c:spPr>
            <a:solidFill>
              <a:schemeClr val="dk1">
                <a:tint val="30000"/>
              </a:schemeClr>
            </a:solidFill>
            <a:ln>
              <a:noFill/>
            </a:ln>
            <a:effectLst/>
          </c:spPr>
          <c:invertIfNegative val="0"/>
          <c:dLbls>
            <c:delete val="1"/>
          </c:dLbls>
          <c:cat>
            <c:strRef>
              <c:f>Sheet1!$A$2:$A$5</c:f>
              <c:strCache>
                <c:ptCount val="4"/>
                <c:pt idx="0">
                  <c:v>IKT  drošības organizatoriskā vide </c:v>
                </c:pt>
                <c:pt idx="1">
                  <c:v>IKT drošības procesu pārvaldība</c:v>
                </c:pt>
                <c:pt idx="2">
                  <c:v>Apmācības, zināšanu pārbaudes</c:v>
                </c:pt>
                <c:pt idx="3">
                  <c:v>IS dzīves cikla vadība</c:v>
                </c:pt>
              </c:strCache>
            </c:strRef>
          </c:cat>
          <c:val>
            <c:numRef>
              <c:f>Sheet1!$F$2:$F$5</c:f>
              <c:numCache>
                <c:formatCode>General</c:formatCode>
                <c:ptCount val="4"/>
                <c:pt idx="0">
                  <c:v>3</c:v>
                </c:pt>
                <c:pt idx="1">
                  <c:v>2</c:v>
                </c:pt>
                <c:pt idx="2">
                  <c:v>3</c:v>
                </c:pt>
                <c:pt idx="3">
                  <c:v>8</c:v>
                </c:pt>
              </c:numCache>
            </c:numRef>
          </c:val>
          <c:extLst>
            <c:ext xmlns:c16="http://schemas.microsoft.com/office/drawing/2014/chart" uri="{C3380CC4-5D6E-409C-BE32-E72D297353CC}">
              <c16:uniqueId val="{00000004-2769-4CAA-AD80-7CDD17C84705}"/>
            </c:ext>
          </c:extLst>
        </c:ser>
        <c:dLbls>
          <c:dLblPos val="ctr"/>
          <c:showLegendKey val="0"/>
          <c:showVal val="1"/>
          <c:showCatName val="0"/>
          <c:showSerName val="0"/>
          <c:showPercent val="0"/>
          <c:showBubbleSize val="0"/>
        </c:dLbls>
        <c:gapWidth val="40"/>
        <c:overlap val="100"/>
        <c:axId val="149480256"/>
        <c:axId val="149482656"/>
      </c:barChart>
      <c:catAx>
        <c:axId val="149480256"/>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crossAx val="149482656"/>
        <c:crosses val="autoZero"/>
        <c:auto val="1"/>
        <c:lblAlgn val="ctr"/>
        <c:lblOffset val="100"/>
        <c:noMultiLvlLbl val="0"/>
      </c:catAx>
      <c:valAx>
        <c:axId val="149482656"/>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crossAx val="14948025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accent3">
                    <a:alpha val="97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legendEntry>
      <c:legendEntry>
        <c:idx val="1"/>
        <c:txPr>
          <a:bodyPr rot="0" spcFirstLastPara="1" vertOverflow="ellipsis" vert="horz" wrap="square" anchor="ctr" anchorCtr="1"/>
          <a:lstStyle/>
          <a:p>
            <a:pPr>
              <a:defRPr sz="900" b="0" i="0" u="none" strike="noStrike" kern="1200" baseline="0">
                <a:solidFill>
                  <a:srgbClr val="FFC000"/>
                </a:solidFill>
                <a:latin typeface="Calibri" panose="020F0502020204030204" pitchFamily="34" charset="0"/>
                <a:ea typeface="Calibri" panose="020F0502020204030204" pitchFamily="34" charset="0"/>
                <a:cs typeface="Calibri" panose="020F0502020204030204" pitchFamily="34" charset="0"/>
              </a:defRPr>
            </a:pPr>
            <a:endParaRPr lang="lv-LV"/>
          </a:p>
        </c:txPr>
      </c:legendEntry>
      <c:legendEntry>
        <c:idx val="2"/>
        <c:txPr>
          <a:bodyPr rot="0" spcFirstLastPara="1" vertOverflow="ellipsis" vert="horz" wrap="square" anchor="ctr" anchorCtr="1"/>
          <a:lstStyle/>
          <a:p>
            <a:pPr>
              <a:defRPr sz="900" b="0" i="0" u="none" strike="noStrike" kern="1200" baseline="0">
                <a:solidFill>
                  <a:schemeClr val="accent2"/>
                </a:solidFill>
                <a:latin typeface="Calibri" panose="020F0502020204030204" pitchFamily="34" charset="0"/>
                <a:ea typeface="Calibri" panose="020F0502020204030204" pitchFamily="34" charset="0"/>
                <a:cs typeface="Calibri" panose="020F0502020204030204" pitchFamily="34" charset="0"/>
              </a:defRPr>
            </a:pPr>
            <a:endParaRPr lang="lv-LV"/>
          </a:p>
        </c:txPr>
      </c:legendEntry>
      <c:legendEntry>
        <c:idx val="3"/>
        <c:txPr>
          <a:bodyPr rot="0" spcFirstLastPara="1" vertOverflow="ellipsis" vert="horz" wrap="square" anchor="ctr" anchorCtr="1"/>
          <a:lstStyle/>
          <a:p>
            <a:pPr>
              <a:defRPr sz="900" b="0" i="0" u="none" strike="noStrike" kern="1200" baseline="0">
                <a:solidFill>
                  <a:srgbClr val="C00000"/>
                </a:solidFill>
                <a:latin typeface="Calibri" panose="020F0502020204030204" pitchFamily="34" charset="0"/>
                <a:ea typeface="Calibri" panose="020F0502020204030204" pitchFamily="34" charset="0"/>
                <a:cs typeface="Calibri" panose="020F0502020204030204" pitchFamily="34" charset="0"/>
              </a:defRPr>
            </a:pPr>
            <a:endParaRPr lang="lv-LV"/>
          </a:p>
        </c:txPr>
      </c:legendEntry>
      <c:layout>
        <c:manualLayout>
          <c:xMode val="edge"/>
          <c:yMode val="edge"/>
          <c:x val="8.0647436380046955E-2"/>
          <c:y val="0.81272308537461435"/>
          <c:w val="0.83870512723990609"/>
          <c:h val="0.1291373797416646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lv-LV" sz="1200" b="1">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rPr>
              <a:t>Tehniskās infrastruktūras un fiziskās drošības novērtējums (%)</a:t>
            </a:r>
          </a:p>
        </c:rich>
      </c:tx>
      <c:layout>
        <c:manualLayout>
          <c:xMode val="edge"/>
          <c:yMode val="edge"/>
          <c:x val="0.14772065823842295"/>
          <c:y val="4.4677555801392599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manualLayout>
          <c:layoutTarget val="inner"/>
          <c:xMode val="edge"/>
          <c:yMode val="edge"/>
          <c:x val="0.38973367219900129"/>
          <c:y val="0.16057765555878181"/>
          <c:w val="0.57138122116409584"/>
          <c:h val="0.55611491622115572"/>
        </c:manualLayout>
      </c:layout>
      <c:barChart>
        <c:barDir val="bar"/>
        <c:grouping val="percentStacked"/>
        <c:varyColors val="0"/>
        <c:ser>
          <c:idx val="0"/>
          <c:order val="0"/>
          <c:tx>
            <c:strRef>
              <c:f>Sheet1!$B$1</c:f>
              <c:strCache>
                <c:ptCount val="1"/>
                <c:pt idx="0">
                  <c:v>Efektīva</c:v>
                </c:pt>
              </c:strCache>
            </c:strRef>
          </c:tx>
          <c:spPr>
            <a:solidFill>
              <a:schemeClr val="accent6"/>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Tehniskās infrastruktūras pārvaldība </c:v>
                </c:pt>
                <c:pt idx="1">
                  <c:v>Serveru telpu drošības pārvaldība</c:v>
                </c:pt>
                <c:pt idx="2">
                  <c:v>Mākoņdatošanas pārvaldība</c:v>
                </c:pt>
                <c:pt idx="3">
                  <c:v>Portatīvo iekārtu s pārvaldība</c:v>
                </c:pt>
                <c:pt idx="4">
                  <c:v>Attālināta darba pārvaldība</c:v>
                </c:pt>
              </c:strCache>
            </c:strRef>
          </c:cat>
          <c:val>
            <c:numRef>
              <c:f>Sheet1!$B$2:$B$6</c:f>
              <c:numCache>
                <c:formatCode>General</c:formatCode>
                <c:ptCount val="5"/>
                <c:pt idx="0">
                  <c:v>40</c:v>
                </c:pt>
                <c:pt idx="1">
                  <c:v>42</c:v>
                </c:pt>
                <c:pt idx="2">
                  <c:v>37</c:v>
                </c:pt>
                <c:pt idx="3">
                  <c:v>46</c:v>
                </c:pt>
                <c:pt idx="4">
                  <c:v>45</c:v>
                </c:pt>
              </c:numCache>
            </c:numRef>
          </c:val>
          <c:extLst>
            <c:ext xmlns:c16="http://schemas.microsoft.com/office/drawing/2014/chart" uri="{C3380CC4-5D6E-409C-BE32-E72D297353CC}">
              <c16:uniqueId val="{00000000-DB2C-406C-AD3C-E178EF21C278}"/>
            </c:ext>
          </c:extLst>
        </c:ser>
        <c:ser>
          <c:idx val="1"/>
          <c:order val="1"/>
          <c:tx>
            <c:strRef>
              <c:f>Sheet1!$C$1</c:f>
              <c:strCache>
                <c:ptCount val="1"/>
                <c:pt idx="0">
                  <c:v>Pietiekami efektīva </c:v>
                </c:pt>
              </c:strCache>
            </c:strRef>
          </c:tx>
          <c:spPr>
            <a:solidFill>
              <a:srgbClr val="FFFF00"/>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0-1B87-420A-982B-E09051230A3C}"/>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Tehniskās infrastruktūras pārvaldība </c:v>
                </c:pt>
                <c:pt idx="1">
                  <c:v>Serveru telpu drošības pārvaldība</c:v>
                </c:pt>
                <c:pt idx="2">
                  <c:v>Mākoņdatošanas pārvaldība</c:v>
                </c:pt>
                <c:pt idx="3">
                  <c:v>Portatīvo iekārtu s pārvaldība</c:v>
                </c:pt>
                <c:pt idx="4">
                  <c:v>Attālināta darba pārvaldība</c:v>
                </c:pt>
              </c:strCache>
            </c:strRef>
          </c:cat>
          <c:val>
            <c:numRef>
              <c:f>Sheet1!$C$2:$C$6</c:f>
              <c:numCache>
                <c:formatCode>General</c:formatCode>
                <c:ptCount val="5"/>
                <c:pt idx="0">
                  <c:v>14</c:v>
                </c:pt>
                <c:pt idx="1">
                  <c:v>5</c:v>
                </c:pt>
                <c:pt idx="2">
                  <c:v>7</c:v>
                </c:pt>
                <c:pt idx="3">
                  <c:v>12</c:v>
                </c:pt>
                <c:pt idx="4">
                  <c:v>7</c:v>
                </c:pt>
              </c:numCache>
            </c:numRef>
          </c:val>
          <c:extLst>
            <c:ext xmlns:c16="http://schemas.microsoft.com/office/drawing/2014/chart" uri="{C3380CC4-5D6E-409C-BE32-E72D297353CC}">
              <c16:uniqueId val="{00000001-DB2C-406C-AD3C-E178EF21C278}"/>
            </c:ext>
          </c:extLst>
        </c:ser>
        <c:ser>
          <c:idx val="2"/>
          <c:order val="2"/>
          <c:tx>
            <c:strRef>
              <c:f>Sheet1!$D$1</c:f>
              <c:strCache>
                <c:ptCount val="1"/>
                <c:pt idx="0">
                  <c:v>Nepietiekami efektīva </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Tehniskās infrastruktūras pārvaldība </c:v>
                </c:pt>
                <c:pt idx="1">
                  <c:v>Serveru telpu drošības pārvaldība</c:v>
                </c:pt>
                <c:pt idx="2">
                  <c:v>Mākoņdatošanas pārvaldība</c:v>
                </c:pt>
                <c:pt idx="3">
                  <c:v>Portatīvo iekārtu s pārvaldība</c:v>
                </c:pt>
                <c:pt idx="4">
                  <c:v>Attālināta darba pārvaldība</c:v>
                </c:pt>
              </c:strCache>
            </c:strRef>
          </c:cat>
          <c:val>
            <c:numRef>
              <c:f>Sheet1!$D$2:$D$6</c:f>
              <c:numCache>
                <c:formatCode>General</c:formatCode>
                <c:ptCount val="5"/>
                <c:pt idx="0">
                  <c:v>29</c:v>
                </c:pt>
                <c:pt idx="1">
                  <c:v>29</c:v>
                </c:pt>
                <c:pt idx="2">
                  <c:v>27</c:v>
                </c:pt>
                <c:pt idx="3">
                  <c:v>27</c:v>
                </c:pt>
                <c:pt idx="4">
                  <c:v>35</c:v>
                </c:pt>
              </c:numCache>
            </c:numRef>
          </c:val>
          <c:extLst>
            <c:ext xmlns:c16="http://schemas.microsoft.com/office/drawing/2014/chart" uri="{C3380CC4-5D6E-409C-BE32-E72D297353CC}">
              <c16:uniqueId val="{00000002-DB2C-406C-AD3C-E178EF21C278}"/>
            </c:ext>
          </c:extLst>
        </c:ser>
        <c:ser>
          <c:idx val="3"/>
          <c:order val="3"/>
          <c:tx>
            <c:strRef>
              <c:f>Sheet1!$E$1</c:f>
              <c:strCache>
                <c:ptCount val="1"/>
                <c:pt idx="0">
                  <c:v>Neefektīva </c:v>
                </c:pt>
              </c:strCache>
            </c:strRef>
          </c:tx>
          <c:spPr>
            <a:solidFill>
              <a:srgbClr val="EE0000"/>
            </a:solidFill>
            <a:ln>
              <a:noFill/>
            </a:ln>
            <a:effectLst/>
          </c:spPr>
          <c:invertIfNegative val="0"/>
          <c:dLbls>
            <c:delete val="1"/>
          </c:dLbls>
          <c:cat>
            <c:strRef>
              <c:f>Sheet1!$A$2:$A$6</c:f>
              <c:strCache>
                <c:ptCount val="5"/>
                <c:pt idx="0">
                  <c:v>Tehniskās infrastruktūras pārvaldība </c:v>
                </c:pt>
                <c:pt idx="1">
                  <c:v>Serveru telpu drošības pārvaldība</c:v>
                </c:pt>
                <c:pt idx="2">
                  <c:v>Mākoņdatošanas pārvaldība</c:v>
                </c:pt>
                <c:pt idx="3">
                  <c:v>Portatīvo iekārtu s pārvaldība</c:v>
                </c:pt>
                <c:pt idx="4">
                  <c:v>Attālināta darba pārvaldība</c:v>
                </c:pt>
              </c:strCache>
            </c:strRef>
          </c:cat>
          <c:val>
            <c:numRef>
              <c:f>Sheet1!$E$2:$E$6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3-DB2C-406C-AD3C-E178EF21C278}"/>
            </c:ext>
          </c:extLst>
        </c:ser>
        <c:ser>
          <c:idx val="4"/>
          <c:order val="4"/>
          <c:tx>
            <c:strRef>
              <c:f>Sheet1!$F$1</c:f>
              <c:strCache>
                <c:ptCount val="1"/>
                <c:pt idx="0">
                  <c:v> Nav vērtēts</c:v>
                </c:pt>
              </c:strCache>
            </c:strRef>
          </c:tx>
          <c:spPr>
            <a:solidFill>
              <a:schemeClr val="bg1">
                <a:lumMod val="5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Tehniskās infrastruktūras pārvaldība </c:v>
                </c:pt>
                <c:pt idx="1">
                  <c:v>Serveru telpu drošības pārvaldība</c:v>
                </c:pt>
                <c:pt idx="2">
                  <c:v>Mākoņdatošanas pārvaldība</c:v>
                </c:pt>
                <c:pt idx="3">
                  <c:v>Portatīvo iekārtu s pārvaldība</c:v>
                </c:pt>
                <c:pt idx="4">
                  <c:v>Attālināta darba pārvaldība</c:v>
                </c:pt>
              </c:strCache>
            </c:strRef>
          </c:cat>
          <c:val>
            <c:numRef>
              <c:f>Sheet1!$F$2:$F$6</c:f>
              <c:numCache>
                <c:formatCode>General</c:formatCode>
                <c:ptCount val="5"/>
                <c:pt idx="0">
                  <c:v>12</c:v>
                </c:pt>
                <c:pt idx="1">
                  <c:v>20</c:v>
                </c:pt>
                <c:pt idx="2">
                  <c:v>25</c:v>
                </c:pt>
                <c:pt idx="3">
                  <c:v>11</c:v>
                </c:pt>
                <c:pt idx="4">
                  <c:v>9</c:v>
                </c:pt>
              </c:numCache>
            </c:numRef>
          </c:val>
          <c:extLst>
            <c:ext xmlns:c16="http://schemas.microsoft.com/office/drawing/2014/chart" uri="{C3380CC4-5D6E-409C-BE32-E72D297353CC}">
              <c16:uniqueId val="{00000004-DB2C-406C-AD3C-E178EF21C278}"/>
            </c:ext>
          </c:extLst>
        </c:ser>
        <c:dLbls>
          <c:dLblPos val="ctr"/>
          <c:showLegendKey val="0"/>
          <c:showVal val="1"/>
          <c:showCatName val="0"/>
          <c:showSerName val="0"/>
          <c:showPercent val="0"/>
          <c:showBubbleSize val="0"/>
        </c:dLbls>
        <c:gapWidth val="30"/>
        <c:overlap val="100"/>
        <c:axId val="271837296"/>
        <c:axId val="271837776"/>
      </c:barChart>
      <c:catAx>
        <c:axId val="271837296"/>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crossAx val="271837776"/>
        <c:crosses val="autoZero"/>
        <c:auto val="1"/>
        <c:lblAlgn val="ctr"/>
        <c:lblOffset val="100"/>
        <c:noMultiLvlLbl val="0"/>
      </c:catAx>
      <c:valAx>
        <c:axId val="271837776"/>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crossAx val="27183729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ln>
                  <a:noFill/>
                </a:ln>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lv-LV"/>
          </a:p>
        </c:txPr>
      </c:legendEntry>
      <c:legendEntry>
        <c:idx val="1"/>
        <c:txPr>
          <a:bodyPr rot="0" spcFirstLastPara="1" vertOverflow="ellipsis" vert="horz" wrap="square" anchor="ctr" anchorCtr="1"/>
          <a:lstStyle/>
          <a:p>
            <a:pPr>
              <a:defRPr sz="900" b="0" i="0" u="none" strike="noStrike" kern="1200" baseline="0">
                <a:ln>
                  <a:noFill/>
                </a:ln>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lv-LV"/>
          </a:p>
        </c:txPr>
      </c:legendEntry>
      <c:legendEntry>
        <c:idx val="2"/>
        <c:txPr>
          <a:bodyPr rot="0" spcFirstLastPara="1" vertOverflow="ellipsis" vert="horz" wrap="square" anchor="ctr" anchorCtr="1"/>
          <a:lstStyle/>
          <a:p>
            <a:pPr>
              <a:defRPr sz="900" b="0" i="0" u="none" strike="noStrike" kern="1200" baseline="0">
                <a:ln>
                  <a:noFill/>
                </a:ln>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lv-LV"/>
          </a:p>
        </c:txPr>
      </c:legendEntry>
      <c:legendEntry>
        <c:idx val="3"/>
        <c:txPr>
          <a:bodyPr rot="0" spcFirstLastPara="1" vertOverflow="ellipsis" vert="horz" wrap="square" anchor="ctr" anchorCtr="1"/>
          <a:lstStyle/>
          <a:p>
            <a:pPr>
              <a:defRPr sz="900" b="0" i="0" u="none" strike="noStrike" kern="1200" baseline="0">
                <a:ln>
                  <a:noFill/>
                </a:ln>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lv-LV"/>
          </a:p>
        </c:txPr>
      </c:legendEntry>
      <c:legendEntry>
        <c:idx val="4"/>
        <c:txPr>
          <a:bodyPr rot="0" spcFirstLastPara="1" vertOverflow="ellipsis" vert="horz" wrap="square" anchor="ctr" anchorCtr="1"/>
          <a:lstStyle/>
          <a:p>
            <a:pPr>
              <a:defRPr sz="900" b="0" i="0" u="none" strike="noStrike" kern="1200" baseline="0">
                <a:ln>
                  <a:noFill/>
                </a:ln>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lv-LV"/>
          </a:p>
        </c:txPr>
      </c:legendEntry>
      <c:layout>
        <c:manualLayout>
          <c:xMode val="edge"/>
          <c:yMode val="edge"/>
          <c:x val="2.2575071674428571E-2"/>
          <c:y val="0.843342799799641"/>
          <c:w val="0.96618594394612145"/>
          <c:h val="0.11898150102632619"/>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Calibri" panose="020F0502020204030204" pitchFamily="34" charset="0"/>
              <a:ea typeface="Calibri" panose="020F0502020204030204" pitchFamily="34" charset="0"/>
              <a:cs typeface="Calibri" panose="020F0502020204030204" pitchFamily="34"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r>
              <a:rPr lang="lv-LV" b="1">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rPr>
              <a:t>IKT resursu un datu pārvaldības novērtējums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title>
    <c:autoTitleDeleted val="0"/>
    <c:plotArea>
      <c:layout>
        <c:manualLayout>
          <c:layoutTarget val="inner"/>
          <c:xMode val="edge"/>
          <c:yMode val="edge"/>
          <c:x val="0.41953302712160978"/>
          <c:y val="0.19138286893704851"/>
          <c:w val="0.53172280548264805"/>
          <c:h val="0.52444073360798948"/>
        </c:manualLayout>
      </c:layout>
      <c:barChart>
        <c:barDir val="bar"/>
        <c:grouping val="percentStacked"/>
        <c:varyColors val="0"/>
        <c:ser>
          <c:idx val="0"/>
          <c:order val="0"/>
          <c:tx>
            <c:strRef>
              <c:f>Sheet1!$B$1</c:f>
              <c:strCache>
                <c:ptCount val="1"/>
                <c:pt idx="0">
                  <c:v>Efektīva </c:v>
                </c:pt>
              </c:strCache>
            </c:strRef>
          </c:tx>
          <c:spPr>
            <a:solidFill>
              <a:schemeClr val="accent6"/>
            </a:solidFill>
            <a:ln>
              <a:noFill/>
            </a:ln>
            <a:effectLst/>
          </c:spPr>
          <c:invertIfNegative val="0"/>
          <c:dLbls>
            <c:dLbl>
              <c:idx val="0"/>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AFB-4046-801B-9332CB0B9489}"/>
                </c:ext>
              </c:extLst>
            </c:dLbl>
            <c:dLbl>
              <c:idx val="1"/>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AFB-4046-801B-9332CB0B9489}"/>
                </c:ext>
              </c:extLst>
            </c:dLbl>
            <c:dLbl>
              <c:idx val="2"/>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FB-4046-801B-9332CB0B9489}"/>
                </c:ext>
              </c:extLst>
            </c:dLbl>
            <c:dLbl>
              <c:idx val="3"/>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AFB-4046-801B-9332CB0B9489}"/>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IKT resursu un lietotāju pārvaldība </c:v>
                </c:pt>
                <c:pt idx="1">
                  <c:v>Atjauninājumu vadības nodrošināšana</c:v>
                </c:pt>
                <c:pt idx="2">
                  <c:v>Ievainojamību pārvaldība</c:v>
                </c:pt>
                <c:pt idx="3">
                  <c:v>Datu drošība</c:v>
                </c:pt>
              </c:strCache>
            </c:strRef>
          </c:cat>
          <c:val>
            <c:numRef>
              <c:f>Sheet1!$B$2:$B$5</c:f>
              <c:numCache>
                <c:formatCode>General</c:formatCode>
                <c:ptCount val="4"/>
                <c:pt idx="0">
                  <c:v>31</c:v>
                </c:pt>
                <c:pt idx="1">
                  <c:v>41</c:v>
                </c:pt>
                <c:pt idx="2">
                  <c:v>40</c:v>
                </c:pt>
                <c:pt idx="3">
                  <c:v>44</c:v>
                </c:pt>
              </c:numCache>
            </c:numRef>
          </c:val>
          <c:extLst>
            <c:ext xmlns:c16="http://schemas.microsoft.com/office/drawing/2014/chart" uri="{C3380CC4-5D6E-409C-BE32-E72D297353CC}">
              <c16:uniqueId val="{00000000-6DD2-4EFB-8212-0EF1E2685E4B}"/>
            </c:ext>
          </c:extLst>
        </c:ser>
        <c:ser>
          <c:idx val="1"/>
          <c:order val="1"/>
          <c:tx>
            <c:strRef>
              <c:f>Sheet1!$C$1</c:f>
              <c:strCache>
                <c:ptCount val="1"/>
                <c:pt idx="0">
                  <c:v>Pietiekami efektīva </c:v>
                </c:pt>
              </c:strCache>
            </c:strRef>
          </c:tx>
          <c:spPr>
            <a:solidFill>
              <a:srgbClr val="FFFF00"/>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IKT resursu un lietotāju pārvaldība </c:v>
                </c:pt>
                <c:pt idx="1">
                  <c:v>Atjauninājumu vadības nodrošināšana</c:v>
                </c:pt>
                <c:pt idx="2">
                  <c:v>Ievainojamību pārvaldība</c:v>
                </c:pt>
                <c:pt idx="3">
                  <c:v>Datu drošība</c:v>
                </c:pt>
              </c:strCache>
            </c:strRef>
          </c:cat>
          <c:val>
            <c:numRef>
              <c:f>Sheet1!$C$2:$C$5</c:f>
              <c:numCache>
                <c:formatCode>General</c:formatCode>
                <c:ptCount val="4"/>
                <c:pt idx="0">
                  <c:v>25</c:v>
                </c:pt>
                <c:pt idx="1">
                  <c:v>12</c:v>
                </c:pt>
                <c:pt idx="2">
                  <c:v>11</c:v>
                </c:pt>
                <c:pt idx="3">
                  <c:v>15</c:v>
                </c:pt>
              </c:numCache>
            </c:numRef>
          </c:val>
          <c:extLst>
            <c:ext xmlns:c16="http://schemas.microsoft.com/office/drawing/2014/chart" uri="{C3380CC4-5D6E-409C-BE32-E72D297353CC}">
              <c16:uniqueId val="{00000001-6DD2-4EFB-8212-0EF1E2685E4B}"/>
            </c:ext>
          </c:extLst>
        </c:ser>
        <c:ser>
          <c:idx val="2"/>
          <c:order val="2"/>
          <c:tx>
            <c:strRef>
              <c:f>Sheet1!$D$1</c:f>
              <c:strCache>
                <c:ptCount val="1"/>
                <c:pt idx="0">
                  <c:v>Nepietiekami efektīva </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IKT resursu un lietotāju pārvaldība </c:v>
                </c:pt>
                <c:pt idx="1">
                  <c:v>Atjauninājumu vadības nodrošināšana</c:v>
                </c:pt>
                <c:pt idx="2">
                  <c:v>Ievainojamību pārvaldība</c:v>
                </c:pt>
                <c:pt idx="3">
                  <c:v>Datu drošība</c:v>
                </c:pt>
              </c:strCache>
            </c:strRef>
          </c:cat>
          <c:val>
            <c:numRef>
              <c:f>Sheet1!$D$2:$D$5</c:f>
              <c:numCache>
                <c:formatCode>General</c:formatCode>
                <c:ptCount val="4"/>
                <c:pt idx="0">
                  <c:v>32</c:v>
                </c:pt>
                <c:pt idx="1">
                  <c:v>27</c:v>
                </c:pt>
                <c:pt idx="2">
                  <c:v>32</c:v>
                </c:pt>
                <c:pt idx="3">
                  <c:v>34</c:v>
                </c:pt>
              </c:numCache>
            </c:numRef>
          </c:val>
          <c:extLst>
            <c:ext xmlns:c16="http://schemas.microsoft.com/office/drawing/2014/chart" uri="{C3380CC4-5D6E-409C-BE32-E72D297353CC}">
              <c16:uniqueId val="{00000002-6DD2-4EFB-8212-0EF1E2685E4B}"/>
            </c:ext>
          </c:extLst>
        </c:ser>
        <c:ser>
          <c:idx val="3"/>
          <c:order val="3"/>
          <c:tx>
            <c:strRef>
              <c:f>Sheet1!$E$1</c:f>
              <c:strCache>
                <c:ptCount val="1"/>
                <c:pt idx="0">
                  <c:v>Neefektīva </c:v>
                </c:pt>
              </c:strCache>
            </c:strRef>
          </c:tx>
          <c:spPr>
            <a:solidFill>
              <a:srgbClr val="EE0000"/>
            </a:solidFill>
            <a:ln>
              <a:noFill/>
            </a:ln>
            <a:effectLst/>
          </c:spPr>
          <c:invertIfNegative val="0"/>
          <c:cat>
            <c:strRef>
              <c:f>Sheet1!$A$2:$A$5</c:f>
              <c:strCache>
                <c:ptCount val="4"/>
                <c:pt idx="0">
                  <c:v>IKT resursu un lietotāju pārvaldība </c:v>
                </c:pt>
                <c:pt idx="1">
                  <c:v>Atjauninājumu vadības nodrošināšana</c:v>
                </c:pt>
                <c:pt idx="2">
                  <c:v>Ievainojamību pārvaldība</c:v>
                </c:pt>
                <c:pt idx="3">
                  <c:v>Datu drošība</c:v>
                </c:pt>
              </c:strCache>
            </c:strRef>
          </c:cat>
          <c:val>
            <c:numRef>
              <c:f>Sheet1!$E$2:$E$5</c:f>
              <c:numCache>
                <c:formatCode>General</c:formatCode>
                <c:ptCount val="4"/>
                <c:pt idx="0">
                  <c:v>1</c:v>
                </c:pt>
                <c:pt idx="1">
                  <c:v>0</c:v>
                </c:pt>
                <c:pt idx="2">
                  <c:v>3</c:v>
                </c:pt>
                <c:pt idx="3">
                  <c:v>0</c:v>
                </c:pt>
              </c:numCache>
            </c:numRef>
          </c:val>
          <c:extLst>
            <c:ext xmlns:c16="http://schemas.microsoft.com/office/drawing/2014/chart" uri="{C3380CC4-5D6E-409C-BE32-E72D297353CC}">
              <c16:uniqueId val="{00000003-6DD2-4EFB-8212-0EF1E2685E4B}"/>
            </c:ext>
          </c:extLst>
        </c:ser>
        <c:ser>
          <c:idx val="4"/>
          <c:order val="4"/>
          <c:tx>
            <c:strRef>
              <c:f>Sheet1!$F$1</c:f>
              <c:strCache>
                <c:ptCount val="1"/>
                <c:pt idx="0">
                  <c:v>Nav veikts </c:v>
                </c:pt>
              </c:strCache>
            </c:strRef>
          </c:tx>
          <c:spPr>
            <a:solidFill>
              <a:schemeClr val="bg1">
                <a:lumMod val="50000"/>
              </a:schemeClr>
            </a:solidFill>
            <a:ln>
              <a:noFill/>
            </a:ln>
            <a:effectLst/>
          </c:spPr>
          <c:invertIfNegative val="0"/>
          <c:cat>
            <c:strRef>
              <c:f>Sheet1!$A$2:$A$5</c:f>
              <c:strCache>
                <c:ptCount val="4"/>
                <c:pt idx="0">
                  <c:v>IKT resursu un lietotāju pārvaldība </c:v>
                </c:pt>
                <c:pt idx="1">
                  <c:v>Atjauninājumu vadības nodrošināšana</c:v>
                </c:pt>
                <c:pt idx="2">
                  <c:v>Ievainojamību pārvaldība</c:v>
                </c:pt>
                <c:pt idx="3">
                  <c:v>Datu drošība</c:v>
                </c:pt>
              </c:strCache>
            </c:strRef>
          </c:cat>
          <c:val>
            <c:numRef>
              <c:f>Sheet1!$F$2:$F$5</c:f>
              <c:numCache>
                <c:formatCode>General</c:formatCode>
                <c:ptCount val="4"/>
                <c:pt idx="0">
                  <c:v>6</c:v>
                </c:pt>
                <c:pt idx="1">
                  <c:v>16</c:v>
                </c:pt>
                <c:pt idx="2">
                  <c:v>10</c:v>
                </c:pt>
                <c:pt idx="3">
                  <c:v>3</c:v>
                </c:pt>
              </c:numCache>
            </c:numRef>
          </c:val>
          <c:extLst>
            <c:ext xmlns:c16="http://schemas.microsoft.com/office/drawing/2014/chart" uri="{C3380CC4-5D6E-409C-BE32-E72D297353CC}">
              <c16:uniqueId val="{00000004-6DD2-4EFB-8212-0EF1E2685E4B}"/>
            </c:ext>
          </c:extLst>
        </c:ser>
        <c:dLbls>
          <c:showLegendKey val="0"/>
          <c:showVal val="0"/>
          <c:showCatName val="0"/>
          <c:showSerName val="0"/>
          <c:showPercent val="0"/>
          <c:showBubbleSize val="0"/>
        </c:dLbls>
        <c:gapWidth val="30"/>
        <c:overlap val="100"/>
        <c:axId val="2097151408"/>
        <c:axId val="2097151888"/>
      </c:barChart>
      <c:catAx>
        <c:axId val="2097151408"/>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v-LV"/>
          </a:p>
        </c:txPr>
        <c:crossAx val="2097151888"/>
        <c:crosses val="autoZero"/>
        <c:auto val="1"/>
        <c:lblAlgn val="ctr"/>
        <c:lblOffset val="100"/>
        <c:noMultiLvlLbl val="0"/>
      </c:catAx>
      <c:valAx>
        <c:axId val="2097151888"/>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crossAx val="2097151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r>
              <a:rPr lang="lv-LV" sz="1400" b="1" i="0" u="none" strike="noStrike" baseline="0"/>
              <a:t>IKT incidentu un krīzes vadības novērtējums </a:t>
            </a:r>
            <a:r>
              <a:rPr lang="lv-LV" b="1">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rPr>
              <a:t>(%)</a:t>
            </a:r>
          </a:p>
        </c:rich>
      </c:tx>
      <c:layout>
        <c:manualLayout>
          <c:xMode val="edge"/>
          <c:yMode val="edge"/>
          <c:x val="0.16714694517351997"/>
          <c:y val="2.5799793601651185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title>
    <c:autoTitleDeleted val="0"/>
    <c:plotArea>
      <c:layout>
        <c:manualLayout>
          <c:layoutTarget val="inner"/>
          <c:xMode val="edge"/>
          <c:yMode val="edge"/>
          <c:x val="0.37263977993372166"/>
          <c:y val="0.21092667162533024"/>
          <c:w val="0.57861609326970131"/>
          <c:h val="0.50489676575444353"/>
        </c:manualLayout>
      </c:layout>
      <c:barChart>
        <c:barDir val="bar"/>
        <c:grouping val="percentStacked"/>
        <c:varyColors val="0"/>
        <c:ser>
          <c:idx val="0"/>
          <c:order val="0"/>
          <c:tx>
            <c:strRef>
              <c:f>Sheet1!$B$1</c:f>
              <c:strCache>
                <c:ptCount val="1"/>
                <c:pt idx="0">
                  <c:v>Efektīva </c:v>
                </c:pt>
              </c:strCache>
            </c:strRef>
          </c:tx>
          <c:spPr>
            <a:solidFill>
              <a:schemeClr val="accent6"/>
            </a:solidFill>
            <a:ln>
              <a:noFill/>
            </a:ln>
            <a:effectLst/>
          </c:spPr>
          <c:invertIfNegative val="0"/>
          <c:dLbls>
            <c:dLbl>
              <c:idx val="0"/>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5B5-467B-9849-65A51AA3AC55}"/>
                </c:ext>
              </c:extLst>
            </c:dLbl>
            <c:dLbl>
              <c:idx val="1"/>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5B5-467B-9849-65A51AA3AC55}"/>
                </c:ext>
              </c:extLst>
            </c:dLbl>
            <c:dLbl>
              <c:idx val="2"/>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5B5-467B-9849-65A51AA3AC55}"/>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Drošības incidentu vadība </c:v>
                </c:pt>
                <c:pt idx="1">
                  <c:v>Darbības nepārtrauktības plānošana</c:v>
                </c:pt>
                <c:pt idx="2">
                  <c:v>Kiberdrošības krīzes vadība</c:v>
                </c:pt>
              </c:strCache>
            </c:strRef>
          </c:cat>
          <c:val>
            <c:numRef>
              <c:f>Sheet1!$B$2:$B$4</c:f>
              <c:numCache>
                <c:formatCode>General</c:formatCode>
                <c:ptCount val="3"/>
                <c:pt idx="0">
                  <c:v>42</c:v>
                </c:pt>
                <c:pt idx="1">
                  <c:v>28</c:v>
                </c:pt>
                <c:pt idx="2">
                  <c:v>20</c:v>
                </c:pt>
              </c:numCache>
            </c:numRef>
          </c:val>
          <c:extLst>
            <c:ext xmlns:c16="http://schemas.microsoft.com/office/drawing/2014/chart" uri="{C3380CC4-5D6E-409C-BE32-E72D297353CC}">
              <c16:uniqueId val="{00000004-A5B5-467B-9849-65A51AA3AC55}"/>
            </c:ext>
          </c:extLst>
        </c:ser>
        <c:ser>
          <c:idx val="1"/>
          <c:order val="1"/>
          <c:tx>
            <c:strRef>
              <c:f>Sheet1!$C$1</c:f>
              <c:strCache>
                <c:ptCount val="1"/>
                <c:pt idx="0">
                  <c:v>Pietiekami efektīva </c:v>
                </c:pt>
              </c:strCache>
            </c:strRef>
          </c:tx>
          <c:spPr>
            <a:solidFill>
              <a:srgbClr val="FFFF00"/>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Drošības incidentu vadība </c:v>
                </c:pt>
                <c:pt idx="1">
                  <c:v>Darbības nepārtrauktības plānošana</c:v>
                </c:pt>
                <c:pt idx="2">
                  <c:v>Kiberdrošības krīzes vadība</c:v>
                </c:pt>
              </c:strCache>
            </c:strRef>
          </c:cat>
          <c:val>
            <c:numRef>
              <c:f>Sheet1!$C$2:$C$4</c:f>
              <c:numCache>
                <c:formatCode>General</c:formatCode>
                <c:ptCount val="3"/>
                <c:pt idx="0">
                  <c:v>15</c:v>
                </c:pt>
                <c:pt idx="1">
                  <c:v>23</c:v>
                </c:pt>
                <c:pt idx="2">
                  <c:v>33</c:v>
                </c:pt>
              </c:numCache>
            </c:numRef>
          </c:val>
          <c:extLst>
            <c:ext xmlns:c16="http://schemas.microsoft.com/office/drawing/2014/chart" uri="{C3380CC4-5D6E-409C-BE32-E72D297353CC}">
              <c16:uniqueId val="{00000005-A5B5-467B-9849-65A51AA3AC55}"/>
            </c:ext>
          </c:extLst>
        </c:ser>
        <c:ser>
          <c:idx val="2"/>
          <c:order val="2"/>
          <c:tx>
            <c:strRef>
              <c:f>Sheet1!$D$1</c:f>
              <c:strCache>
                <c:ptCount val="1"/>
                <c:pt idx="0">
                  <c:v>Nepietiekami efektīva </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Drošības incidentu vadība </c:v>
                </c:pt>
                <c:pt idx="1">
                  <c:v>Darbības nepārtrauktības plānošana</c:v>
                </c:pt>
                <c:pt idx="2">
                  <c:v>Kiberdrošības krīzes vadība</c:v>
                </c:pt>
              </c:strCache>
            </c:strRef>
          </c:cat>
          <c:val>
            <c:numRef>
              <c:f>Sheet1!$D$2:$D$4</c:f>
              <c:numCache>
                <c:formatCode>General</c:formatCode>
                <c:ptCount val="3"/>
                <c:pt idx="0">
                  <c:v>30</c:v>
                </c:pt>
                <c:pt idx="1">
                  <c:v>32</c:v>
                </c:pt>
                <c:pt idx="2">
                  <c:v>35</c:v>
                </c:pt>
              </c:numCache>
            </c:numRef>
          </c:val>
          <c:extLst>
            <c:ext xmlns:c16="http://schemas.microsoft.com/office/drawing/2014/chart" uri="{C3380CC4-5D6E-409C-BE32-E72D297353CC}">
              <c16:uniqueId val="{00000006-A5B5-467B-9849-65A51AA3AC55}"/>
            </c:ext>
          </c:extLst>
        </c:ser>
        <c:ser>
          <c:idx val="3"/>
          <c:order val="3"/>
          <c:tx>
            <c:strRef>
              <c:f>Sheet1!$E$1</c:f>
              <c:strCache>
                <c:ptCount val="1"/>
                <c:pt idx="0">
                  <c:v>Neefektīva </c:v>
                </c:pt>
              </c:strCache>
            </c:strRef>
          </c:tx>
          <c:spPr>
            <a:solidFill>
              <a:srgbClr val="EE0000"/>
            </a:solidFill>
            <a:ln>
              <a:noFill/>
            </a:ln>
            <a:effectLst/>
          </c:spPr>
          <c:invertIfNegative val="0"/>
          <c:cat>
            <c:strRef>
              <c:f>Sheet1!$A$2:$A$4</c:f>
              <c:strCache>
                <c:ptCount val="3"/>
                <c:pt idx="0">
                  <c:v>Drošības incidentu vadība </c:v>
                </c:pt>
                <c:pt idx="1">
                  <c:v>Darbības nepārtrauktības plānošana</c:v>
                </c:pt>
                <c:pt idx="2">
                  <c:v>Kiberdrošības krīzes vadība</c:v>
                </c:pt>
              </c:strCache>
            </c:strRef>
          </c:cat>
          <c:val>
            <c:numRef>
              <c:f>Sheet1!$E$2:$E$4</c:f>
              <c:numCache>
                <c:formatCode>General</c:formatCode>
                <c:ptCount val="3"/>
                <c:pt idx="0">
                  <c:v>0</c:v>
                </c:pt>
                <c:pt idx="1">
                  <c:v>5</c:v>
                </c:pt>
                <c:pt idx="2">
                  <c:v>0</c:v>
                </c:pt>
              </c:numCache>
            </c:numRef>
          </c:val>
          <c:extLst>
            <c:ext xmlns:c16="http://schemas.microsoft.com/office/drawing/2014/chart" uri="{C3380CC4-5D6E-409C-BE32-E72D297353CC}">
              <c16:uniqueId val="{00000007-A5B5-467B-9849-65A51AA3AC55}"/>
            </c:ext>
          </c:extLst>
        </c:ser>
        <c:ser>
          <c:idx val="4"/>
          <c:order val="4"/>
          <c:tx>
            <c:strRef>
              <c:f>Sheet1!$F$1</c:f>
              <c:strCache>
                <c:ptCount val="1"/>
                <c:pt idx="0">
                  <c:v>Nav veikts </c:v>
                </c:pt>
              </c:strCache>
            </c:strRef>
          </c:tx>
          <c:spPr>
            <a:solidFill>
              <a:schemeClr val="bg1">
                <a:lumMod val="50000"/>
              </a:schemeClr>
            </a:solidFill>
            <a:ln>
              <a:noFill/>
            </a:ln>
            <a:effectLst/>
          </c:spPr>
          <c:invertIfNegative val="0"/>
          <c:cat>
            <c:strRef>
              <c:f>Sheet1!$A$2:$A$4</c:f>
              <c:strCache>
                <c:ptCount val="3"/>
                <c:pt idx="0">
                  <c:v>Drošības incidentu vadība </c:v>
                </c:pt>
                <c:pt idx="1">
                  <c:v>Darbības nepārtrauktības plānošana</c:v>
                </c:pt>
                <c:pt idx="2">
                  <c:v>Kiberdrošības krīzes vadība</c:v>
                </c:pt>
              </c:strCache>
            </c:strRef>
          </c:cat>
          <c:val>
            <c:numRef>
              <c:f>Sheet1!$F$2:$F$4</c:f>
              <c:numCache>
                <c:formatCode>General</c:formatCode>
                <c:ptCount val="3"/>
                <c:pt idx="0">
                  <c:v>9</c:v>
                </c:pt>
                <c:pt idx="1">
                  <c:v>8</c:v>
                </c:pt>
                <c:pt idx="2">
                  <c:v>8</c:v>
                </c:pt>
              </c:numCache>
            </c:numRef>
          </c:val>
          <c:extLst>
            <c:ext xmlns:c16="http://schemas.microsoft.com/office/drawing/2014/chart" uri="{C3380CC4-5D6E-409C-BE32-E72D297353CC}">
              <c16:uniqueId val="{00000008-A5B5-467B-9849-65A51AA3AC55}"/>
            </c:ext>
          </c:extLst>
        </c:ser>
        <c:dLbls>
          <c:showLegendKey val="0"/>
          <c:showVal val="0"/>
          <c:showCatName val="0"/>
          <c:showSerName val="0"/>
          <c:showPercent val="0"/>
          <c:showBubbleSize val="0"/>
        </c:dLbls>
        <c:gapWidth val="30"/>
        <c:overlap val="100"/>
        <c:axId val="2097151408"/>
        <c:axId val="2097151888"/>
      </c:barChart>
      <c:catAx>
        <c:axId val="2097151408"/>
        <c:scaling>
          <c:orientation val="minMax"/>
        </c:scaling>
        <c:delete val="0"/>
        <c:axPos val="l"/>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crossAx val="2097151888"/>
        <c:crosses val="autoZero"/>
        <c:auto val="1"/>
        <c:lblAlgn val="ctr"/>
        <c:lblOffset val="100"/>
        <c:noMultiLvlLbl val="0"/>
      </c:catAx>
      <c:valAx>
        <c:axId val="2097151888"/>
        <c:scaling>
          <c:orientation val="minMax"/>
        </c:scaling>
        <c:delete val="0"/>
        <c:axPos val="b"/>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crossAx val="2097151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sz="1400" b="1" i="0" u="none" strike="noStrike" baseline="0">
              <a:effectLst/>
            </a:endParaRPr>
          </a:p>
          <a:p>
            <a:pPr>
              <a:defRPr b="1">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r>
              <a:rPr lang="lv-LV" sz="1400" b="1" i="0" u="none" strike="noStrike" baseline="0">
                <a:effectLst/>
              </a:rPr>
              <a:t>Kopējais IKS novērtējums institūcijās </a:t>
            </a:r>
            <a:r>
              <a:rPr lang="lv-LV" b="1">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rPr>
              <a:t>(%)</a:t>
            </a:r>
          </a:p>
        </c:rich>
      </c:tx>
      <c:layout>
        <c:manualLayout>
          <c:xMode val="edge"/>
          <c:yMode val="edge"/>
          <c:x val="0.16714694517351997"/>
          <c:y val="2.5799793601651185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2">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title>
    <c:autoTitleDeleted val="0"/>
    <c:plotArea>
      <c:layout>
        <c:manualLayout>
          <c:layoutTarget val="inner"/>
          <c:xMode val="edge"/>
          <c:yMode val="edge"/>
          <c:x val="0.15177066014158588"/>
          <c:y val="0.28407675861709342"/>
          <c:w val="0.64809068189185515"/>
          <c:h val="0.54973562079574489"/>
        </c:manualLayout>
      </c:layout>
      <c:barChart>
        <c:barDir val="col"/>
        <c:grouping val="clustered"/>
        <c:varyColors val="0"/>
        <c:ser>
          <c:idx val="0"/>
          <c:order val="0"/>
          <c:tx>
            <c:strRef>
              <c:f>Sheet1!$B$1</c:f>
              <c:strCache>
                <c:ptCount val="1"/>
                <c:pt idx="0">
                  <c:v>Efektīva </c:v>
                </c:pt>
              </c:strCache>
            </c:strRef>
          </c:tx>
          <c:spPr>
            <a:solidFill>
              <a:schemeClr val="accent6"/>
            </a:solidFill>
            <a:ln>
              <a:noFill/>
            </a:ln>
            <a:effectLst/>
          </c:spPr>
          <c:invertIfNegative val="0"/>
          <c:dLbls>
            <c:dLbl>
              <c:idx val="0"/>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112-4869-B551-0B7625C9335F}"/>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IKS kopējais vērtējums</c:v>
                </c:pt>
              </c:strCache>
            </c:strRef>
          </c:cat>
          <c:val>
            <c:numRef>
              <c:f>Sheet1!$B$2</c:f>
              <c:numCache>
                <c:formatCode>General</c:formatCode>
                <c:ptCount val="1"/>
                <c:pt idx="0">
                  <c:v>12</c:v>
                </c:pt>
              </c:numCache>
            </c:numRef>
          </c:val>
          <c:extLst>
            <c:ext xmlns:c16="http://schemas.microsoft.com/office/drawing/2014/chart" uri="{C3380CC4-5D6E-409C-BE32-E72D297353CC}">
              <c16:uniqueId val="{00000003-3112-4869-B551-0B7625C9335F}"/>
            </c:ext>
          </c:extLst>
        </c:ser>
        <c:ser>
          <c:idx val="1"/>
          <c:order val="1"/>
          <c:tx>
            <c:strRef>
              <c:f>Sheet1!$C$1</c:f>
              <c:strCache>
                <c:ptCount val="1"/>
                <c:pt idx="0">
                  <c:v>Pietiekami efektīva </c:v>
                </c:pt>
              </c:strCache>
            </c:strRef>
          </c:tx>
          <c:spPr>
            <a:solidFill>
              <a:srgbClr val="FFFF00"/>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IKS kopējais vērtējums</c:v>
                </c:pt>
              </c:strCache>
            </c:strRef>
          </c:cat>
          <c:val>
            <c:numRef>
              <c:f>Sheet1!$C$2</c:f>
              <c:numCache>
                <c:formatCode>General</c:formatCode>
                <c:ptCount val="1"/>
                <c:pt idx="0">
                  <c:v>45</c:v>
                </c:pt>
              </c:numCache>
            </c:numRef>
          </c:val>
          <c:extLst>
            <c:ext xmlns:c16="http://schemas.microsoft.com/office/drawing/2014/chart" uri="{C3380CC4-5D6E-409C-BE32-E72D297353CC}">
              <c16:uniqueId val="{00000004-3112-4869-B551-0B7625C9335F}"/>
            </c:ext>
          </c:extLst>
        </c:ser>
        <c:ser>
          <c:idx val="2"/>
          <c:order val="2"/>
          <c:tx>
            <c:strRef>
              <c:f>Sheet1!$D$1</c:f>
              <c:strCache>
                <c:ptCount val="1"/>
                <c:pt idx="0">
                  <c:v>Nepietiekami efektīva </c:v>
                </c:pt>
              </c:strCache>
            </c:strRef>
          </c:tx>
          <c:spPr>
            <a:solidFill>
              <a:schemeClr val="accent2"/>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IKS kopējais vērtējums</c:v>
                </c:pt>
              </c:strCache>
            </c:strRef>
          </c:cat>
          <c:val>
            <c:numRef>
              <c:f>Sheet1!$D$2</c:f>
              <c:numCache>
                <c:formatCode>General</c:formatCode>
                <c:ptCount val="1"/>
                <c:pt idx="0">
                  <c:v>34</c:v>
                </c:pt>
              </c:numCache>
            </c:numRef>
          </c:val>
          <c:extLst>
            <c:ext xmlns:c16="http://schemas.microsoft.com/office/drawing/2014/chart" uri="{C3380CC4-5D6E-409C-BE32-E72D297353CC}">
              <c16:uniqueId val="{00000005-3112-4869-B551-0B7625C9335F}"/>
            </c:ext>
          </c:extLst>
        </c:ser>
        <c:ser>
          <c:idx val="3"/>
          <c:order val="3"/>
          <c:tx>
            <c:strRef>
              <c:f>Sheet1!$E$1</c:f>
              <c:strCache>
                <c:ptCount val="1"/>
                <c:pt idx="0">
                  <c:v>Neefektīva </c:v>
                </c:pt>
              </c:strCache>
            </c:strRef>
          </c:tx>
          <c:spPr>
            <a:solidFill>
              <a:srgbClr val="EE0000"/>
            </a:solidFill>
            <a:ln>
              <a:noFill/>
            </a:ln>
            <a:effectLst/>
          </c:spPr>
          <c:invertIfNegative val="0"/>
          <c:dLbls>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811-4FAA-896E-D2A6876A535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IKS kopējais vērtējums</c:v>
                </c:pt>
              </c:strCache>
            </c:strRef>
          </c:cat>
          <c:val>
            <c:numRef>
              <c:f>Sheet1!$E$2</c:f>
              <c:numCache>
                <c:formatCode>General</c:formatCode>
                <c:ptCount val="1"/>
                <c:pt idx="0">
                  <c:v>4</c:v>
                </c:pt>
              </c:numCache>
            </c:numRef>
          </c:val>
          <c:extLst>
            <c:ext xmlns:c16="http://schemas.microsoft.com/office/drawing/2014/chart" uri="{C3380CC4-5D6E-409C-BE32-E72D297353CC}">
              <c16:uniqueId val="{00000006-3112-4869-B551-0B7625C9335F}"/>
            </c:ext>
          </c:extLst>
        </c:ser>
        <c:ser>
          <c:idx val="4"/>
          <c:order val="4"/>
          <c:tx>
            <c:strRef>
              <c:f>Sheet1!$F$1</c:f>
              <c:strCache>
                <c:ptCount val="1"/>
                <c:pt idx="0">
                  <c:v>Nav veikts </c:v>
                </c:pt>
              </c:strCache>
            </c:strRef>
          </c:tx>
          <c:spPr>
            <a:solidFill>
              <a:schemeClr val="bg1">
                <a:lumMod val="50000"/>
              </a:schemeClr>
            </a:solidFill>
            <a:ln>
              <a:noFill/>
            </a:ln>
            <a:effectLst/>
          </c:spPr>
          <c:invertIfNegative val="0"/>
          <c:dLbls>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IKS kopējais vērtējums</c:v>
                </c:pt>
              </c:strCache>
            </c:strRef>
          </c:cat>
          <c:val>
            <c:numRef>
              <c:f>Sheet1!$F$2</c:f>
              <c:numCache>
                <c:formatCode>General</c:formatCode>
                <c:ptCount val="1"/>
                <c:pt idx="0">
                  <c:v>1</c:v>
                </c:pt>
              </c:numCache>
            </c:numRef>
          </c:val>
          <c:extLst>
            <c:ext xmlns:c16="http://schemas.microsoft.com/office/drawing/2014/chart" uri="{C3380CC4-5D6E-409C-BE32-E72D297353CC}">
              <c16:uniqueId val="{00000007-3112-4869-B551-0B7625C9335F}"/>
            </c:ext>
          </c:extLst>
        </c:ser>
        <c:dLbls>
          <c:showLegendKey val="0"/>
          <c:showVal val="0"/>
          <c:showCatName val="0"/>
          <c:showSerName val="0"/>
          <c:showPercent val="0"/>
          <c:showBubbleSize val="0"/>
        </c:dLbls>
        <c:gapWidth val="80"/>
        <c:axId val="2097151408"/>
        <c:axId val="2097151888"/>
      </c:barChart>
      <c:catAx>
        <c:axId val="2097151408"/>
        <c:scaling>
          <c:orientation val="minMax"/>
        </c:scaling>
        <c:delete val="1"/>
        <c:axPos val="b"/>
        <c:numFmt formatCode="General" sourceLinked="1"/>
        <c:majorTickMark val="none"/>
        <c:minorTickMark val="none"/>
        <c:tickLblPos val="nextTo"/>
        <c:crossAx val="2097151888"/>
        <c:crosses val="autoZero"/>
        <c:auto val="1"/>
        <c:lblAlgn val="ctr"/>
        <c:lblOffset val="100"/>
        <c:noMultiLvlLbl val="0"/>
      </c:catAx>
      <c:valAx>
        <c:axId val="2097151888"/>
        <c:scaling>
          <c:orientation val="minMax"/>
          <c:max val="50"/>
        </c:scaling>
        <c:delete val="1"/>
        <c:axPos val="l"/>
        <c:numFmt formatCode="General" sourceLinked="1"/>
        <c:majorTickMark val="none"/>
        <c:minorTickMark val="none"/>
        <c:tickLblPos val="nextTo"/>
        <c:crossAx val="2097151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87F29E-F63C-442D-B1D6-B3D749ADB375}">
  <we:reference id="WA200005502" version="1.0.0.12" store="Omex" storeType="OMEX"/>
  <we:alternateReferences>
    <we:reference id="WA200005502" version="1.0.0.12" store="WA200005502" storeType="OMEX"/>
  </we:alternateReferences>
  <we:properties>
    <we:property name="docId" value="&quot;P8bC_WGlYmmpw3Y8gbBTH&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BDD07-C371-42AE-A6BA-425C9A06191C}">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67</TotalTime>
  <Pages>8</Pages>
  <Words>11842</Words>
  <Characters>6751</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Bērziņa-Ķule</dc:creator>
  <cp:keywords/>
  <dc:description/>
  <cp:lastModifiedBy>Gita Mežupa</cp:lastModifiedBy>
  <cp:revision>55</cp:revision>
  <dcterms:created xsi:type="dcterms:W3CDTF">2026-09-01T12:05:00Z</dcterms:created>
  <dcterms:modified xsi:type="dcterms:W3CDTF">2026-09-01T13:28:00Z</dcterms:modified>
</cp:coreProperties>
</file>