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C0FC" w14:textId="77777777" w:rsidR="000814CE" w:rsidRPr="00F25CB7" w:rsidRDefault="000814CE" w:rsidP="000814CE">
      <w:pPr>
        <w:spacing w:after="0" w:line="240" w:lineRule="auto"/>
        <w:jc w:val="right"/>
        <w:rPr>
          <w:rFonts w:ascii="Times New Roman" w:hAnsi="Times New Roman"/>
        </w:rPr>
      </w:pPr>
      <w:r w:rsidRPr="00F25CB7">
        <w:rPr>
          <w:rFonts w:ascii="Times New Roman" w:hAnsi="Times New Roman"/>
        </w:rPr>
        <w:t>Pielikums</w:t>
      </w:r>
    </w:p>
    <w:p w14:paraId="3D05DA3E" w14:textId="77777777" w:rsidR="0053096D" w:rsidRDefault="000814CE" w:rsidP="00E74020">
      <w:pPr>
        <w:spacing w:after="0" w:line="240" w:lineRule="auto"/>
        <w:jc w:val="right"/>
        <w:rPr>
          <w:rFonts w:ascii="Times New Roman" w:hAnsi="Times New Roman"/>
          <w:bCs/>
        </w:rPr>
      </w:pPr>
      <w:r w:rsidRPr="00F25CB7">
        <w:rPr>
          <w:rFonts w:ascii="Times New Roman" w:hAnsi="Times New Roman"/>
          <w:bCs/>
        </w:rPr>
        <w:t xml:space="preserve">informatīvajam ziņojumam </w:t>
      </w:r>
      <w:r w:rsidR="00E74020" w:rsidRPr="00F25CB7">
        <w:rPr>
          <w:rFonts w:ascii="Times New Roman" w:hAnsi="Times New Roman"/>
          <w:bCs/>
        </w:rPr>
        <w:t xml:space="preserve">“Par </w:t>
      </w:r>
      <w:r w:rsidR="0053096D" w:rsidRPr="0053096D">
        <w:rPr>
          <w:rFonts w:ascii="Times New Roman" w:hAnsi="Times New Roman"/>
          <w:bCs/>
        </w:rPr>
        <w:t>Eiropas Savienības Atveseļošanas un noturības mehānisma</w:t>
      </w:r>
    </w:p>
    <w:p w14:paraId="77F1E01B" w14:textId="77777777" w:rsidR="0053096D" w:rsidRDefault="0053096D" w:rsidP="00E74020">
      <w:pPr>
        <w:spacing w:after="0" w:line="240" w:lineRule="auto"/>
        <w:jc w:val="right"/>
        <w:rPr>
          <w:rFonts w:ascii="Times New Roman" w:hAnsi="Times New Roman"/>
          <w:bCs/>
        </w:rPr>
      </w:pPr>
      <w:r w:rsidRPr="0053096D">
        <w:rPr>
          <w:rFonts w:ascii="Times New Roman" w:hAnsi="Times New Roman"/>
          <w:bCs/>
        </w:rPr>
        <w:t xml:space="preserve"> plāna 3.1. reformu un investīciju virziena “Reģionālā politika” reformas 3.1.2.r. “Sociālo un </w:t>
      </w:r>
    </w:p>
    <w:p w14:paraId="26DFAA92" w14:textId="77777777" w:rsidR="0053096D" w:rsidRDefault="0053096D" w:rsidP="00E74020">
      <w:pPr>
        <w:spacing w:after="0" w:line="240" w:lineRule="auto"/>
        <w:jc w:val="right"/>
        <w:rPr>
          <w:rFonts w:ascii="Times New Roman" w:hAnsi="Times New Roman"/>
          <w:bCs/>
        </w:rPr>
      </w:pPr>
      <w:r w:rsidRPr="0053096D">
        <w:rPr>
          <w:rFonts w:ascii="Times New Roman" w:hAnsi="Times New Roman"/>
          <w:bCs/>
        </w:rPr>
        <w:t xml:space="preserve">nodarbinātības pakalpojumu pieejamība minimālo ienākumu reformas atbalstam” 3.1.2.4.i. </w:t>
      </w:r>
    </w:p>
    <w:p w14:paraId="18560EA2" w14:textId="77777777" w:rsidR="0053096D" w:rsidRDefault="0053096D" w:rsidP="00E74020">
      <w:pPr>
        <w:spacing w:after="0" w:line="240" w:lineRule="auto"/>
        <w:jc w:val="right"/>
        <w:rPr>
          <w:rFonts w:ascii="Times New Roman" w:hAnsi="Times New Roman"/>
          <w:bCs/>
        </w:rPr>
      </w:pPr>
      <w:r w:rsidRPr="0053096D">
        <w:rPr>
          <w:rFonts w:ascii="Times New Roman" w:hAnsi="Times New Roman"/>
          <w:bCs/>
        </w:rPr>
        <w:t xml:space="preserve">investīcijas “Sociālās un profesionālās rehabilitācijas pakalpojumu sinerģiska attīstība cilvēku </w:t>
      </w:r>
    </w:p>
    <w:p w14:paraId="24DF271E" w14:textId="387C0DEE" w:rsidR="00086E69" w:rsidRPr="00F25CB7" w:rsidRDefault="0053096D" w:rsidP="00E74020">
      <w:pPr>
        <w:spacing w:after="0" w:line="240" w:lineRule="auto"/>
        <w:jc w:val="right"/>
        <w:rPr>
          <w:rFonts w:ascii="Times New Roman" w:hAnsi="Times New Roman"/>
        </w:rPr>
      </w:pPr>
      <w:r w:rsidRPr="0053096D">
        <w:rPr>
          <w:rFonts w:ascii="Times New Roman" w:hAnsi="Times New Roman"/>
          <w:bCs/>
        </w:rPr>
        <w:t xml:space="preserve">ar funkcionāliem traucējumiem </w:t>
      </w:r>
      <w:proofErr w:type="spellStart"/>
      <w:r w:rsidRPr="0053096D">
        <w:rPr>
          <w:rFonts w:ascii="Times New Roman" w:hAnsi="Times New Roman"/>
          <w:bCs/>
        </w:rPr>
        <w:t>drošumspējas</w:t>
      </w:r>
      <w:proofErr w:type="spellEnd"/>
      <w:r w:rsidRPr="0053096D">
        <w:rPr>
          <w:rFonts w:ascii="Times New Roman" w:hAnsi="Times New Roman"/>
          <w:bCs/>
        </w:rPr>
        <w:t xml:space="preserve"> veicināšanai” īstenošanu un uzraudzību</w:t>
      </w:r>
    </w:p>
    <w:p w14:paraId="0A722E2A" w14:textId="1854FD31" w:rsidR="000814CE" w:rsidRDefault="000814CE" w:rsidP="000814CE">
      <w:pPr>
        <w:spacing w:before="100" w:beforeAutospacing="1" w:after="120" w:line="120" w:lineRule="atLeast"/>
        <w:ind w:firstLine="567"/>
        <w:jc w:val="center"/>
        <w:rPr>
          <w:rFonts w:ascii="Times New Roman" w:hAnsi="Times New Roman"/>
          <w:b/>
          <w:bCs/>
        </w:rPr>
      </w:pPr>
      <w:r w:rsidRPr="00F25CB7">
        <w:rPr>
          <w:rFonts w:ascii="Times New Roman" w:hAnsi="Times New Roman"/>
          <w:b/>
          <w:bCs/>
        </w:rPr>
        <w:t>Atveseļošanas un noturības mehānisma plāna 3.1.2.</w:t>
      </w:r>
      <w:r w:rsidR="00803BB6" w:rsidRPr="00F25CB7">
        <w:rPr>
          <w:rFonts w:ascii="Times New Roman" w:hAnsi="Times New Roman"/>
          <w:b/>
          <w:bCs/>
        </w:rPr>
        <w:t>4</w:t>
      </w:r>
      <w:r w:rsidRPr="00F25CB7">
        <w:rPr>
          <w:rFonts w:ascii="Times New Roman" w:hAnsi="Times New Roman"/>
          <w:b/>
          <w:bCs/>
        </w:rPr>
        <w:t xml:space="preserve">.i. </w:t>
      </w:r>
      <w:r w:rsidRPr="00DE2BCD">
        <w:rPr>
          <w:rFonts w:ascii="Times New Roman" w:hAnsi="Times New Roman"/>
          <w:b/>
          <w:bCs/>
        </w:rPr>
        <w:t xml:space="preserve">investīcijas projekta </w:t>
      </w:r>
      <w:r w:rsidR="00DE2BCD" w:rsidRPr="00DE2BCD">
        <w:rPr>
          <w:rFonts w:ascii="Times New Roman" w:hAnsi="Times New Roman"/>
          <w:b/>
          <w:bCs/>
        </w:rPr>
        <w:t>kopējās indikatīvās izmaksas un aprēķina metodikas apraksts</w:t>
      </w:r>
    </w:p>
    <w:tbl>
      <w:tblPr>
        <w:tblW w:w="1537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01"/>
        <w:gridCol w:w="1268"/>
        <w:gridCol w:w="1549"/>
        <w:gridCol w:w="22"/>
        <w:gridCol w:w="1872"/>
        <w:gridCol w:w="1438"/>
        <w:gridCol w:w="1223"/>
        <w:gridCol w:w="1222"/>
        <w:gridCol w:w="33"/>
        <w:gridCol w:w="1376"/>
        <w:gridCol w:w="1268"/>
        <w:gridCol w:w="1426"/>
        <w:gridCol w:w="20"/>
      </w:tblGrid>
      <w:tr w:rsidR="004A7515" w:rsidRPr="004A7515" w14:paraId="11A640FF" w14:textId="77777777" w:rsidTr="004A7515">
        <w:trPr>
          <w:trHeight w:val="290"/>
          <w:jc w:val="center"/>
        </w:trPr>
        <w:tc>
          <w:tcPr>
            <w:tcW w:w="549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6149" w14:textId="7A977356" w:rsidR="002C19F8" w:rsidRPr="004A7515" w:rsidRDefault="002C19F8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7515">
              <w:rPr>
                <w:rFonts w:ascii="Times New Roman" w:eastAsia="Times New Roman" w:hAnsi="Times New Roman"/>
                <w:b/>
                <w:bCs/>
              </w:rPr>
              <w:t>Projekta īstenošanas personāla izmaksas</w:t>
            </w:r>
          </w:p>
        </w:tc>
        <w:tc>
          <w:tcPr>
            <w:tcW w:w="57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9E65F" w14:textId="3D762DEB" w:rsidR="002C19F8" w:rsidRPr="004A7515" w:rsidRDefault="002C19F8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7515">
              <w:rPr>
                <w:rFonts w:ascii="Times New Roman" w:eastAsia="Times New Roman" w:hAnsi="Times New Roman"/>
                <w:b/>
                <w:bCs/>
              </w:rPr>
              <w:t xml:space="preserve">Projekta īstenošanas izmaksas 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D8F7C7" w14:textId="1F9921D7" w:rsidR="002C19F8" w:rsidRPr="004A7515" w:rsidRDefault="002C19F8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7515">
              <w:rPr>
                <w:rFonts w:ascii="Times New Roman" w:eastAsia="Times New Roman" w:hAnsi="Times New Roman"/>
                <w:b/>
                <w:bCs/>
              </w:rPr>
              <w:t>Projekta izmaksas</w:t>
            </w:r>
          </w:p>
        </w:tc>
      </w:tr>
      <w:tr w:rsidR="004A7515" w:rsidRPr="004A7515" w14:paraId="5383DF92" w14:textId="77777777" w:rsidTr="004A7515">
        <w:trPr>
          <w:gridAfter w:val="1"/>
          <w:wAfter w:w="20" w:type="dxa"/>
          <w:trHeight w:val="1347"/>
          <w:jc w:val="center"/>
        </w:trPr>
        <w:tc>
          <w:tcPr>
            <w:tcW w:w="155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3B5D542" w14:textId="236F2AD2" w:rsidR="00475036" w:rsidRPr="004A7515" w:rsidRDefault="00475036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Amats, amatu saime un līmenis, mēnešalgu grupa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6DA" w14:textId="53FE0941" w:rsidR="00475036" w:rsidRPr="004A7515" w:rsidRDefault="00475036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Noslodze (mēneši)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1638" w14:textId="4A783925" w:rsidR="00475036" w:rsidRPr="004A7515" w:rsidRDefault="00475036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Mēnešalga, </w:t>
            </w:r>
            <w:r w:rsidRPr="004A7515">
              <w:rPr>
                <w:rFonts w:ascii="Times New Roman" w:eastAsia="Times New Roman" w:hAnsi="Times New Roman"/>
                <w:i/>
                <w:iCs/>
              </w:rPr>
              <w:t>euro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580F" w14:textId="77777777" w:rsidR="00475036" w:rsidRPr="004A7515" w:rsidRDefault="00475036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Kopējās personāla attiecināmās izmaksas, ietverot noteiktās valsts sociālās apdrošināšanas obligātās iemaksas, </w:t>
            </w:r>
            <w:r w:rsidRPr="004A7515">
              <w:rPr>
                <w:rFonts w:ascii="Times New Roman" w:eastAsia="Times New Roman" w:hAnsi="Times New Roman"/>
                <w:i/>
                <w:iCs/>
              </w:rPr>
              <w:t>euro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F8A2" w14:textId="46E560D8" w:rsidR="00475036" w:rsidRPr="004A7515" w:rsidRDefault="00475036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Izdevumu pozīcija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601B" w14:textId="77777777" w:rsidR="00475036" w:rsidRPr="004A7515" w:rsidRDefault="00475036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Attiecināmais finansējums, </w:t>
            </w:r>
            <w:r w:rsidRPr="004A7515">
              <w:rPr>
                <w:rFonts w:ascii="Times New Roman" w:eastAsia="Times New Roman" w:hAnsi="Times New Roman"/>
                <w:i/>
                <w:iCs/>
              </w:rPr>
              <w:t>euro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AC07" w14:textId="10848F07" w:rsidR="00475036" w:rsidRPr="004A7515" w:rsidRDefault="00475036" w:rsidP="001A11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valstī noteiktais PVN, </w:t>
            </w:r>
            <w:r w:rsidRPr="004A7515">
              <w:rPr>
                <w:rFonts w:ascii="Times New Roman" w:eastAsia="Times New Roman" w:hAnsi="Times New Roman"/>
                <w:i/>
                <w:iCs/>
              </w:rPr>
              <w:t>euro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2F34" w14:textId="77777777" w:rsidR="00475036" w:rsidRPr="004A7515" w:rsidRDefault="00475036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Kopējās izmaksas, </w:t>
            </w:r>
            <w:r w:rsidRPr="004A7515">
              <w:rPr>
                <w:rFonts w:ascii="Times New Roman" w:eastAsia="Times New Roman" w:hAnsi="Times New Roman"/>
                <w:i/>
                <w:iCs/>
              </w:rPr>
              <w:t>euro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39A" w14:textId="77777777" w:rsidR="00475036" w:rsidRPr="004A7515" w:rsidRDefault="00475036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Kopējās attiecināmās izmaksas, </w:t>
            </w:r>
            <w:r w:rsidRPr="004A7515">
              <w:rPr>
                <w:rFonts w:ascii="Times New Roman" w:eastAsia="Times New Roman" w:hAnsi="Times New Roman"/>
                <w:i/>
                <w:iCs/>
              </w:rPr>
              <w:t>euro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A293" w14:textId="46538AAC" w:rsidR="00475036" w:rsidRPr="004A7515" w:rsidRDefault="00475036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Valsts budžeta finansējums, </w:t>
            </w:r>
            <w:r w:rsidRPr="004A7515">
              <w:rPr>
                <w:rFonts w:ascii="Times New Roman" w:eastAsia="Times New Roman" w:hAnsi="Times New Roman"/>
                <w:i/>
                <w:iCs/>
              </w:rPr>
              <w:t>euro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9CE6" w14:textId="77777777" w:rsidR="00475036" w:rsidRPr="004A7515" w:rsidRDefault="00475036" w:rsidP="00CA4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Kopējās izmaksas, </w:t>
            </w:r>
            <w:r w:rsidRPr="004A7515">
              <w:rPr>
                <w:rFonts w:ascii="Times New Roman" w:eastAsia="Times New Roman" w:hAnsi="Times New Roman"/>
                <w:i/>
                <w:iCs/>
              </w:rPr>
              <w:t>euro</w:t>
            </w:r>
          </w:p>
        </w:tc>
      </w:tr>
      <w:tr w:rsidR="004A7515" w:rsidRPr="004A7515" w14:paraId="58D56CB4" w14:textId="77777777" w:rsidTr="004A7515">
        <w:trPr>
          <w:gridAfter w:val="1"/>
          <w:wAfter w:w="20" w:type="dxa"/>
          <w:trHeight w:val="870"/>
          <w:jc w:val="center"/>
        </w:trPr>
        <w:tc>
          <w:tcPr>
            <w:tcW w:w="15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9273" w14:textId="77777777" w:rsidR="00475036" w:rsidRPr="004A7515" w:rsidRDefault="00475036" w:rsidP="00F252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D0D7" w14:textId="01C32C3B" w:rsidR="00475036" w:rsidRPr="004A7515" w:rsidRDefault="00475036" w:rsidP="00F252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71B0" w14:textId="77777777" w:rsidR="00475036" w:rsidRPr="004A7515" w:rsidRDefault="00475036" w:rsidP="00F252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65E0" w14:textId="77777777" w:rsidR="00475036" w:rsidRPr="004A7515" w:rsidRDefault="00475036" w:rsidP="00F252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C71" w14:textId="63C6B92A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infrastruktūras pielāgošanas/renovēšanas darbu izmaksas (divas ēkas)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727C" w14:textId="46296783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4 440 750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ED91" w14:textId="63CCEB35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932 558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AA85" w14:textId="3B331B26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5 373 308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7CD" w14:textId="6FE3C817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4A7515">
              <w:rPr>
                <w:rFonts w:ascii="Times New Roman" w:eastAsia="Times New Roman" w:hAnsi="Times New Roman"/>
                <w:i/>
                <w:iCs/>
              </w:rPr>
              <w:t>ietverot attiecināmās projekta īstenošanas personāla izmaksas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1E4" w14:textId="12F4ECA5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4A7515">
              <w:rPr>
                <w:rFonts w:ascii="Times New Roman" w:eastAsia="Times New Roman" w:hAnsi="Times New Roman"/>
                <w:i/>
                <w:iCs/>
              </w:rPr>
              <w:t xml:space="preserve">PVN izmaksas 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3712" w14:textId="1D64D425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4A7515">
              <w:rPr>
                <w:rFonts w:ascii="Times New Roman" w:eastAsia="Times New Roman" w:hAnsi="Times New Roman"/>
                <w:i/>
                <w:iCs/>
              </w:rPr>
              <w:t>kopā attiecināmās</w:t>
            </w:r>
            <w:r w:rsidR="00E36617" w:rsidRPr="004A7515">
              <w:rPr>
                <w:rFonts w:ascii="Times New Roman" w:eastAsia="Times New Roman" w:hAnsi="Times New Roman"/>
                <w:i/>
                <w:iCs/>
              </w:rPr>
              <w:t xml:space="preserve"> izmaksas</w:t>
            </w:r>
            <w:r w:rsidRPr="004A7515">
              <w:rPr>
                <w:rFonts w:ascii="Times New Roman" w:eastAsia="Times New Roman" w:hAnsi="Times New Roman"/>
                <w:i/>
                <w:iCs/>
              </w:rPr>
              <w:t xml:space="preserve"> un valsts budžeta finansējums</w:t>
            </w:r>
          </w:p>
        </w:tc>
      </w:tr>
      <w:tr w:rsidR="004A7515" w:rsidRPr="004A7515" w14:paraId="5EEA8BBC" w14:textId="77777777" w:rsidTr="004A7515">
        <w:trPr>
          <w:gridAfter w:val="1"/>
          <w:wAfter w:w="20" w:type="dxa"/>
          <w:trHeight w:val="87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A26D" w14:textId="6E12359C" w:rsidR="004B5B82" w:rsidRDefault="00C75735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Projekta g</w:t>
            </w:r>
            <w:r w:rsidR="00475036" w:rsidRPr="004A7515">
              <w:rPr>
                <w:rFonts w:ascii="Times New Roman" w:eastAsia="Times New Roman" w:hAnsi="Times New Roman"/>
              </w:rPr>
              <w:t xml:space="preserve">alvenais metodiķis, </w:t>
            </w:r>
          </w:p>
          <w:p w14:paraId="4FAF48FB" w14:textId="00AC751D" w:rsidR="00475036" w:rsidRPr="004A7515" w:rsidRDefault="00C75735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39.1. III</w:t>
            </w:r>
            <w:r w:rsidR="00475036" w:rsidRPr="004A7515">
              <w:rPr>
                <w:rFonts w:ascii="Times New Roman" w:eastAsia="Times New Roman" w:hAnsi="Times New Roman"/>
              </w:rPr>
              <w:t>, 10.</w:t>
            </w:r>
            <w:r w:rsidR="00E604A4">
              <w:rPr>
                <w:rFonts w:ascii="Times New Roman" w:eastAsia="Times New Roman" w:hAnsi="Times New Roman"/>
              </w:rPr>
              <w:t> </w:t>
            </w:r>
            <w:r w:rsidR="00475036" w:rsidRPr="004A7515">
              <w:rPr>
                <w:rFonts w:ascii="Times New Roman" w:eastAsia="Times New Roman" w:hAnsi="Times New Roman"/>
              </w:rPr>
              <w:t>mēnešalgu grupa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1FA" w14:textId="73F31666" w:rsidR="00475036" w:rsidRPr="004A7515" w:rsidRDefault="00475036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 (40 m.)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AC30" w14:textId="2CC1788D" w:rsidR="00475036" w:rsidRPr="004A7515" w:rsidRDefault="00475036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1 287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9DC0" w14:textId="153A83A1" w:rsidR="00475036" w:rsidRPr="004A7515" w:rsidRDefault="00475036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69 987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D9AA" w14:textId="7AD903B0" w:rsidR="00475036" w:rsidRPr="004A7515" w:rsidRDefault="00475036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tehnoloģiju un materiāltehniskā aprīkojuma iegādes izmaksas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45F9" w14:textId="3A4BFCE5" w:rsidR="00475036" w:rsidRPr="004A7515" w:rsidRDefault="00475036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608 275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1490" w14:textId="5F167644" w:rsidR="00475036" w:rsidRPr="004A7515" w:rsidRDefault="00475036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127 738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8725" w14:textId="27329D5B" w:rsidR="00475036" w:rsidRPr="004A7515" w:rsidRDefault="00475036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736 013</w:t>
            </w:r>
          </w:p>
        </w:tc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F5E13" w14:textId="77777777" w:rsidR="00475036" w:rsidRPr="004A7515" w:rsidRDefault="00475036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8CB41" w14:textId="77777777" w:rsidR="00475036" w:rsidRPr="004A7515" w:rsidRDefault="00475036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CA59FA" w14:textId="77777777" w:rsidR="00475036" w:rsidRPr="004A7515" w:rsidRDefault="00475036" w:rsidP="001B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4A7515" w:rsidRPr="004A7515" w14:paraId="755632B9" w14:textId="77777777" w:rsidTr="004B5B82">
        <w:trPr>
          <w:gridAfter w:val="1"/>
          <w:wAfter w:w="20" w:type="dxa"/>
          <w:trHeight w:val="29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62FB" w14:textId="73157A20" w:rsidR="004B5B82" w:rsidRDefault="00C75735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Projekta </w:t>
            </w:r>
            <w:r w:rsidR="00475036" w:rsidRPr="004A7515">
              <w:rPr>
                <w:rFonts w:ascii="Times New Roman" w:eastAsia="Times New Roman" w:hAnsi="Times New Roman"/>
              </w:rPr>
              <w:t xml:space="preserve">metodiķis, </w:t>
            </w:r>
          </w:p>
          <w:p w14:paraId="2AA67CEC" w14:textId="0BD80DA6" w:rsidR="00475036" w:rsidRPr="004A7515" w:rsidRDefault="00C75735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39.1. IIB</w:t>
            </w:r>
            <w:r w:rsidR="00475036" w:rsidRPr="004A7515">
              <w:rPr>
                <w:rFonts w:ascii="Times New Roman" w:eastAsia="Times New Roman" w:hAnsi="Times New Roman"/>
              </w:rPr>
              <w:t>, 9.</w:t>
            </w:r>
            <w:r w:rsidR="00E604A4">
              <w:rPr>
                <w:rFonts w:ascii="Times New Roman" w:eastAsia="Times New Roman" w:hAnsi="Times New Roman"/>
              </w:rPr>
              <w:t> </w:t>
            </w:r>
            <w:r w:rsidR="00475036" w:rsidRPr="004A7515">
              <w:rPr>
                <w:rFonts w:ascii="Times New Roman" w:eastAsia="Times New Roman" w:hAnsi="Times New Roman"/>
              </w:rPr>
              <w:t>mēnešalgu grupa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13F4" w14:textId="128F9DD4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 (40 m.)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33F5" w14:textId="00D87921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1 190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204F" w14:textId="0BAB9EF7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64 712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5C88" w14:textId="636BA861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mobilās darba stacijas izveides izmaksas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7B30" w14:textId="11DFB325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308 841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B99A" w14:textId="64DD2260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64 857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28A1" w14:textId="5294864C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373 698</w:t>
            </w:r>
          </w:p>
        </w:tc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4809A" w14:textId="77777777" w:rsidR="00475036" w:rsidRPr="004A7515" w:rsidRDefault="00475036" w:rsidP="00F252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68529" w14:textId="77777777" w:rsidR="00475036" w:rsidRPr="004A7515" w:rsidRDefault="00475036" w:rsidP="00F252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4F6157" w14:textId="77777777" w:rsidR="00475036" w:rsidRPr="004A7515" w:rsidRDefault="00475036" w:rsidP="00F252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4A7515" w:rsidRPr="004A7515" w14:paraId="476EE0DE" w14:textId="77777777" w:rsidTr="004B5B82">
        <w:trPr>
          <w:gridAfter w:val="1"/>
          <w:wAfter w:w="20" w:type="dxa"/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E4DB" w14:textId="7A905552" w:rsidR="004B5B82" w:rsidRDefault="00C75735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Projekta m</w:t>
            </w:r>
            <w:r w:rsidR="00475036" w:rsidRPr="004A7515">
              <w:rPr>
                <w:rFonts w:ascii="Times New Roman" w:eastAsia="Times New Roman" w:hAnsi="Times New Roman"/>
              </w:rPr>
              <w:t xml:space="preserve">ācību procesa organizators, </w:t>
            </w:r>
          </w:p>
          <w:p w14:paraId="0C65037A" w14:textId="17CEB2A0" w:rsidR="00475036" w:rsidRPr="004A7515" w:rsidRDefault="00C75735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33. III</w:t>
            </w:r>
            <w:r w:rsidR="00475036" w:rsidRPr="004A7515">
              <w:rPr>
                <w:rFonts w:ascii="Times New Roman" w:eastAsia="Times New Roman" w:hAnsi="Times New Roman"/>
              </w:rPr>
              <w:t>, 9.</w:t>
            </w:r>
            <w:r w:rsidR="00E604A4">
              <w:rPr>
                <w:rFonts w:ascii="Times New Roman" w:eastAsia="Times New Roman" w:hAnsi="Times New Roman"/>
              </w:rPr>
              <w:t> </w:t>
            </w:r>
            <w:r w:rsidR="00475036" w:rsidRPr="004A7515">
              <w:rPr>
                <w:rFonts w:ascii="Times New Roman" w:eastAsia="Times New Roman" w:hAnsi="Times New Roman"/>
              </w:rPr>
              <w:t>mēnešalgu grupa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57EF" w14:textId="77777777" w:rsidR="00475036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lastRenderedPageBreak/>
              <w:t>1 (34 m.)</w:t>
            </w:r>
          </w:p>
          <w:p w14:paraId="183A6CE0" w14:textId="77777777" w:rsidR="001950A4" w:rsidRDefault="001950A4" w:rsidP="001950A4">
            <w:pPr>
              <w:rPr>
                <w:rFonts w:ascii="Times New Roman" w:eastAsia="Times New Roman" w:hAnsi="Times New Roman"/>
              </w:rPr>
            </w:pPr>
          </w:p>
          <w:p w14:paraId="06E4E79C" w14:textId="330D170F" w:rsidR="001950A4" w:rsidRPr="001950A4" w:rsidRDefault="001950A4" w:rsidP="001950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DA7" w14:textId="64DD6B28" w:rsidR="00475036" w:rsidRPr="004A7515" w:rsidRDefault="00475036" w:rsidP="00D062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1 190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A911" w14:textId="00266E7F" w:rsidR="00475036" w:rsidRPr="004A7515" w:rsidRDefault="00475036" w:rsidP="00CF52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55 005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A9E5" w14:textId="561BF4AC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metodikas personām, kas nodrošina atbalstu personām ar funkcionēšanas traucējumiem, un </w:t>
            </w:r>
            <w:r w:rsidRPr="004A7515">
              <w:rPr>
                <w:rFonts w:ascii="Times New Roman" w:eastAsia="Times New Roman" w:hAnsi="Times New Roman"/>
              </w:rPr>
              <w:lastRenderedPageBreak/>
              <w:t>kompetenču apmācību programmas izstrādes izmaksas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A349" w14:textId="0981C4AB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hAnsi="Times New Roman"/>
              </w:rPr>
              <w:lastRenderedPageBreak/>
              <w:t>69 568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1357" w14:textId="750C9216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14 609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90E" w14:textId="5ECD522E" w:rsidR="00475036" w:rsidRPr="004A7515" w:rsidRDefault="00475036" w:rsidP="00F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84 177</w:t>
            </w:r>
          </w:p>
        </w:tc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6D004" w14:textId="77777777" w:rsidR="00475036" w:rsidRPr="004A7515" w:rsidRDefault="00475036" w:rsidP="00F252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712CD" w14:textId="77777777" w:rsidR="00475036" w:rsidRPr="004A7515" w:rsidRDefault="00475036" w:rsidP="00F252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292B4B" w14:textId="77777777" w:rsidR="00475036" w:rsidRPr="004A7515" w:rsidRDefault="00475036" w:rsidP="00F252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4A7515" w:rsidRPr="004A7515" w14:paraId="62CA253F" w14:textId="77777777" w:rsidTr="004A7515">
        <w:trPr>
          <w:gridAfter w:val="1"/>
          <w:wAfter w:w="20" w:type="dxa"/>
          <w:trHeight w:val="29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80F7" w14:textId="7ACA7016" w:rsidR="00475036" w:rsidRPr="004A7515" w:rsidRDefault="00C75735" w:rsidP="004750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Projekta </w:t>
            </w:r>
            <w:r w:rsidR="00475036" w:rsidRPr="004A7515">
              <w:rPr>
                <w:rFonts w:ascii="Times New Roman" w:eastAsia="Times New Roman" w:hAnsi="Times New Roman"/>
              </w:rPr>
              <w:t>mentors,</w:t>
            </w:r>
          </w:p>
          <w:p w14:paraId="1ACA670F" w14:textId="48364C1F" w:rsidR="00475036" w:rsidRPr="004A7515" w:rsidRDefault="00475036" w:rsidP="004B5B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 </w:t>
            </w:r>
            <w:r w:rsidR="00C75735">
              <w:rPr>
                <w:rFonts w:ascii="Times New Roman" w:eastAsia="Times New Roman" w:hAnsi="Times New Roman"/>
              </w:rPr>
              <w:t>33. II</w:t>
            </w:r>
            <w:r w:rsidRPr="004A7515">
              <w:rPr>
                <w:rFonts w:ascii="Times New Roman" w:eastAsia="Times New Roman" w:hAnsi="Times New Roman"/>
              </w:rPr>
              <w:t xml:space="preserve">, </w:t>
            </w:r>
            <w:r w:rsidR="006B35CC">
              <w:rPr>
                <w:rFonts w:ascii="Times New Roman" w:eastAsia="Times New Roman" w:hAnsi="Times New Roman"/>
              </w:rPr>
              <w:t>7</w:t>
            </w:r>
            <w:r w:rsidRPr="004A7515">
              <w:rPr>
                <w:rFonts w:ascii="Times New Roman" w:eastAsia="Times New Roman" w:hAnsi="Times New Roman"/>
              </w:rPr>
              <w:t>.</w:t>
            </w:r>
            <w:r w:rsidR="00E604A4">
              <w:rPr>
                <w:rFonts w:ascii="Times New Roman" w:eastAsia="Times New Roman" w:hAnsi="Times New Roman"/>
              </w:rPr>
              <w:t> </w:t>
            </w:r>
            <w:r w:rsidRPr="004A7515">
              <w:rPr>
                <w:rFonts w:ascii="Times New Roman" w:eastAsia="Times New Roman" w:hAnsi="Times New Roman"/>
              </w:rPr>
              <w:t>mēnešalgu grupa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A7B2" w14:textId="1A4316B2" w:rsidR="00475036" w:rsidRPr="004A7515" w:rsidRDefault="00475036" w:rsidP="00E516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 (28 m.)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2464" w14:textId="13B9E7ED" w:rsidR="00475036" w:rsidRPr="004A7515" w:rsidRDefault="00475036" w:rsidP="00E516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1 093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EA2B" w14:textId="3C688F1D" w:rsidR="00475036" w:rsidRPr="004A7515" w:rsidRDefault="00475036" w:rsidP="00E516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41 605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454A" w14:textId="35F2E24F" w:rsidR="00475036" w:rsidRPr="004A7515" w:rsidRDefault="00475036" w:rsidP="00E516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kompetenču attīstības programmas aprobācijas izmaksas (izmēģinājuma projekts)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27A4" w14:textId="0F24DF16" w:rsidR="00475036" w:rsidRPr="004A7515" w:rsidRDefault="00475036" w:rsidP="00E516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50 000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6671" w14:textId="603391D4" w:rsidR="00475036" w:rsidRPr="004A7515" w:rsidRDefault="00475036" w:rsidP="00E516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10 500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C8CD" w14:textId="029AB035" w:rsidR="00475036" w:rsidRPr="004A7515" w:rsidRDefault="00475036" w:rsidP="00E516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60 500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9E52D0" w14:textId="3ED23980" w:rsidR="00475036" w:rsidRPr="004A7515" w:rsidRDefault="00475036" w:rsidP="00E5163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BD699" w14:textId="1CD552B2" w:rsidR="00475036" w:rsidRPr="004A7515" w:rsidRDefault="00475036" w:rsidP="00E5163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14:paraId="2DC467AD" w14:textId="4C3B5FC1" w:rsidR="00475036" w:rsidRPr="004A7515" w:rsidRDefault="00475036" w:rsidP="00E516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7515" w:rsidRPr="004A7515" w14:paraId="275C08E4" w14:textId="77777777" w:rsidTr="004A7515">
        <w:trPr>
          <w:gridAfter w:val="1"/>
          <w:wAfter w:w="20" w:type="dxa"/>
          <w:trHeight w:val="29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4092" w14:textId="66132224" w:rsidR="004B5B82" w:rsidRDefault="00C75735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Projekta k</w:t>
            </w:r>
            <w:r w:rsidR="00475036" w:rsidRPr="004A7515">
              <w:rPr>
                <w:rFonts w:ascii="Times New Roman" w:eastAsia="Times New Roman" w:hAnsi="Times New Roman"/>
              </w:rPr>
              <w:t xml:space="preserve">omunikācijas speciālists, </w:t>
            </w:r>
          </w:p>
          <w:p w14:paraId="79D04420" w14:textId="7523F99B" w:rsidR="00475036" w:rsidRPr="004A7515" w:rsidRDefault="00C75735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 II</w:t>
            </w:r>
            <w:r w:rsidR="00475036" w:rsidRPr="004A7515">
              <w:rPr>
                <w:rFonts w:ascii="Times New Roman" w:eastAsia="Times New Roman" w:hAnsi="Times New Roman"/>
              </w:rPr>
              <w:t xml:space="preserve">, </w:t>
            </w:r>
            <w:r w:rsidR="00443CCD">
              <w:rPr>
                <w:rFonts w:ascii="Times New Roman" w:eastAsia="Times New Roman" w:hAnsi="Times New Roman"/>
              </w:rPr>
              <w:t>9</w:t>
            </w:r>
            <w:r w:rsidR="00475036" w:rsidRPr="004A7515">
              <w:rPr>
                <w:rFonts w:ascii="Times New Roman" w:eastAsia="Times New Roman" w:hAnsi="Times New Roman"/>
              </w:rPr>
              <w:t>.</w:t>
            </w:r>
            <w:r w:rsidR="00E604A4">
              <w:rPr>
                <w:lang w:val="en-US"/>
              </w:rPr>
              <w:t> </w:t>
            </w:r>
            <w:r w:rsidR="00475036" w:rsidRPr="004A7515">
              <w:rPr>
                <w:rFonts w:ascii="Times New Roman" w:eastAsia="Times New Roman" w:hAnsi="Times New Roman"/>
              </w:rPr>
              <w:t>mēnešalgu grupa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9462" w14:textId="61E06D5C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 (34 m.)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456C" w14:textId="12470D1A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1 287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2790" w14:textId="4ACE4F73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59 489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854B" w14:textId="09864BAC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sociālās un profesionālās rehabilitācijas pakalpojuma izstrādes un aprobācijas izmaksas (izmēģinājuma projekts)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811D" w14:textId="70D96F88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110 806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FA8B" w14:textId="6098A9BE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F8B80" w14:textId="5BB4C93F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110 806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781A5" w14:textId="2EBFD910" w:rsidR="00475036" w:rsidRPr="004A7515" w:rsidRDefault="00475036" w:rsidP="00021C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5701B" w14:textId="234E91B0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4EA9B7E" w14:textId="37E80177" w:rsidR="00475036" w:rsidRPr="004A7515" w:rsidRDefault="00475036" w:rsidP="00021C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A7515" w:rsidRPr="004A7515" w14:paraId="56845C4A" w14:textId="77777777" w:rsidTr="004A7515">
        <w:trPr>
          <w:gridAfter w:val="1"/>
          <w:wAfter w:w="20" w:type="dxa"/>
          <w:trHeight w:val="29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0981" w14:textId="002BB549" w:rsidR="004B5B82" w:rsidRDefault="00C75735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Projekta t</w:t>
            </w:r>
            <w:r w:rsidR="00475036" w:rsidRPr="004A7515">
              <w:rPr>
                <w:rFonts w:ascii="Times New Roman" w:eastAsia="Times New Roman" w:hAnsi="Times New Roman"/>
              </w:rPr>
              <w:t xml:space="preserve">ehniskais eksperts, </w:t>
            </w:r>
          </w:p>
          <w:p w14:paraId="20E7B41F" w14:textId="43132F28" w:rsidR="00E604A4" w:rsidRDefault="00C75735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39.1. IVB</w:t>
            </w:r>
            <w:r w:rsidR="00475036" w:rsidRPr="004A751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11</w:t>
            </w:r>
            <w:r w:rsidR="00475036" w:rsidRPr="004A7515">
              <w:rPr>
                <w:rFonts w:ascii="Times New Roman" w:eastAsia="Times New Roman" w:hAnsi="Times New Roman"/>
              </w:rPr>
              <w:t>.</w:t>
            </w:r>
            <w:r w:rsidR="00E604A4">
              <w:t> </w:t>
            </w:r>
          </w:p>
          <w:p w14:paraId="36AFC313" w14:textId="5204FC3A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mēnešalgu grupa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5D24" w14:textId="45D27A6F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 (28 m.)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1DA5" w14:textId="4DA1CE48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1 917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2E8A" w14:textId="684E74C7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72 972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37AD" w14:textId="77777777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D5FE" w14:textId="24E2DE85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7515">
              <w:rPr>
                <w:rFonts w:ascii="Times New Roman" w:eastAsia="Times New Roman" w:hAnsi="Times New Roman"/>
                <w:b/>
                <w:bCs/>
              </w:rPr>
              <w:t>5 588 240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4B90" w14:textId="2E7F6132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7515">
              <w:rPr>
                <w:rFonts w:ascii="Times New Roman" w:eastAsia="Times New Roman" w:hAnsi="Times New Roman"/>
                <w:b/>
                <w:bCs/>
              </w:rPr>
              <w:t>1 150 262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DA86F" w14:textId="67C07C93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7515">
              <w:rPr>
                <w:rFonts w:ascii="Times New Roman" w:eastAsia="Times New Roman" w:hAnsi="Times New Roman"/>
                <w:b/>
                <w:bCs/>
              </w:rPr>
              <w:t>6 738 502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36AFE" w14:textId="6F656507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7515">
              <w:rPr>
                <w:rFonts w:ascii="Times New Roman" w:eastAsia="Times New Roman" w:hAnsi="Times New Roman"/>
                <w:b/>
                <w:bCs/>
              </w:rPr>
              <w:t>6 000 000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C3C62" w14:textId="79FDCA84" w:rsidR="00475036" w:rsidRPr="004A7515" w:rsidRDefault="00475036" w:rsidP="00021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7515">
              <w:rPr>
                <w:rFonts w:ascii="Times New Roman" w:eastAsia="Times New Roman" w:hAnsi="Times New Roman"/>
                <w:b/>
                <w:bCs/>
              </w:rPr>
              <w:t>1 150 262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1E55897" w14:textId="3CAAFA64" w:rsidR="00475036" w:rsidRPr="004A7515" w:rsidRDefault="00475036" w:rsidP="00021C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4A7515">
              <w:rPr>
                <w:rFonts w:ascii="Times New Roman" w:eastAsia="Times New Roman" w:hAnsi="Times New Roman"/>
                <w:b/>
                <w:bCs/>
              </w:rPr>
              <w:t>7 150 262</w:t>
            </w:r>
          </w:p>
        </w:tc>
      </w:tr>
      <w:tr w:rsidR="004A7515" w:rsidRPr="004A7515" w14:paraId="2F11878A" w14:textId="77777777" w:rsidTr="004A7515">
        <w:trPr>
          <w:gridAfter w:val="1"/>
          <w:wAfter w:w="20" w:type="dxa"/>
          <w:trHeight w:val="29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A3D7" w14:textId="77777777" w:rsidR="004B5B82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Vecākais iepirkumu speciālists, </w:t>
            </w:r>
          </w:p>
          <w:p w14:paraId="73B33608" w14:textId="21878A15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2 </w:t>
            </w:r>
            <w:r w:rsidR="00C75735">
              <w:rPr>
                <w:rFonts w:ascii="Times New Roman" w:eastAsia="Times New Roman" w:hAnsi="Times New Roman"/>
              </w:rPr>
              <w:t>IV</w:t>
            </w:r>
            <w:r w:rsidRPr="004A7515">
              <w:rPr>
                <w:rFonts w:ascii="Times New Roman" w:eastAsia="Times New Roman" w:hAnsi="Times New Roman"/>
              </w:rPr>
              <w:t>, 9.</w:t>
            </w:r>
            <w:r w:rsidR="00E604A4">
              <w:rPr>
                <w:rFonts w:ascii="Times New Roman" w:eastAsia="Times New Roman" w:hAnsi="Times New Roman"/>
              </w:rPr>
              <w:t> </w:t>
            </w:r>
            <w:r w:rsidRPr="004A7515">
              <w:rPr>
                <w:rFonts w:ascii="Times New Roman" w:eastAsia="Times New Roman" w:hAnsi="Times New Roman"/>
              </w:rPr>
              <w:t>mēnešalgu grupa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572D" w14:textId="0FDB8613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 (27 m.)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1A3D" w14:textId="5572D7FF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1 190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552E" w14:textId="24A3326F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>43 680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6FF9" w14:textId="3CE3B5E3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6804" w14:textId="77777777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4303" w14:textId="77777777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A90C0" w14:textId="77777777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43D" w14:textId="77777777" w:rsidR="00475036" w:rsidRPr="004A7515" w:rsidRDefault="00475036" w:rsidP="007B109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14BC" w14:textId="65273465" w:rsidR="00475036" w:rsidRPr="004A7515" w:rsidRDefault="00475036" w:rsidP="007B109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3E2B58" w14:textId="77777777" w:rsidR="00475036" w:rsidRPr="004A7515" w:rsidRDefault="00475036" w:rsidP="007B109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4A7515" w:rsidRPr="004A7515" w14:paraId="2BD62BFC" w14:textId="77777777" w:rsidTr="004A7515">
        <w:trPr>
          <w:gridAfter w:val="1"/>
          <w:wAfter w:w="20" w:type="dxa"/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25F" w14:textId="77777777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6DE8" w14:textId="77777777" w:rsidR="00475036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125D835" w14:textId="67C8FA47" w:rsidR="001950A4" w:rsidRPr="001950A4" w:rsidRDefault="001950A4" w:rsidP="001950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414B" w14:textId="2B2C72CF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t xml:space="preserve">Veselības apdrošināšanas polises un redzes korekcijas </w:t>
            </w:r>
            <w:r w:rsidRPr="004A7515">
              <w:rPr>
                <w:rFonts w:ascii="Times New Roman" w:eastAsia="Times New Roman" w:hAnsi="Times New Roman"/>
              </w:rPr>
              <w:lastRenderedPageBreak/>
              <w:t>līdzekļu kompensācijas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C47F" w14:textId="604C4CD0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</w:rPr>
              <w:lastRenderedPageBreak/>
              <w:t>4 310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0557" w14:textId="77777777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C634" w14:textId="77777777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8C70" w14:textId="77777777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6C78" w14:textId="77777777" w:rsidR="00475036" w:rsidRPr="004A7515" w:rsidRDefault="00475036" w:rsidP="007B1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711E2" w14:textId="77777777" w:rsidR="00475036" w:rsidRPr="004A7515" w:rsidRDefault="00475036" w:rsidP="007B109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5E038" w14:textId="77777777" w:rsidR="00475036" w:rsidRPr="004A7515" w:rsidRDefault="00475036" w:rsidP="007B109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BD7AB5F" w14:textId="77777777" w:rsidR="00475036" w:rsidRPr="004A7515" w:rsidRDefault="00475036" w:rsidP="007B109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4A7515" w:rsidRPr="004A7515" w14:paraId="48E9746D" w14:textId="77777777" w:rsidTr="004A7515">
        <w:trPr>
          <w:gridAfter w:val="1"/>
          <w:wAfter w:w="20" w:type="dxa"/>
          <w:trHeight w:val="29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5333A3" w14:textId="77777777" w:rsidR="00475036" w:rsidRPr="004A7515" w:rsidRDefault="00475036" w:rsidP="00A87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F4A8" w14:textId="08F1FBBD" w:rsidR="00475036" w:rsidRPr="004A7515" w:rsidRDefault="00475036" w:rsidP="00A87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B6C8" w14:textId="189BD2B2" w:rsidR="00475036" w:rsidRPr="004A7515" w:rsidRDefault="00475036" w:rsidP="00A87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0A20" w14:textId="6A2BA67F" w:rsidR="00475036" w:rsidRPr="004A7515" w:rsidRDefault="00475036" w:rsidP="00A87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7515">
              <w:rPr>
                <w:rFonts w:ascii="Times New Roman" w:eastAsia="Times New Roman" w:hAnsi="Times New Roman"/>
                <w:b/>
                <w:bCs/>
              </w:rPr>
              <w:t>411 760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1D95" w14:textId="77777777" w:rsidR="00475036" w:rsidRPr="004A7515" w:rsidRDefault="00475036" w:rsidP="00A87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9A32" w14:textId="14E4C0E0" w:rsidR="00475036" w:rsidRPr="004A7515" w:rsidRDefault="00475036" w:rsidP="00A8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E4B6E" w14:textId="32056AF3" w:rsidR="00475036" w:rsidRPr="004A7515" w:rsidRDefault="00475036" w:rsidP="00A8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107793" w14:textId="0A27C035" w:rsidR="00475036" w:rsidRPr="004A7515" w:rsidRDefault="00475036" w:rsidP="00A8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5AC84095" w14:textId="0BCE733E" w:rsidR="00475036" w:rsidRPr="004A7515" w:rsidRDefault="00475036" w:rsidP="00A879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yellow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274F0" w14:textId="7A9045B0" w:rsidR="00475036" w:rsidRPr="004A7515" w:rsidRDefault="00475036" w:rsidP="00A879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F2CE8BE" w14:textId="26ED5987" w:rsidR="00475036" w:rsidRPr="004A7515" w:rsidRDefault="00475036" w:rsidP="00A879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yellow"/>
              </w:rPr>
            </w:pPr>
          </w:p>
        </w:tc>
      </w:tr>
    </w:tbl>
    <w:p w14:paraId="22EDC19D" w14:textId="67F9C8E5" w:rsidR="00F25241" w:rsidRPr="00F25CB7" w:rsidRDefault="00F25241" w:rsidP="00F252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6797E5" w14:textId="7A05FE82" w:rsidR="00CB3985" w:rsidRPr="00F25CB7" w:rsidRDefault="00CB3985" w:rsidP="006A2765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25CB7">
        <w:rPr>
          <w:rFonts w:ascii="Times New Roman" w:hAnsi="Times New Roman"/>
          <w:sz w:val="24"/>
          <w:szCs w:val="24"/>
        </w:rPr>
        <w:t>Piezīmes:</w:t>
      </w:r>
    </w:p>
    <w:p w14:paraId="7E8D326D" w14:textId="3CC43D84" w:rsidR="00D40962" w:rsidRPr="00F25CB7" w:rsidRDefault="0040779E" w:rsidP="000F4524">
      <w:pPr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5CB7">
        <w:rPr>
          <w:rFonts w:ascii="Times New Roman" w:hAnsi="Times New Roman"/>
          <w:sz w:val="24"/>
          <w:szCs w:val="24"/>
        </w:rPr>
        <w:t xml:space="preserve">Pievienotās vērtības nodokļa </w:t>
      </w:r>
      <w:r w:rsidR="00D40962" w:rsidRPr="00F25CB7">
        <w:rPr>
          <w:rFonts w:ascii="Times New Roman" w:hAnsi="Times New Roman"/>
          <w:sz w:val="24"/>
          <w:szCs w:val="24"/>
        </w:rPr>
        <w:t xml:space="preserve">izmaksas un investīcijas kopējās izmaksas var mainīties atbilstoši </w:t>
      </w:r>
      <w:r w:rsidR="00DD1A2F" w:rsidRPr="00F25CB7">
        <w:rPr>
          <w:rFonts w:ascii="Times New Roman" w:hAnsi="Times New Roman"/>
          <w:sz w:val="24"/>
          <w:szCs w:val="24"/>
        </w:rPr>
        <w:t>izmaiņām</w:t>
      </w:r>
      <w:r w:rsidR="00D40962" w:rsidRPr="00F25CB7">
        <w:rPr>
          <w:rFonts w:ascii="Times New Roman" w:hAnsi="Times New Roman"/>
          <w:sz w:val="24"/>
          <w:szCs w:val="24"/>
        </w:rPr>
        <w:t xml:space="preserve"> </w:t>
      </w:r>
      <w:r w:rsidR="00E04BD5" w:rsidRPr="00F25CB7">
        <w:rPr>
          <w:rFonts w:ascii="Times New Roman" w:hAnsi="Times New Roman"/>
          <w:sz w:val="24"/>
          <w:szCs w:val="24"/>
        </w:rPr>
        <w:t>tiesību aktos, kas reglamentē minēto nodokli</w:t>
      </w:r>
      <w:r w:rsidR="00D40962" w:rsidRPr="00F25CB7">
        <w:rPr>
          <w:rFonts w:ascii="Times New Roman" w:hAnsi="Times New Roman"/>
          <w:sz w:val="24"/>
          <w:szCs w:val="24"/>
        </w:rPr>
        <w:t>.</w:t>
      </w:r>
    </w:p>
    <w:p w14:paraId="7EAFA466" w14:textId="77777777" w:rsidR="00F00102" w:rsidRPr="00F25CB7" w:rsidRDefault="00D40962" w:rsidP="000F4524">
      <w:pPr>
        <w:pStyle w:val="ListParagraph"/>
        <w:numPr>
          <w:ilvl w:val="0"/>
          <w:numId w:val="2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5CB7">
        <w:rPr>
          <w:rFonts w:ascii="Times New Roman" w:hAnsi="Times New Roman"/>
          <w:sz w:val="24"/>
          <w:szCs w:val="24"/>
        </w:rPr>
        <w:t>Izmaksu aprēķins ir indikatīvs un var mainīties pa izdevumu pozīcijām.</w:t>
      </w:r>
    </w:p>
    <w:p w14:paraId="6D986908" w14:textId="6AFA59B4" w:rsidR="00E0108D" w:rsidRPr="00F25CB7" w:rsidRDefault="00387524" w:rsidP="000F4524">
      <w:pPr>
        <w:pStyle w:val="ListParagraph"/>
        <w:numPr>
          <w:ilvl w:val="0"/>
          <w:numId w:val="2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Investīcijas </w:t>
      </w:r>
      <w:r w:rsidR="00202520" w:rsidRPr="00F25CB7">
        <w:rPr>
          <w:rFonts w:ascii="Times New Roman" w:hAnsi="Times New Roman"/>
          <w:sz w:val="24"/>
          <w:szCs w:val="24"/>
          <w:u w:val="single"/>
        </w:rPr>
        <w:t>attiecināmās</w:t>
      </w:r>
      <w:r w:rsidR="00D40962" w:rsidRPr="00F25CB7">
        <w:rPr>
          <w:rFonts w:ascii="Times New Roman" w:hAnsi="Times New Roman"/>
          <w:sz w:val="24"/>
          <w:szCs w:val="24"/>
          <w:u w:val="single"/>
        </w:rPr>
        <w:t xml:space="preserve"> izmaksas</w:t>
      </w:r>
      <w:r w:rsidR="00D40962" w:rsidRPr="00F25CB7">
        <w:rPr>
          <w:rFonts w:ascii="Times New Roman" w:hAnsi="Times New Roman"/>
          <w:sz w:val="24"/>
          <w:szCs w:val="24"/>
        </w:rPr>
        <w:t xml:space="preserve"> </w:t>
      </w:r>
      <w:r w:rsidR="00A960FB" w:rsidRPr="00F25CB7">
        <w:rPr>
          <w:rFonts w:ascii="Times New Roman" w:hAnsi="Times New Roman"/>
          <w:b/>
          <w:bCs/>
          <w:sz w:val="24"/>
          <w:szCs w:val="24"/>
        </w:rPr>
        <w:t>6</w:t>
      </w:r>
      <w:r w:rsidR="00C470DE" w:rsidRPr="00F25CB7">
        <w:rPr>
          <w:rFonts w:ascii="Times New Roman" w:hAnsi="Times New Roman"/>
          <w:b/>
          <w:bCs/>
          <w:sz w:val="24"/>
          <w:szCs w:val="24"/>
        </w:rPr>
        <w:t> </w:t>
      </w:r>
      <w:r w:rsidR="00A960FB" w:rsidRPr="00F25CB7">
        <w:rPr>
          <w:rFonts w:ascii="Times New Roman" w:hAnsi="Times New Roman"/>
          <w:b/>
          <w:bCs/>
          <w:sz w:val="24"/>
          <w:szCs w:val="24"/>
        </w:rPr>
        <w:t>000</w:t>
      </w:r>
      <w:r w:rsidR="00C470DE" w:rsidRPr="00F25CB7">
        <w:rPr>
          <w:rFonts w:ascii="Times New Roman" w:hAnsi="Times New Roman"/>
          <w:b/>
          <w:bCs/>
          <w:sz w:val="24"/>
          <w:szCs w:val="24"/>
        </w:rPr>
        <w:t> </w:t>
      </w:r>
      <w:r w:rsidR="00A960FB" w:rsidRPr="00F25CB7">
        <w:rPr>
          <w:rFonts w:ascii="Times New Roman" w:hAnsi="Times New Roman"/>
          <w:b/>
          <w:bCs/>
          <w:sz w:val="24"/>
          <w:szCs w:val="24"/>
        </w:rPr>
        <w:t>000</w:t>
      </w:r>
      <w:r w:rsidR="0058409B" w:rsidRPr="00F25CB7">
        <w:rPr>
          <w:rFonts w:ascii="Times New Roman" w:hAnsi="Times New Roman"/>
          <w:i/>
          <w:iCs/>
          <w:sz w:val="24"/>
          <w:szCs w:val="24"/>
        </w:rPr>
        <w:t xml:space="preserve"> euro </w:t>
      </w:r>
      <w:r w:rsidR="0058409B" w:rsidRPr="00F25CB7">
        <w:rPr>
          <w:rFonts w:ascii="Times New Roman" w:hAnsi="Times New Roman"/>
          <w:sz w:val="24"/>
          <w:szCs w:val="24"/>
        </w:rPr>
        <w:t>apmērā</w:t>
      </w:r>
      <w:r w:rsidR="0058409B" w:rsidRPr="00F25CB7">
        <w:rPr>
          <w:rFonts w:ascii="Times New Roman" w:eastAsia="Times New Roman" w:hAnsi="Times New Roman"/>
          <w:sz w:val="24"/>
          <w:szCs w:val="24"/>
        </w:rPr>
        <w:t xml:space="preserve"> </w:t>
      </w:r>
      <w:r w:rsidR="00D40962" w:rsidRPr="00F25CB7">
        <w:rPr>
          <w:rFonts w:ascii="Times New Roman" w:hAnsi="Times New Roman"/>
          <w:sz w:val="24"/>
          <w:szCs w:val="24"/>
        </w:rPr>
        <w:t>ietver</w:t>
      </w:r>
      <w:r w:rsidR="00E0108D" w:rsidRPr="00F25CB7">
        <w:rPr>
          <w:rFonts w:ascii="Times New Roman" w:hAnsi="Times New Roman"/>
          <w:sz w:val="24"/>
          <w:szCs w:val="24"/>
        </w:rPr>
        <w:t>:</w:t>
      </w:r>
    </w:p>
    <w:p w14:paraId="1F396315" w14:textId="34921A6E" w:rsidR="00D40962" w:rsidRPr="00F25CB7" w:rsidRDefault="00D40962" w:rsidP="006A2765">
      <w:pPr>
        <w:pStyle w:val="ListParagraph"/>
        <w:numPr>
          <w:ilvl w:val="1"/>
          <w:numId w:val="2"/>
        </w:numPr>
        <w:spacing w:after="8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5CB7">
        <w:rPr>
          <w:rFonts w:ascii="Times New Roman" w:hAnsi="Times New Roman"/>
          <w:sz w:val="24"/>
          <w:szCs w:val="24"/>
        </w:rPr>
        <w:t xml:space="preserve">finansējuma saņēmēja personāla, kas iesaistīts </w:t>
      </w:r>
      <w:r w:rsidR="00387524">
        <w:rPr>
          <w:rFonts w:ascii="Times New Roman" w:hAnsi="Times New Roman"/>
          <w:sz w:val="24"/>
          <w:szCs w:val="24"/>
        </w:rPr>
        <w:t xml:space="preserve">investīcijas </w:t>
      </w:r>
      <w:r w:rsidRPr="00F25CB7">
        <w:rPr>
          <w:rFonts w:ascii="Times New Roman" w:hAnsi="Times New Roman"/>
          <w:sz w:val="24"/>
          <w:szCs w:val="24"/>
        </w:rPr>
        <w:t>projekta īstenošanā</w:t>
      </w:r>
      <w:r w:rsidR="009D3D58" w:rsidRPr="00F25CB7">
        <w:rPr>
          <w:rFonts w:ascii="Times New Roman" w:hAnsi="Times New Roman"/>
          <w:sz w:val="24"/>
          <w:szCs w:val="24"/>
        </w:rPr>
        <w:t xml:space="preserve">, </w:t>
      </w:r>
      <w:r w:rsidRPr="00F25CB7">
        <w:rPr>
          <w:rFonts w:ascii="Times New Roman" w:hAnsi="Times New Roman"/>
          <w:sz w:val="24"/>
          <w:szCs w:val="24"/>
        </w:rPr>
        <w:t>atlīdzīb</w:t>
      </w:r>
      <w:r w:rsidR="00C378AC" w:rsidRPr="00F25CB7">
        <w:rPr>
          <w:rFonts w:ascii="Times New Roman" w:hAnsi="Times New Roman"/>
          <w:sz w:val="24"/>
          <w:szCs w:val="24"/>
        </w:rPr>
        <w:t>as izmaksas</w:t>
      </w:r>
      <w:r w:rsidR="003178A4" w:rsidRPr="00F25CB7">
        <w:rPr>
          <w:rFonts w:ascii="Times New Roman" w:hAnsi="Times New Roman"/>
          <w:sz w:val="24"/>
          <w:szCs w:val="24"/>
        </w:rPr>
        <w:t xml:space="preserve"> </w:t>
      </w:r>
      <w:r w:rsidR="00C15ABD">
        <w:rPr>
          <w:rFonts w:ascii="Times New Roman" w:eastAsia="Times New Roman" w:hAnsi="Times New Roman"/>
          <w:b/>
          <w:bCs/>
          <w:sz w:val="24"/>
          <w:szCs w:val="24"/>
        </w:rPr>
        <w:t>411 760</w:t>
      </w:r>
      <w:r w:rsidR="003178A4" w:rsidRPr="00F25CB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178A4" w:rsidRPr="00F25CB7">
        <w:rPr>
          <w:rFonts w:ascii="Times New Roman" w:hAnsi="Times New Roman"/>
          <w:i/>
          <w:iCs/>
          <w:sz w:val="24"/>
          <w:szCs w:val="24"/>
        </w:rPr>
        <w:t xml:space="preserve">euro </w:t>
      </w:r>
      <w:r w:rsidR="003178A4" w:rsidRPr="00F25CB7">
        <w:rPr>
          <w:rFonts w:ascii="Times New Roman" w:hAnsi="Times New Roman"/>
          <w:sz w:val="24"/>
          <w:szCs w:val="24"/>
        </w:rPr>
        <w:t>apmērā</w:t>
      </w:r>
      <w:r w:rsidRPr="00F25CB7">
        <w:rPr>
          <w:rFonts w:ascii="Times New Roman" w:hAnsi="Times New Roman"/>
          <w:sz w:val="24"/>
          <w:szCs w:val="24"/>
        </w:rPr>
        <w:t xml:space="preserve">, </w:t>
      </w:r>
      <w:r w:rsidR="00420C09" w:rsidRPr="00292E3E">
        <w:rPr>
          <w:rFonts w:ascii="Times New Roman" w:hAnsi="Times New Roman"/>
          <w:sz w:val="24"/>
          <w:szCs w:val="24"/>
        </w:rPr>
        <w:t>tai skaitā ietverot tiesību aktos noteiktās valsts sociālās apdrošināšanas obligātās iemaksas</w:t>
      </w:r>
      <w:r w:rsidR="00420C09">
        <w:rPr>
          <w:rFonts w:ascii="Times New Roman" w:hAnsi="Times New Roman"/>
          <w:sz w:val="24"/>
          <w:szCs w:val="24"/>
        </w:rPr>
        <w:t xml:space="preserve"> un </w:t>
      </w:r>
      <w:r w:rsidR="004B2E19">
        <w:rPr>
          <w:rFonts w:ascii="Times New Roman" w:hAnsi="Times New Roman"/>
          <w:sz w:val="24"/>
          <w:szCs w:val="24"/>
        </w:rPr>
        <w:t>piemaksas</w:t>
      </w:r>
      <w:r w:rsidR="00051407">
        <w:rPr>
          <w:rFonts w:ascii="Times New Roman" w:hAnsi="Times New Roman"/>
          <w:sz w:val="24"/>
          <w:szCs w:val="24"/>
        </w:rPr>
        <w:t xml:space="preserve"> 10% apmērā</w:t>
      </w:r>
      <w:r w:rsidR="00E94A67">
        <w:rPr>
          <w:rFonts w:ascii="Times New Roman" w:hAnsi="Times New Roman"/>
          <w:sz w:val="24"/>
          <w:szCs w:val="24"/>
        </w:rPr>
        <w:t xml:space="preserve"> (detalizēts amatu vietu aprēķins tiks iesniegts pieprasot 2022.</w:t>
      </w:r>
      <w:r w:rsidR="000B138F">
        <w:rPr>
          <w:rFonts w:ascii="Times New Roman" w:hAnsi="Times New Roman"/>
          <w:sz w:val="24"/>
          <w:szCs w:val="24"/>
        </w:rPr>
        <w:t xml:space="preserve"> </w:t>
      </w:r>
      <w:r w:rsidR="00514834">
        <w:rPr>
          <w:rFonts w:ascii="Times New Roman" w:hAnsi="Times New Roman"/>
          <w:sz w:val="24"/>
          <w:szCs w:val="24"/>
        </w:rPr>
        <w:t xml:space="preserve">gada </w:t>
      </w:r>
      <w:r w:rsidR="00E94A67">
        <w:rPr>
          <w:rFonts w:ascii="Times New Roman" w:hAnsi="Times New Roman"/>
          <w:sz w:val="24"/>
          <w:szCs w:val="24"/>
        </w:rPr>
        <w:t xml:space="preserve">finansējumu no </w:t>
      </w:r>
      <w:r w:rsidR="00E94A67" w:rsidRPr="00060FE8">
        <w:rPr>
          <w:rFonts w:ascii="Times New Roman" w:hAnsi="Times New Roman"/>
          <w:sz w:val="24"/>
          <w:szCs w:val="24"/>
        </w:rPr>
        <w:t>budžeta resora “74. Gadskārtējā valsts budžeta izpildes procesā pārdalāmais finansējums” 80.00.00 programmas “Nesadalītais finansējums Eiropas Savienības politiku instrumentu un pārējās ārvalstu finanšu palīdzības līdzfinansēto projektu un pasākumu īstenošanai”</w:t>
      </w:r>
      <w:r w:rsidR="00E94A67">
        <w:rPr>
          <w:rFonts w:ascii="Times New Roman" w:hAnsi="Times New Roman"/>
          <w:sz w:val="24"/>
          <w:szCs w:val="24"/>
        </w:rPr>
        <w:t xml:space="preserve"> un precizējot bāzi 2023.-2025.gadam</w:t>
      </w:r>
      <w:r w:rsidR="00BB3EC7">
        <w:rPr>
          <w:rFonts w:ascii="Times New Roman" w:hAnsi="Times New Roman"/>
          <w:sz w:val="24"/>
          <w:szCs w:val="24"/>
        </w:rPr>
        <w:t>)</w:t>
      </w:r>
      <w:r w:rsidRPr="00F25CB7">
        <w:rPr>
          <w:rFonts w:ascii="Times New Roman" w:hAnsi="Times New Roman"/>
          <w:sz w:val="24"/>
          <w:szCs w:val="24"/>
        </w:rPr>
        <w:t>. Atlīdzības izmaksu aprēķins balstās uz šādiem pieņēmumiem:</w:t>
      </w:r>
    </w:p>
    <w:p w14:paraId="779AD3FF" w14:textId="632D62D7" w:rsidR="00D40962" w:rsidRPr="00F25CB7" w:rsidRDefault="00387524" w:rsidP="006A2765">
      <w:pPr>
        <w:pStyle w:val="ListParagraph"/>
        <w:numPr>
          <w:ilvl w:val="2"/>
          <w:numId w:val="2"/>
        </w:numPr>
        <w:spacing w:after="80"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investīcijas </w:t>
      </w:r>
      <w:r w:rsidR="00D40962" w:rsidRPr="00F25CB7">
        <w:rPr>
          <w:rFonts w:ascii="Times New Roman" w:hAnsi="Times New Roman"/>
          <w:sz w:val="24"/>
          <w:szCs w:val="24"/>
        </w:rPr>
        <w:t xml:space="preserve">projekta īstenošanas laika periods ir </w:t>
      </w:r>
      <w:r w:rsidR="00A960FB" w:rsidRPr="00F25CB7">
        <w:rPr>
          <w:rFonts w:ascii="Times New Roman" w:hAnsi="Times New Roman"/>
          <w:sz w:val="24"/>
          <w:szCs w:val="24"/>
        </w:rPr>
        <w:t>40</w:t>
      </w:r>
      <w:r w:rsidR="00D40962" w:rsidRPr="00F25CB7">
        <w:rPr>
          <w:rFonts w:ascii="Times New Roman" w:hAnsi="Times New Roman"/>
          <w:sz w:val="24"/>
          <w:szCs w:val="24"/>
        </w:rPr>
        <w:t xml:space="preserve"> mēneši;</w:t>
      </w:r>
    </w:p>
    <w:p w14:paraId="09C3E6C2" w14:textId="441E40D7" w:rsidR="00D40962" w:rsidRPr="00F25CB7" w:rsidRDefault="00D40962" w:rsidP="006A2765">
      <w:pPr>
        <w:pStyle w:val="ListParagraph"/>
        <w:numPr>
          <w:ilvl w:val="2"/>
          <w:numId w:val="2"/>
        </w:numPr>
        <w:spacing w:after="80"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5CB7">
        <w:rPr>
          <w:rFonts w:ascii="Times New Roman" w:hAnsi="Times New Roman"/>
          <w:sz w:val="24"/>
          <w:szCs w:val="24"/>
        </w:rPr>
        <w:t xml:space="preserve">kopējā </w:t>
      </w:r>
      <w:r w:rsidR="00202520" w:rsidRPr="00F25CB7">
        <w:rPr>
          <w:rFonts w:ascii="Times New Roman" w:hAnsi="Times New Roman"/>
          <w:sz w:val="24"/>
          <w:szCs w:val="24"/>
        </w:rPr>
        <w:t>n</w:t>
      </w:r>
      <w:r w:rsidRPr="00F25CB7">
        <w:rPr>
          <w:rFonts w:ascii="Times New Roman" w:hAnsi="Times New Roman"/>
          <w:sz w:val="24"/>
          <w:szCs w:val="24"/>
        </w:rPr>
        <w:t xml:space="preserve">oslodze – </w:t>
      </w:r>
      <w:r w:rsidR="00C470DE" w:rsidRPr="00F25CB7">
        <w:rPr>
          <w:rFonts w:ascii="Times New Roman" w:hAnsi="Times New Roman"/>
          <w:sz w:val="24"/>
          <w:szCs w:val="24"/>
        </w:rPr>
        <w:t xml:space="preserve">vidēji </w:t>
      </w:r>
      <w:r w:rsidR="00420C09">
        <w:rPr>
          <w:rFonts w:ascii="Times New Roman" w:hAnsi="Times New Roman"/>
          <w:sz w:val="24"/>
          <w:szCs w:val="24"/>
        </w:rPr>
        <w:t>4,75</w:t>
      </w:r>
      <w:r w:rsidR="0058409B" w:rsidRPr="00F25CB7">
        <w:rPr>
          <w:rFonts w:ascii="Times New Roman" w:hAnsi="Times New Roman"/>
          <w:sz w:val="24"/>
          <w:szCs w:val="24"/>
        </w:rPr>
        <w:t xml:space="preserve"> </w:t>
      </w:r>
      <w:r w:rsidRPr="00F25CB7">
        <w:rPr>
          <w:rFonts w:ascii="Times New Roman" w:hAnsi="Times New Roman"/>
          <w:sz w:val="24"/>
          <w:szCs w:val="24"/>
        </w:rPr>
        <w:t>slodze</w:t>
      </w:r>
      <w:r w:rsidR="0058409B" w:rsidRPr="00F25CB7">
        <w:rPr>
          <w:rFonts w:ascii="Times New Roman" w:hAnsi="Times New Roman"/>
          <w:sz w:val="24"/>
          <w:szCs w:val="24"/>
        </w:rPr>
        <w:t>s</w:t>
      </w:r>
      <w:r w:rsidRPr="00F25CB7">
        <w:rPr>
          <w:rFonts w:ascii="Times New Roman" w:hAnsi="Times New Roman"/>
          <w:sz w:val="24"/>
          <w:szCs w:val="24"/>
        </w:rPr>
        <w:t xml:space="preserve"> gadā;</w:t>
      </w:r>
    </w:p>
    <w:p w14:paraId="3109CE4B" w14:textId="77777777" w:rsidR="00C15ABD" w:rsidRDefault="00D40962" w:rsidP="006A2765">
      <w:pPr>
        <w:pStyle w:val="ListParagraph"/>
        <w:numPr>
          <w:ilvl w:val="2"/>
          <w:numId w:val="2"/>
        </w:numPr>
        <w:spacing w:after="80"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5CB7">
        <w:rPr>
          <w:rFonts w:ascii="Times New Roman" w:hAnsi="Times New Roman"/>
          <w:sz w:val="24"/>
          <w:szCs w:val="24"/>
        </w:rPr>
        <w:t>darba devēja valsts sociālās apdrošināšanas obligāto iemaksu likme – 23.59%</w:t>
      </w:r>
      <w:r w:rsidR="00C15ABD">
        <w:rPr>
          <w:rFonts w:ascii="Times New Roman" w:hAnsi="Times New Roman"/>
          <w:sz w:val="24"/>
          <w:szCs w:val="24"/>
        </w:rPr>
        <w:t>,</w:t>
      </w:r>
    </w:p>
    <w:p w14:paraId="3D0C7848" w14:textId="56EE1254" w:rsidR="00351846" w:rsidRDefault="00C15ABD" w:rsidP="006A2765">
      <w:pPr>
        <w:pStyle w:val="ListParagraph"/>
        <w:numPr>
          <w:ilvl w:val="2"/>
          <w:numId w:val="2"/>
        </w:numPr>
        <w:spacing w:after="80"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veselības apdrošināšanas polises izmaksas līdz 213.43 </w:t>
      </w:r>
      <w:r w:rsidRPr="007B0045">
        <w:rPr>
          <w:rFonts w:ascii="Times New Roman" w:hAnsi="Times New Roman"/>
          <w:i/>
          <w:iCs/>
          <w:sz w:val="24"/>
          <w:szCs w:val="24"/>
        </w:rPr>
        <w:t>euro</w:t>
      </w:r>
      <w:r w:rsidR="00351846">
        <w:rPr>
          <w:rFonts w:ascii="Times New Roman" w:hAnsi="Times New Roman"/>
          <w:sz w:val="24"/>
          <w:szCs w:val="24"/>
        </w:rPr>
        <w:t>,</w:t>
      </w:r>
    </w:p>
    <w:p w14:paraId="063C1EA1" w14:textId="77777777" w:rsidR="00475036" w:rsidRPr="00475036" w:rsidRDefault="00351846" w:rsidP="006A2765">
      <w:pPr>
        <w:pStyle w:val="ListParagraph"/>
        <w:numPr>
          <w:ilvl w:val="2"/>
          <w:numId w:val="2"/>
        </w:numPr>
        <w:spacing w:after="80"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redzes korekcijas līdzekļu kompensācijas izmaksas </w:t>
      </w:r>
      <w:r w:rsidR="00C24294">
        <w:rPr>
          <w:rFonts w:ascii="Times New Roman" w:hAnsi="Times New Roman"/>
          <w:sz w:val="24"/>
          <w:szCs w:val="24"/>
        </w:rPr>
        <w:t>indikatīvi plānotas</w:t>
      </w:r>
      <w:r>
        <w:rPr>
          <w:rFonts w:ascii="Times New Roman" w:hAnsi="Times New Roman"/>
          <w:sz w:val="24"/>
          <w:szCs w:val="24"/>
        </w:rPr>
        <w:t xml:space="preserve"> 200 </w:t>
      </w:r>
      <w:r w:rsidRPr="00351846">
        <w:rPr>
          <w:rFonts w:ascii="Times New Roman" w:hAnsi="Times New Roman"/>
          <w:i/>
          <w:iCs/>
          <w:sz w:val="24"/>
          <w:szCs w:val="24"/>
        </w:rPr>
        <w:t>euro</w:t>
      </w:r>
      <w:r w:rsidR="00475036">
        <w:rPr>
          <w:rFonts w:ascii="Times New Roman" w:hAnsi="Times New Roman"/>
          <w:i/>
          <w:iCs/>
          <w:sz w:val="24"/>
          <w:szCs w:val="24"/>
        </w:rPr>
        <w:t>;</w:t>
      </w:r>
    </w:p>
    <w:p w14:paraId="3B78638A" w14:textId="5159C7FE" w:rsidR="00D40962" w:rsidRPr="00AC743A" w:rsidRDefault="00475036" w:rsidP="00B063AE">
      <w:pPr>
        <w:pStyle w:val="ListParagraph"/>
        <w:numPr>
          <w:ilvl w:val="2"/>
          <w:numId w:val="2"/>
        </w:numPr>
        <w:spacing w:after="80"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743A">
        <w:rPr>
          <w:rFonts w:ascii="Times New Roman" w:hAnsi="Times New Roman"/>
          <w:sz w:val="24"/>
          <w:szCs w:val="24"/>
        </w:rPr>
        <w:t>amatu saimes un līmeņi, mēnešalgu grupas noteiktas atbilstoši normatīvajiem aktiem valsts un pašvaldības iestāžu amatu klasifikācijas jomā</w:t>
      </w:r>
      <w:r w:rsidR="00F22279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AC743A">
        <w:rPr>
          <w:rFonts w:ascii="Times New Roman" w:hAnsi="Times New Roman"/>
          <w:sz w:val="24"/>
          <w:szCs w:val="24"/>
        </w:rPr>
        <w:t xml:space="preserve"> un mēnešalgas apmērs noteikts, nepārsniedzot spēkā esošajos normatīvajos aktos par valsts un pašvaldību institūciju amatpersonu un darbinieku darba samaksu un tās noteikšanas kārtību</w:t>
      </w:r>
      <w:r w:rsidR="00F22279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AC743A">
        <w:rPr>
          <w:rFonts w:ascii="Times New Roman" w:hAnsi="Times New Roman"/>
          <w:sz w:val="24"/>
          <w:szCs w:val="24"/>
        </w:rPr>
        <w:t xml:space="preserve"> attiecīgās mēnešalgu grupas 3. kategorijai noteikto mēnešalgu </w:t>
      </w:r>
      <w:proofErr w:type="gramStart"/>
      <w:r w:rsidRPr="00AC743A">
        <w:rPr>
          <w:rFonts w:ascii="Times New Roman" w:hAnsi="Times New Roman"/>
          <w:sz w:val="24"/>
          <w:szCs w:val="24"/>
        </w:rPr>
        <w:t>(</w:t>
      </w:r>
      <w:proofErr w:type="gramEnd"/>
      <w:r w:rsidR="000E3761" w:rsidRPr="000E3761">
        <w:rPr>
          <w:rFonts w:ascii="Times New Roman" w:hAnsi="Times New Roman"/>
          <w:sz w:val="24"/>
          <w:szCs w:val="24"/>
        </w:rPr>
        <w:t>minētā informācija var mainīties, stājoties spēkā izmaiņām iepriekš minēto jomu normatīvajos aktos vai arī, ja īstenojot</w:t>
      </w:r>
      <w:r w:rsidR="000E3761">
        <w:rPr>
          <w:rFonts w:ascii="Times New Roman" w:hAnsi="Times New Roman"/>
          <w:sz w:val="24"/>
          <w:szCs w:val="24"/>
        </w:rPr>
        <w:t xml:space="preserve"> investīcijas</w:t>
      </w:r>
      <w:r w:rsidR="000E3761" w:rsidRPr="000E3761">
        <w:rPr>
          <w:rFonts w:ascii="Times New Roman" w:hAnsi="Times New Roman"/>
          <w:sz w:val="24"/>
          <w:szCs w:val="24"/>
        </w:rPr>
        <w:t xml:space="preserve"> projektu, rodas nepieciešamība precizēt </w:t>
      </w:r>
      <w:r w:rsidR="000E3761">
        <w:rPr>
          <w:rFonts w:ascii="Times New Roman" w:hAnsi="Times New Roman"/>
          <w:sz w:val="24"/>
          <w:szCs w:val="24"/>
        </w:rPr>
        <w:t xml:space="preserve">investīcijas </w:t>
      </w:r>
      <w:r w:rsidR="000E3761" w:rsidRPr="000E3761">
        <w:rPr>
          <w:rFonts w:ascii="Times New Roman" w:hAnsi="Times New Roman"/>
          <w:sz w:val="24"/>
          <w:szCs w:val="24"/>
        </w:rPr>
        <w:t>projekta personālu</w:t>
      </w:r>
      <w:r w:rsidRPr="00AC743A">
        <w:rPr>
          <w:rFonts w:ascii="Times New Roman" w:hAnsi="Times New Roman"/>
          <w:sz w:val="24"/>
          <w:szCs w:val="24"/>
        </w:rPr>
        <w:t>)</w:t>
      </w:r>
      <w:r w:rsidR="000F4524">
        <w:rPr>
          <w:rFonts w:ascii="Times New Roman" w:hAnsi="Times New Roman"/>
          <w:sz w:val="24"/>
          <w:szCs w:val="24"/>
        </w:rPr>
        <w:t>;</w:t>
      </w:r>
    </w:p>
    <w:p w14:paraId="1A569DA1" w14:textId="7A0A80CF" w:rsidR="00812D69" w:rsidRPr="00F25CB7" w:rsidRDefault="00812D69" w:rsidP="006A2765">
      <w:pPr>
        <w:pStyle w:val="ListParagraph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5CB7">
        <w:rPr>
          <w:rFonts w:ascii="Times New Roman" w:hAnsi="Times New Roman"/>
          <w:sz w:val="24"/>
          <w:szCs w:val="24"/>
        </w:rPr>
        <w:lastRenderedPageBreak/>
        <w:t xml:space="preserve"> d</w:t>
      </w:r>
      <w:r w:rsidR="00B73243" w:rsidRPr="00F25CB7">
        <w:rPr>
          <w:rFonts w:ascii="Times New Roman" w:hAnsi="Times New Roman"/>
          <w:sz w:val="24"/>
          <w:szCs w:val="24"/>
        </w:rPr>
        <w:t xml:space="preserve">ivu ēku infrastruktūras </w:t>
      </w:r>
      <w:r w:rsidR="001B7BEB" w:rsidRPr="001B7BEB">
        <w:rPr>
          <w:rFonts w:ascii="Times New Roman" w:hAnsi="Times New Roman"/>
          <w:sz w:val="24"/>
          <w:szCs w:val="24"/>
        </w:rPr>
        <w:t>pilnveidošan</w:t>
      </w:r>
      <w:r w:rsidR="001B7BEB">
        <w:rPr>
          <w:rFonts w:ascii="Times New Roman" w:hAnsi="Times New Roman"/>
          <w:sz w:val="24"/>
          <w:szCs w:val="24"/>
        </w:rPr>
        <w:t>as</w:t>
      </w:r>
      <w:r w:rsidR="001B7BEB" w:rsidRPr="001B7BEB">
        <w:rPr>
          <w:rFonts w:ascii="Times New Roman" w:hAnsi="Times New Roman"/>
          <w:sz w:val="24"/>
          <w:szCs w:val="24"/>
        </w:rPr>
        <w:t xml:space="preserve"> un atjaunošana</w:t>
      </w:r>
      <w:r w:rsidR="001B7BEB">
        <w:rPr>
          <w:rFonts w:ascii="Times New Roman" w:hAnsi="Times New Roman"/>
          <w:sz w:val="24"/>
          <w:szCs w:val="24"/>
        </w:rPr>
        <w:t>s</w:t>
      </w:r>
      <w:r w:rsidR="001B7BEB" w:rsidRPr="001B7BEB">
        <w:rPr>
          <w:rFonts w:ascii="Times New Roman" w:hAnsi="Times New Roman"/>
          <w:sz w:val="24"/>
          <w:szCs w:val="24"/>
        </w:rPr>
        <w:t xml:space="preserve"> </w:t>
      </w:r>
      <w:r w:rsidR="00B73243" w:rsidRPr="00F25CB7">
        <w:rPr>
          <w:rFonts w:ascii="Times New Roman" w:hAnsi="Times New Roman"/>
          <w:sz w:val="24"/>
          <w:szCs w:val="24"/>
        </w:rPr>
        <w:t>mērķa grupas personu vajadzībām darbu</w:t>
      </w:r>
      <w:r w:rsidR="001B7BEB">
        <w:rPr>
          <w:rFonts w:ascii="Times New Roman" w:hAnsi="Times New Roman"/>
          <w:sz w:val="24"/>
          <w:szCs w:val="24"/>
        </w:rPr>
        <w:t xml:space="preserve"> (</w:t>
      </w:r>
      <w:r w:rsidR="001B7BEB" w:rsidRPr="001B7BEB">
        <w:rPr>
          <w:rFonts w:ascii="Times New Roman" w:hAnsi="Times New Roman"/>
          <w:sz w:val="24"/>
          <w:szCs w:val="24"/>
        </w:rPr>
        <w:t>tai skaitā, projektēšana, būvekspertīze, būvuzraudzība, autoruzraudzība)</w:t>
      </w:r>
      <w:r w:rsidR="00B73243" w:rsidRPr="00F25CB7">
        <w:rPr>
          <w:rFonts w:ascii="Times New Roman" w:hAnsi="Times New Roman"/>
          <w:sz w:val="24"/>
          <w:szCs w:val="24"/>
        </w:rPr>
        <w:t xml:space="preserve"> izmaksas </w:t>
      </w:r>
      <w:r w:rsidR="00B73243" w:rsidRPr="00F25CB7">
        <w:rPr>
          <w:rFonts w:ascii="Times New Roman" w:hAnsi="Times New Roman"/>
          <w:b/>
          <w:bCs/>
          <w:sz w:val="24"/>
          <w:szCs w:val="24"/>
        </w:rPr>
        <w:t xml:space="preserve">4 440 750 </w:t>
      </w:r>
      <w:r w:rsidR="00B73243" w:rsidRPr="00F25CB7">
        <w:rPr>
          <w:rFonts w:ascii="Times New Roman" w:hAnsi="Times New Roman"/>
          <w:i/>
          <w:iCs/>
          <w:sz w:val="24"/>
          <w:szCs w:val="24"/>
        </w:rPr>
        <w:t>euro</w:t>
      </w:r>
      <w:r w:rsidR="00B73243" w:rsidRPr="00F25CB7">
        <w:rPr>
          <w:rFonts w:ascii="Times New Roman" w:hAnsi="Times New Roman"/>
          <w:sz w:val="24"/>
          <w:szCs w:val="24"/>
        </w:rPr>
        <w:t xml:space="preserve"> apmērā, t</w:t>
      </w:r>
      <w:r w:rsidR="001B7BEB">
        <w:rPr>
          <w:rFonts w:ascii="Times New Roman" w:hAnsi="Times New Roman"/>
          <w:sz w:val="24"/>
          <w:szCs w:val="24"/>
        </w:rPr>
        <w:t>ai skaitā,</w:t>
      </w:r>
      <w:r w:rsidR="00C378AC" w:rsidRPr="00F25CB7">
        <w:rPr>
          <w:rFonts w:ascii="Times New Roman" w:hAnsi="Times New Roman"/>
          <w:sz w:val="24"/>
          <w:szCs w:val="24"/>
        </w:rPr>
        <w:t xml:space="preserve"> </w:t>
      </w:r>
      <w:r w:rsidR="00B73243" w:rsidRPr="00F25CB7">
        <w:rPr>
          <w:rFonts w:ascii="Times New Roman" w:hAnsi="Times New Roman"/>
          <w:sz w:val="24"/>
          <w:szCs w:val="24"/>
        </w:rPr>
        <w:t>veicot</w:t>
      </w:r>
    </w:p>
    <w:p w14:paraId="1FBD0343" w14:textId="0011A928" w:rsidR="00B73243" w:rsidRPr="00F25CB7" w:rsidRDefault="001B7BEB" w:rsidP="006A2765">
      <w:pPr>
        <w:pStyle w:val="ListParagraph"/>
        <w:numPr>
          <w:ilvl w:val="0"/>
          <w:numId w:val="11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7BEB">
        <w:rPr>
          <w:rFonts w:ascii="Times New Roman" w:hAnsi="Times New Roman"/>
          <w:sz w:val="24"/>
          <w:szCs w:val="24"/>
        </w:rPr>
        <w:t>energoefektivitātes paaugstināšanas pasākum</w:t>
      </w:r>
      <w:r>
        <w:rPr>
          <w:rFonts w:ascii="Times New Roman" w:hAnsi="Times New Roman"/>
          <w:sz w:val="24"/>
          <w:szCs w:val="24"/>
        </w:rPr>
        <w:t>us</w:t>
      </w:r>
      <w:r w:rsidRPr="001B7BEB">
        <w:rPr>
          <w:rFonts w:ascii="Times New Roman" w:hAnsi="Times New Roman"/>
          <w:sz w:val="24"/>
          <w:szCs w:val="24"/>
        </w:rPr>
        <w:t xml:space="preserve"> </w:t>
      </w:r>
      <w:r w:rsidR="00B73243" w:rsidRPr="00F25CB7">
        <w:rPr>
          <w:rFonts w:ascii="Times New Roman" w:hAnsi="Times New Roman"/>
          <w:sz w:val="24"/>
          <w:szCs w:val="24"/>
        </w:rPr>
        <w:t xml:space="preserve">ēkā Dubultu prosp. 71, Jūrmalā, kur izvietotas telpas </w:t>
      </w:r>
      <w:r w:rsidR="00100ECD">
        <w:rPr>
          <w:rFonts w:ascii="Times New Roman" w:hAnsi="Times New Roman"/>
          <w:sz w:val="24"/>
          <w:szCs w:val="24"/>
        </w:rPr>
        <w:t>s</w:t>
      </w:r>
      <w:r w:rsidR="00100ECD" w:rsidRPr="00100ECD">
        <w:rPr>
          <w:rFonts w:ascii="Times New Roman" w:hAnsi="Times New Roman"/>
          <w:sz w:val="24"/>
          <w:szCs w:val="24"/>
        </w:rPr>
        <w:t xml:space="preserve">ociālās un </w:t>
      </w:r>
      <w:r w:rsidR="00100ECD">
        <w:rPr>
          <w:rFonts w:ascii="Times New Roman" w:hAnsi="Times New Roman"/>
          <w:sz w:val="24"/>
          <w:szCs w:val="24"/>
        </w:rPr>
        <w:t xml:space="preserve">profesionālās </w:t>
      </w:r>
      <w:r w:rsidR="00B73243" w:rsidRPr="00F25CB7">
        <w:rPr>
          <w:rFonts w:ascii="Times New Roman" w:hAnsi="Times New Roman"/>
          <w:sz w:val="24"/>
          <w:szCs w:val="24"/>
        </w:rPr>
        <w:t xml:space="preserve">rehabilitācijas pakalpojumu </w:t>
      </w:r>
      <w:r w:rsidR="00100ECD">
        <w:rPr>
          <w:rFonts w:ascii="Times New Roman" w:hAnsi="Times New Roman"/>
          <w:sz w:val="24"/>
          <w:szCs w:val="24"/>
        </w:rPr>
        <w:t>sniegšanai</w:t>
      </w:r>
      <w:r w:rsidR="00B73243" w:rsidRPr="00F25CB7">
        <w:rPr>
          <w:rFonts w:ascii="Times New Roman" w:hAnsi="Times New Roman"/>
          <w:sz w:val="24"/>
          <w:szCs w:val="24"/>
        </w:rPr>
        <w:t>,</w:t>
      </w:r>
    </w:p>
    <w:p w14:paraId="352D17AB" w14:textId="4C57E7FD" w:rsidR="00AB5D7A" w:rsidRPr="00A85717" w:rsidRDefault="001B7BEB" w:rsidP="007326B0">
      <w:pPr>
        <w:pStyle w:val="ListParagraph"/>
        <w:numPr>
          <w:ilvl w:val="0"/>
          <w:numId w:val="11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5717">
        <w:rPr>
          <w:rFonts w:ascii="Times New Roman" w:hAnsi="Times New Roman"/>
          <w:sz w:val="24"/>
          <w:szCs w:val="24"/>
        </w:rPr>
        <w:t>iekštelpu un ieejas mezglu atjaunošanu un pārbūvi</w:t>
      </w:r>
      <w:r w:rsidR="00B73243" w:rsidRPr="00A85717">
        <w:rPr>
          <w:rFonts w:ascii="Times New Roman" w:hAnsi="Times New Roman"/>
          <w:sz w:val="24"/>
          <w:szCs w:val="24"/>
        </w:rPr>
        <w:t xml:space="preserve"> vides pieejamības prasību nodrošināšanai</w:t>
      </w:r>
      <w:r w:rsidR="00A85717" w:rsidRPr="00A85717">
        <w:rPr>
          <w:rFonts w:ascii="Times New Roman" w:hAnsi="Times New Roman"/>
          <w:sz w:val="24"/>
          <w:szCs w:val="24"/>
        </w:rPr>
        <w:t xml:space="preserve"> un</w:t>
      </w:r>
      <w:r w:rsidR="00B73243" w:rsidRPr="00A85717">
        <w:rPr>
          <w:rFonts w:ascii="Times New Roman" w:hAnsi="Times New Roman"/>
          <w:sz w:val="24"/>
          <w:szCs w:val="24"/>
        </w:rPr>
        <w:t xml:space="preserve"> drošības uzlabošanai (</w:t>
      </w:r>
      <w:r w:rsidR="00A85717" w:rsidRPr="00A85717">
        <w:rPr>
          <w:rFonts w:ascii="Times New Roman" w:hAnsi="Times New Roman"/>
          <w:sz w:val="24"/>
          <w:szCs w:val="24"/>
        </w:rPr>
        <w:t>ēkas ventilācijas sistēmas, zibensaizsardzības, ugunsdrošības un balss trauksmes izziņošanas sistēmas atjaunošana), kā arī ēkai pieguļošās teritorijas labiekārtošan</w:t>
      </w:r>
      <w:r w:rsidR="00F47374">
        <w:rPr>
          <w:rFonts w:ascii="Times New Roman" w:hAnsi="Times New Roman"/>
          <w:sz w:val="24"/>
          <w:szCs w:val="24"/>
        </w:rPr>
        <w:t>u</w:t>
      </w:r>
      <w:r w:rsidR="00A85717" w:rsidRPr="00A85717">
        <w:rPr>
          <w:rFonts w:ascii="Times New Roman" w:hAnsi="Times New Roman"/>
          <w:sz w:val="24"/>
          <w:szCs w:val="24"/>
        </w:rPr>
        <w:t xml:space="preserve"> un cit</w:t>
      </w:r>
      <w:r w:rsidR="00F47374">
        <w:rPr>
          <w:rFonts w:ascii="Times New Roman" w:hAnsi="Times New Roman"/>
          <w:sz w:val="24"/>
          <w:szCs w:val="24"/>
        </w:rPr>
        <w:t>us</w:t>
      </w:r>
      <w:r w:rsidR="00A85717" w:rsidRPr="00A85717">
        <w:rPr>
          <w:rFonts w:ascii="Times New Roman" w:hAnsi="Times New Roman"/>
          <w:sz w:val="24"/>
          <w:szCs w:val="24"/>
        </w:rPr>
        <w:t xml:space="preserve"> darb</w:t>
      </w:r>
      <w:r w:rsidR="00F47374">
        <w:rPr>
          <w:rFonts w:ascii="Times New Roman" w:hAnsi="Times New Roman"/>
          <w:sz w:val="24"/>
          <w:szCs w:val="24"/>
        </w:rPr>
        <w:t>us</w:t>
      </w:r>
      <w:r w:rsidR="00B73243" w:rsidRPr="00A85717">
        <w:rPr>
          <w:rFonts w:ascii="Times New Roman" w:hAnsi="Times New Roman"/>
          <w:sz w:val="24"/>
          <w:szCs w:val="24"/>
        </w:rPr>
        <w:t xml:space="preserve"> ēkā Slokas ielā 61, Jūrmalā, kur izvietotas telpas pakalpojuma sniegšanai;</w:t>
      </w:r>
    </w:p>
    <w:p w14:paraId="1AE5205A" w14:textId="40930254" w:rsidR="00D55445" w:rsidRPr="00F25CB7" w:rsidRDefault="00C378AC" w:rsidP="006A2765">
      <w:pPr>
        <w:pStyle w:val="ListParagraph"/>
        <w:numPr>
          <w:ilvl w:val="1"/>
          <w:numId w:val="2"/>
        </w:numPr>
        <w:spacing w:after="8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5CB7">
        <w:rPr>
          <w:rFonts w:ascii="Times New Roman" w:hAnsi="Times New Roman"/>
          <w:sz w:val="24"/>
          <w:szCs w:val="24"/>
        </w:rPr>
        <w:t>t</w:t>
      </w:r>
      <w:r w:rsidR="007A5B64" w:rsidRPr="00F25CB7">
        <w:rPr>
          <w:rFonts w:ascii="Times New Roman" w:hAnsi="Times New Roman"/>
          <w:sz w:val="24"/>
          <w:szCs w:val="24"/>
        </w:rPr>
        <w:t>ehnoloģiju un materiāltehniskā aprīkojuma iegāde</w:t>
      </w:r>
      <w:r w:rsidRPr="00F25CB7">
        <w:rPr>
          <w:rFonts w:ascii="Times New Roman" w:hAnsi="Times New Roman"/>
          <w:sz w:val="24"/>
          <w:szCs w:val="24"/>
        </w:rPr>
        <w:t>s izmaksas</w:t>
      </w:r>
      <w:r w:rsidR="007A5B64" w:rsidRPr="00F25CB7">
        <w:rPr>
          <w:rFonts w:ascii="Times New Roman" w:hAnsi="Times New Roman"/>
          <w:sz w:val="24"/>
          <w:szCs w:val="24"/>
        </w:rPr>
        <w:t xml:space="preserve"> </w:t>
      </w:r>
      <w:r w:rsidRPr="00F25CB7">
        <w:rPr>
          <w:rFonts w:ascii="Times New Roman" w:hAnsi="Times New Roman"/>
          <w:b/>
          <w:bCs/>
          <w:sz w:val="24"/>
          <w:szCs w:val="24"/>
        </w:rPr>
        <w:t>608 275</w:t>
      </w:r>
      <w:r w:rsidRPr="00F25CB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25CB7">
        <w:rPr>
          <w:rFonts w:ascii="Times New Roman" w:hAnsi="Times New Roman"/>
          <w:i/>
          <w:iCs/>
          <w:sz w:val="24"/>
          <w:szCs w:val="24"/>
        </w:rPr>
        <w:t>euro</w:t>
      </w:r>
      <w:r w:rsidRPr="00F25CB7">
        <w:rPr>
          <w:rFonts w:ascii="Times New Roman" w:hAnsi="Times New Roman"/>
          <w:sz w:val="24"/>
          <w:szCs w:val="24"/>
        </w:rPr>
        <w:t xml:space="preserve"> apmērā </w:t>
      </w:r>
      <w:r w:rsidR="006E37C1" w:rsidRPr="00F25CB7">
        <w:rPr>
          <w:rFonts w:ascii="Times New Roman" w:hAnsi="Times New Roman"/>
          <w:sz w:val="24"/>
          <w:szCs w:val="24"/>
        </w:rPr>
        <w:t>kompeten</w:t>
      </w:r>
      <w:r w:rsidR="00557E09">
        <w:rPr>
          <w:rFonts w:ascii="Times New Roman" w:hAnsi="Times New Roman"/>
          <w:sz w:val="24"/>
          <w:szCs w:val="24"/>
        </w:rPr>
        <w:t>ču</w:t>
      </w:r>
      <w:r w:rsidR="006E37C1" w:rsidRPr="00F25CB7">
        <w:rPr>
          <w:rFonts w:ascii="Times New Roman" w:hAnsi="Times New Roman"/>
          <w:sz w:val="24"/>
          <w:szCs w:val="24"/>
        </w:rPr>
        <w:t xml:space="preserve"> centra aprīkošanai </w:t>
      </w:r>
      <w:r w:rsidR="007A5B64" w:rsidRPr="00F25CB7">
        <w:rPr>
          <w:rFonts w:ascii="Times New Roman" w:hAnsi="Times New Roman"/>
          <w:sz w:val="24"/>
          <w:szCs w:val="24"/>
        </w:rPr>
        <w:t>pakalpojumu īstenošanai</w:t>
      </w:r>
      <w:r w:rsidRPr="00F25CB7">
        <w:rPr>
          <w:rFonts w:ascii="Times New Roman" w:hAnsi="Times New Roman"/>
          <w:sz w:val="24"/>
          <w:szCs w:val="24"/>
        </w:rPr>
        <w:t>;</w:t>
      </w:r>
    </w:p>
    <w:p w14:paraId="0B8532F2" w14:textId="4AFB2A66" w:rsidR="00C378AC" w:rsidRPr="00F25CB7" w:rsidRDefault="00C378AC" w:rsidP="006A2765">
      <w:pPr>
        <w:pStyle w:val="ListParagraph"/>
        <w:numPr>
          <w:ilvl w:val="1"/>
          <w:numId w:val="2"/>
        </w:numPr>
        <w:spacing w:after="8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5CB7">
        <w:rPr>
          <w:rFonts w:ascii="Times New Roman" w:hAnsi="Times New Roman"/>
          <w:sz w:val="24"/>
          <w:szCs w:val="24"/>
        </w:rPr>
        <w:t xml:space="preserve">mobilās darba stacijas izveides izmaksas </w:t>
      </w:r>
      <w:r w:rsidR="000B3E25">
        <w:rPr>
          <w:rFonts w:ascii="Times New Roman" w:hAnsi="Times New Roman"/>
          <w:b/>
          <w:bCs/>
          <w:sz w:val="24"/>
          <w:szCs w:val="24"/>
        </w:rPr>
        <w:t>308 841</w:t>
      </w:r>
      <w:r w:rsidRPr="00F25CB7">
        <w:rPr>
          <w:rFonts w:ascii="Times New Roman" w:hAnsi="Times New Roman"/>
          <w:sz w:val="24"/>
          <w:szCs w:val="24"/>
        </w:rPr>
        <w:t xml:space="preserve"> </w:t>
      </w:r>
      <w:r w:rsidRPr="00F25CB7">
        <w:rPr>
          <w:rFonts w:ascii="Times New Roman" w:hAnsi="Times New Roman"/>
          <w:i/>
          <w:iCs/>
          <w:sz w:val="24"/>
          <w:szCs w:val="24"/>
        </w:rPr>
        <w:t>euro</w:t>
      </w:r>
      <w:r w:rsidRPr="00F25CB7">
        <w:rPr>
          <w:rFonts w:ascii="Times New Roman" w:hAnsi="Times New Roman"/>
          <w:sz w:val="24"/>
          <w:szCs w:val="24"/>
        </w:rPr>
        <w:t xml:space="preserve"> apmērā pakalpojumu pieejamībai reģionos;</w:t>
      </w:r>
    </w:p>
    <w:p w14:paraId="475CA7DF" w14:textId="71E1FB41" w:rsidR="00C378AC" w:rsidRPr="001E3D4B" w:rsidRDefault="009A2582" w:rsidP="006A2765">
      <w:pPr>
        <w:pStyle w:val="ListParagraph"/>
        <w:numPr>
          <w:ilvl w:val="1"/>
          <w:numId w:val="2"/>
        </w:numPr>
        <w:spacing w:after="8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582">
        <w:rPr>
          <w:rFonts w:ascii="Times New Roman" w:hAnsi="Times New Roman"/>
          <w:sz w:val="24"/>
          <w:szCs w:val="24"/>
        </w:rPr>
        <w:t>metodikas personām, kas nodrošina atbalstu personām ar funkcionēšanas traucējumiem</w:t>
      </w:r>
      <w:r w:rsidR="00100ECD">
        <w:rPr>
          <w:rFonts w:ascii="Times New Roman" w:hAnsi="Times New Roman"/>
          <w:sz w:val="24"/>
          <w:szCs w:val="24"/>
        </w:rPr>
        <w:t>,</w:t>
      </w:r>
      <w:r w:rsidRPr="009A2582">
        <w:rPr>
          <w:rFonts w:ascii="Times New Roman" w:hAnsi="Times New Roman"/>
          <w:sz w:val="24"/>
          <w:szCs w:val="24"/>
        </w:rPr>
        <w:t xml:space="preserve"> un kompete</w:t>
      </w:r>
      <w:r w:rsidRPr="001E3D4B">
        <w:rPr>
          <w:rFonts w:ascii="Times New Roman" w:hAnsi="Times New Roman"/>
          <w:sz w:val="24"/>
          <w:szCs w:val="24"/>
        </w:rPr>
        <w:t xml:space="preserve">nču </w:t>
      </w:r>
      <w:r w:rsidR="00557E09" w:rsidRPr="001E3D4B">
        <w:rPr>
          <w:rFonts w:ascii="Times New Roman" w:hAnsi="Times New Roman"/>
          <w:sz w:val="24"/>
          <w:szCs w:val="24"/>
        </w:rPr>
        <w:t>a</w:t>
      </w:r>
      <w:r w:rsidR="00557E09">
        <w:rPr>
          <w:rFonts w:ascii="Times New Roman" w:hAnsi="Times New Roman"/>
          <w:sz w:val="24"/>
          <w:szCs w:val="24"/>
        </w:rPr>
        <w:t>ttīstības</w:t>
      </w:r>
      <w:r w:rsidR="00557E09" w:rsidRPr="001E3D4B">
        <w:rPr>
          <w:rFonts w:ascii="Times New Roman" w:hAnsi="Times New Roman"/>
          <w:sz w:val="24"/>
          <w:szCs w:val="24"/>
        </w:rPr>
        <w:t xml:space="preserve"> </w:t>
      </w:r>
      <w:r w:rsidRPr="001E3D4B">
        <w:rPr>
          <w:rFonts w:ascii="Times New Roman" w:hAnsi="Times New Roman"/>
          <w:sz w:val="24"/>
          <w:szCs w:val="24"/>
        </w:rPr>
        <w:t>programmas izstrādes izmaksas (</w:t>
      </w:r>
      <w:r w:rsidR="00890627">
        <w:rPr>
          <w:rFonts w:ascii="Times New Roman" w:hAnsi="Times New Roman"/>
          <w:sz w:val="24"/>
          <w:szCs w:val="24"/>
        </w:rPr>
        <w:t>pakalpojuma līgumi (</w:t>
      </w:r>
      <w:r w:rsidRPr="001E3D4B">
        <w:rPr>
          <w:rFonts w:ascii="Times New Roman" w:hAnsi="Times New Roman"/>
          <w:sz w:val="24"/>
          <w:szCs w:val="24"/>
        </w:rPr>
        <w:t>uzņēmuma līgumi</w:t>
      </w:r>
      <w:r w:rsidR="00890627">
        <w:rPr>
          <w:rFonts w:ascii="Times New Roman" w:hAnsi="Times New Roman"/>
          <w:sz w:val="24"/>
          <w:szCs w:val="24"/>
        </w:rPr>
        <w:t>))</w:t>
      </w:r>
      <w:r w:rsidR="00C378AC" w:rsidRPr="001E3D4B">
        <w:rPr>
          <w:rFonts w:ascii="Times New Roman" w:hAnsi="Times New Roman"/>
          <w:sz w:val="24"/>
          <w:szCs w:val="24"/>
        </w:rPr>
        <w:t xml:space="preserve"> </w:t>
      </w:r>
      <w:r w:rsidRPr="001E3D4B">
        <w:rPr>
          <w:rFonts w:ascii="Times New Roman" w:hAnsi="Times New Roman"/>
          <w:b/>
          <w:bCs/>
          <w:sz w:val="24"/>
          <w:szCs w:val="24"/>
        </w:rPr>
        <w:t>69</w:t>
      </w:r>
      <w:r w:rsidR="00C378AC" w:rsidRPr="001E3D4B">
        <w:rPr>
          <w:rFonts w:ascii="Times New Roman" w:hAnsi="Times New Roman"/>
          <w:b/>
          <w:bCs/>
          <w:sz w:val="24"/>
          <w:szCs w:val="24"/>
        </w:rPr>
        <w:t> 568</w:t>
      </w:r>
      <w:r w:rsidR="00C378AC" w:rsidRPr="001E3D4B">
        <w:rPr>
          <w:rFonts w:ascii="Times New Roman" w:hAnsi="Times New Roman"/>
          <w:sz w:val="24"/>
          <w:szCs w:val="24"/>
        </w:rPr>
        <w:t xml:space="preserve"> </w:t>
      </w:r>
      <w:r w:rsidR="00C378AC" w:rsidRPr="001E3D4B">
        <w:rPr>
          <w:rFonts w:ascii="Times New Roman" w:hAnsi="Times New Roman"/>
          <w:i/>
          <w:iCs/>
          <w:sz w:val="24"/>
          <w:szCs w:val="24"/>
        </w:rPr>
        <w:t>euro</w:t>
      </w:r>
      <w:r w:rsidR="00C378AC" w:rsidRPr="001E3D4B">
        <w:rPr>
          <w:rFonts w:ascii="Times New Roman" w:hAnsi="Times New Roman"/>
          <w:sz w:val="24"/>
          <w:szCs w:val="24"/>
        </w:rPr>
        <w:t xml:space="preserve"> apmērā;</w:t>
      </w:r>
    </w:p>
    <w:p w14:paraId="5E19ACD9" w14:textId="1D1801EE" w:rsidR="005D62BC" w:rsidRPr="001E3D4B" w:rsidRDefault="005D62BC" w:rsidP="006A2765">
      <w:pPr>
        <w:pStyle w:val="ListParagraph"/>
        <w:numPr>
          <w:ilvl w:val="1"/>
          <w:numId w:val="2"/>
        </w:numPr>
        <w:spacing w:after="8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D4B">
        <w:rPr>
          <w:rFonts w:ascii="Times New Roman" w:hAnsi="Times New Roman"/>
          <w:sz w:val="24"/>
          <w:szCs w:val="24"/>
        </w:rPr>
        <w:t>kompetenču attīstības programmas aprobācijas izmēģinājuma projekt</w:t>
      </w:r>
      <w:r w:rsidR="009A2582" w:rsidRPr="001E3D4B">
        <w:rPr>
          <w:rFonts w:ascii="Times New Roman" w:hAnsi="Times New Roman"/>
          <w:sz w:val="24"/>
          <w:szCs w:val="24"/>
        </w:rPr>
        <w:t>a</w:t>
      </w:r>
      <w:r w:rsidRPr="001E3D4B">
        <w:rPr>
          <w:rFonts w:ascii="Times New Roman" w:hAnsi="Times New Roman"/>
          <w:sz w:val="24"/>
          <w:szCs w:val="24"/>
        </w:rPr>
        <w:t xml:space="preserve"> īstenošanas izmaksas </w:t>
      </w:r>
      <w:r w:rsidR="009A2582" w:rsidRPr="00A85717">
        <w:rPr>
          <w:rFonts w:ascii="Times New Roman" w:hAnsi="Times New Roman"/>
          <w:b/>
          <w:bCs/>
          <w:sz w:val="24"/>
          <w:szCs w:val="24"/>
        </w:rPr>
        <w:t>5</w:t>
      </w:r>
      <w:r w:rsidRPr="001E3D4B">
        <w:rPr>
          <w:rFonts w:ascii="Times New Roman" w:hAnsi="Times New Roman"/>
          <w:b/>
          <w:bCs/>
          <w:sz w:val="24"/>
          <w:szCs w:val="24"/>
        </w:rPr>
        <w:t>0 </w:t>
      </w:r>
      <w:r w:rsidR="009A2582" w:rsidRPr="001E3D4B">
        <w:rPr>
          <w:rFonts w:ascii="Times New Roman" w:hAnsi="Times New Roman"/>
          <w:b/>
          <w:bCs/>
          <w:sz w:val="24"/>
          <w:szCs w:val="24"/>
        </w:rPr>
        <w:t>000</w:t>
      </w:r>
      <w:r w:rsidRPr="001E3D4B">
        <w:rPr>
          <w:rFonts w:ascii="Times New Roman" w:hAnsi="Times New Roman"/>
          <w:sz w:val="24"/>
          <w:szCs w:val="24"/>
        </w:rPr>
        <w:t xml:space="preserve"> </w:t>
      </w:r>
      <w:r w:rsidRPr="001E3D4B">
        <w:rPr>
          <w:rFonts w:ascii="Times New Roman" w:hAnsi="Times New Roman"/>
          <w:i/>
          <w:iCs/>
          <w:sz w:val="24"/>
          <w:szCs w:val="24"/>
        </w:rPr>
        <w:t>euro</w:t>
      </w:r>
      <w:r w:rsidRPr="001E3D4B">
        <w:rPr>
          <w:rFonts w:ascii="Times New Roman" w:hAnsi="Times New Roman"/>
          <w:sz w:val="24"/>
          <w:szCs w:val="24"/>
        </w:rPr>
        <w:t xml:space="preserve"> apmērā;</w:t>
      </w:r>
    </w:p>
    <w:p w14:paraId="1AB11E12" w14:textId="5892FBBD" w:rsidR="00D57773" w:rsidRPr="00F25CB7" w:rsidRDefault="00100ECD" w:rsidP="006A2765">
      <w:pPr>
        <w:pStyle w:val="ListParagraph"/>
        <w:numPr>
          <w:ilvl w:val="1"/>
          <w:numId w:val="2"/>
        </w:numPr>
        <w:spacing w:after="8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sociālās un </w:t>
      </w:r>
      <w:r w:rsidR="0007770F">
        <w:rPr>
          <w:rFonts w:ascii="Times New Roman" w:hAnsi="Times New Roman"/>
          <w:sz w:val="24"/>
          <w:szCs w:val="24"/>
        </w:rPr>
        <w:t xml:space="preserve">profesionālās </w:t>
      </w:r>
      <w:r w:rsidR="00C378AC" w:rsidRPr="00F25CB7">
        <w:rPr>
          <w:rFonts w:ascii="Times New Roman" w:hAnsi="Times New Roman"/>
          <w:sz w:val="24"/>
          <w:szCs w:val="24"/>
        </w:rPr>
        <w:t xml:space="preserve">rehabilitācijas pakalpojuma </w:t>
      </w:r>
      <w:r w:rsidR="000B3E25">
        <w:rPr>
          <w:rFonts w:ascii="Times New Roman" w:hAnsi="Times New Roman"/>
          <w:sz w:val="24"/>
          <w:szCs w:val="24"/>
        </w:rPr>
        <w:t xml:space="preserve">izstrādes un </w:t>
      </w:r>
      <w:r w:rsidR="00C378AC" w:rsidRPr="00F25CB7">
        <w:rPr>
          <w:rFonts w:ascii="Times New Roman" w:hAnsi="Times New Roman"/>
          <w:sz w:val="24"/>
          <w:szCs w:val="24"/>
        </w:rPr>
        <w:t>aprobācijas izmēģinājum</w:t>
      </w:r>
      <w:r w:rsidR="005D62BC">
        <w:rPr>
          <w:rFonts w:ascii="Times New Roman" w:hAnsi="Times New Roman"/>
          <w:sz w:val="24"/>
          <w:szCs w:val="24"/>
        </w:rPr>
        <w:t xml:space="preserve">a </w:t>
      </w:r>
      <w:r w:rsidR="00C378AC" w:rsidRPr="00F25CB7">
        <w:rPr>
          <w:rFonts w:ascii="Times New Roman" w:hAnsi="Times New Roman"/>
          <w:sz w:val="24"/>
          <w:szCs w:val="24"/>
        </w:rPr>
        <w:t>projekta īstenošanas izm</w:t>
      </w:r>
      <w:r w:rsidR="00D57773" w:rsidRPr="00F25CB7">
        <w:rPr>
          <w:rFonts w:ascii="Times New Roman" w:hAnsi="Times New Roman"/>
          <w:sz w:val="24"/>
          <w:szCs w:val="24"/>
        </w:rPr>
        <w:t>a</w:t>
      </w:r>
      <w:r w:rsidR="00C378AC" w:rsidRPr="00F25CB7">
        <w:rPr>
          <w:rFonts w:ascii="Times New Roman" w:hAnsi="Times New Roman"/>
          <w:sz w:val="24"/>
          <w:szCs w:val="24"/>
        </w:rPr>
        <w:t xml:space="preserve">ksas </w:t>
      </w:r>
      <w:r w:rsidR="00D57773" w:rsidRPr="00F25CB7">
        <w:rPr>
          <w:rFonts w:ascii="Times New Roman" w:hAnsi="Times New Roman"/>
          <w:b/>
          <w:bCs/>
          <w:sz w:val="24"/>
          <w:szCs w:val="24"/>
        </w:rPr>
        <w:t>110 806</w:t>
      </w:r>
      <w:r w:rsidR="00D57773" w:rsidRPr="00F25CB7">
        <w:rPr>
          <w:rFonts w:ascii="Times New Roman" w:hAnsi="Times New Roman"/>
          <w:sz w:val="24"/>
          <w:szCs w:val="24"/>
        </w:rPr>
        <w:t xml:space="preserve"> </w:t>
      </w:r>
      <w:r w:rsidR="00D57773" w:rsidRPr="00F25CB7">
        <w:rPr>
          <w:rFonts w:ascii="Times New Roman" w:hAnsi="Times New Roman"/>
          <w:i/>
          <w:iCs/>
          <w:sz w:val="24"/>
          <w:szCs w:val="24"/>
        </w:rPr>
        <w:t>euro</w:t>
      </w:r>
      <w:r w:rsidR="00D57773" w:rsidRPr="00F25CB7">
        <w:rPr>
          <w:rFonts w:ascii="Times New Roman" w:hAnsi="Times New Roman"/>
          <w:sz w:val="24"/>
          <w:szCs w:val="24"/>
        </w:rPr>
        <w:t xml:space="preserve"> apmērā.</w:t>
      </w:r>
    </w:p>
    <w:p w14:paraId="2BE2781A" w14:textId="4848A6B2" w:rsidR="00C15ABD" w:rsidRDefault="00C15ABD" w:rsidP="000F4524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budžeta finansējums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337C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150</w:t>
      </w:r>
      <w:r w:rsidR="00337C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262</w:t>
      </w:r>
      <w:r w:rsidRPr="00292E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92E3E">
        <w:rPr>
          <w:rFonts w:ascii="Times New Roman" w:hAnsi="Times New Roman"/>
          <w:i/>
          <w:iCs/>
          <w:sz w:val="24"/>
          <w:szCs w:val="24"/>
        </w:rPr>
        <w:t>euro</w:t>
      </w:r>
      <w:r w:rsidRPr="00292E3E">
        <w:rPr>
          <w:rFonts w:ascii="Times New Roman" w:hAnsi="Times New Roman"/>
          <w:sz w:val="24"/>
          <w:szCs w:val="24"/>
        </w:rPr>
        <w:t xml:space="preserve"> apmērā </w:t>
      </w:r>
      <w:r>
        <w:rPr>
          <w:rFonts w:ascii="Times New Roman" w:hAnsi="Times New Roman"/>
          <w:sz w:val="24"/>
          <w:szCs w:val="24"/>
        </w:rPr>
        <w:t>paredzēts</w:t>
      </w:r>
      <w:r w:rsidRPr="00292E3E">
        <w:rPr>
          <w:rFonts w:ascii="Times New Roman" w:hAnsi="Times New Roman"/>
          <w:sz w:val="24"/>
          <w:szCs w:val="24"/>
        </w:rPr>
        <w:t xml:space="preserve"> pievienotās vērtības nodokļa izmaks</w:t>
      </w:r>
      <w:r>
        <w:rPr>
          <w:rFonts w:ascii="Times New Roman" w:hAnsi="Times New Roman"/>
          <w:sz w:val="24"/>
          <w:szCs w:val="24"/>
        </w:rPr>
        <w:t>u segšanai.</w:t>
      </w:r>
    </w:p>
    <w:p w14:paraId="0B8EC916" w14:textId="32034671" w:rsidR="00881F42" w:rsidRDefault="000E3761" w:rsidP="000F4524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Investīcijas p</w:t>
      </w:r>
      <w:r w:rsidR="00881F42">
        <w:rPr>
          <w:rFonts w:ascii="Times New Roman" w:hAnsi="Times New Roman"/>
          <w:sz w:val="24"/>
          <w:szCs w:val="24"/>
        </w:rPr>
        <w:t xml:space="preserve">rojekta informācijas un publicitātes pasākumu izmaksas un projekta vadības personāla izmaksas finansējuma saņēmējs nodrošina </w:t>
      </w:r>
      <w:r w:rsidR="00475036" w:rsidRPr="00475036">
        <w:rPr>
          <w:rFonts w:ascii="Times New Roman" w:hAnsi="Times New Roman"/>
          <w:sz w:val="24"/>
          <w:szCs w:val="24"/>
        </w:rPr>
        <w:t>piešķirto valsts budžeta līdzekļu ietvaros</w:t>
      </w:r>
      <w:r w:rsidR="00881F42">
        <w:rPr>
          <w:rFonts w:ascii="Times New Roman" w:hAnsi="Times New Roman"/>
          <w:sz w:val="24"/>
          <w:szCs w:val="24"/>
        </w:rPr>
        <w:t>.</w:t>
      </w:r>
    </w:p>
    <w:p w14:paraId="6CB533F9" w14:textId="6C48F30D" w:rsidR="00881F42" w:rsidRDefault="00881F42" w:rsidP="000F4524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Sadalījums pa gadiem: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705"/>
        <w:gridCol w:w="2093"/>
        <w:gridCol w:w="2093"/>
        <w:gridCol w:w="2093"/>
        <w:gridCol w:w="2093"/>
        <w:gridCol w:w="2093"/>
      </w:tblGrid>
      <w:tr w:rsidR="00881F42" w:rsidRPr="00F25CB7" w14:paraId="606902B2" w14:textId="77777777" w:rsidTr="00076DC7">
        <w:tc>
          <w:tcPr>
            <w:tcW w:w="3705" w:type="dxa"/>
          </w:tcPr>
          <w:p w14:paraId="39D6F6C3" w14:textId="77777777" w:rsidR="00881F42" w:rsidRPr="00F25CB7" w:rsidRDefault="00881F42" w:rsidP="00076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B7">
              <w:rPr>
                <w:rFonts w:ascii="Times New Roman" w:hAnsi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2093" w:type="dxa"/>
          </w:tcPr>
          <w:p w14:paraId="06C569CA" w14:textId="77777777" w:rsidR="00881F42" w:rsidRPr="00F25CB7" w:rsidRDefault="00881F42" w:rsidP="00076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B7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093" w:type="dxa"/>
          </w:tcPr>
          <w:p w14:paraId="5E7820C7" w14:textId="77777777" w:rsidR="00881F42" w:rsidRPr="00F25CB7" w:rsidRDefault="00881F42" w:rsidP="00076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B7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093" w:type="dxa"/>
          </w:tcPr>
          <w:p w14:paraId="418E6D8D" w14:textId="77777777" w:rsidR="00881F42" w:rsidRPr="00F25CB7" w:rsidRDefault="00881F42" w:rsidP="00076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B7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093" w:type="dxa"/>
          </w:tcPr>
          <w:p w14:paraId="100D8C59" w14:textId="77777777" w:rsidR="00881F42" w:rsidRPr="00F25CB7" w:rsidRDefault="00881F42" w:rsidP="00076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B7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093" w:type="dxa"/>
          </w:tcPr>
          <w:p w14:paraId="72CDE8CD" w14:textId="77777777" w:rsidR="00881F42" w:rsidRPr="00F25CB7" w:rsidRDefault="00881F42" w:rsidP="00076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B7">
              <w:rPr>
                <w:rFonts w:ascii="Times New Roman" w:hAnsi="Times New Roman"/>
                <w:b/>
                <w:bCs/>
                <w:sz w:val="24"/>
                <w:szCs w:val="24"/>
              </w:rPr>
              <w:t>Kopā</w:t>
            </w:r>
          </w:p>
        </w:tc>
      </w:tr>
      <w:tr w:rsidR="00881F42" w:rsidRPr="00F25CB7" w14:paraId="16163BB4" w14:textId="77777777" w:rsidTr="00076DC7">
        <w:tc>
          <w:tcPr>
            <w:tcW w:w="3705" w:type="dxa"/>
            <w:vAlign w:val="center"/>
          </w:tcPr>
          <w:p w14:paraId="37995B2E" w14:textId="77777777" w:rsidR="00881F42" w:rsidRPr="00F25CB7" w:rsidRDefault="00881F42" w:rsidP="00076DC7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Kopējās izmaksas, </w:t>
            </w:r>
            <w:r w:rsidRPr="00F25C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2093" w:type="dxa"/>
            <w:vAlign w:val="center"/>
          </w:tcPr>
          <w:p w14:paraId="114BB880" w14:textId="20967861" w:rsidR="00881F42" w:rsidRPr="00F25CB7" w:rsidRDefault="001E1E49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297 513</w:t>
            </w:r>
          </w:p>
        </w:tc>
        <w:tc>
          <w:tcPr>
            <w:tcW w:w="2093" w:type="dxa"/>
            <w:vAlign w:val="center"/>
          </w:tcPr>
          <w:p w14:paraId="20F1B03D" w14:textId="4794D53D" w:rsidR="00881F42" w:rsidRPr="00F25CB7" w:rsidRDefault="001E1E49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6 219 465</w:t>
            </w:r>
          </w:p>
        </w:tc>
        <w:tc>
          <w:tcPr>
            <w:tcW w:w="2093" w:type="dxa"/>
            <w:vAlign w:val="center"/>
          </w:tcPr>
          <w:p w14:paraId="7302CE4D" w14:textId="363090CB" w:rsidR="00881F42" w:rsidRPr="00F25CB7" w:rsidRDefault="00DF7797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588 716</w:t>
            </w:r>
          </w:p>
        </w:tc>
        <w:tc>
          <w:tcPr>
            <w:tcW w:w="2093" w:type="dxa"/>
            <w:vAlign w:val="center"/>
          </w:tcPr>
          <w:p w14:paraId="4DB15E60" w14:textId="002F8C99" w:rsidR="00881F42" w:rsidRPr="00F25CB7" w:rsidRDefault="00DF7797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44 568</w:t>
            </w:r>
          </w:p>
        </w:tc>
        <w:tc>
          <w:tcPr>
            <w:tcW w:w="2093" w:type="dxa"/>
            <w:vAlign w:val="center"/>
          </w:tcPr>
          <w:p w14:paraId="287E7333" w14:textId="3B317CAF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7">
              <w:rPr>
                <w:rFonts w:ascii="Times New Roman" w:hAnsi="Times New Roman"/>
                <w:b/>
                <w:bCs/>
                <w:sz w:val="24"/>
                <w:szCs w:val="24"/>
              </w:rPr>
              <w:t>7 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25CB7">
              <w:rPr>
                <w:rFonts w:ascii="Times New Roman" w:hAnsi="Times New Roman"/>
                <w:b/>
                <w:bCs/>
                <w:sz w:val="24"/>
                <w:szCs w:val="24"/>
              </w:rPr>
              <w:t>50 </w:t>
            </w:r>
            <w:r w:rsidR="00DF7797">
              <w:rPr>
                <w:rFonts w:ascii="Times New Roman" w:hAnsi="Times New Roman"/>
                <w:b/>
                <w:bCs/>
                <w:sz w:val="24"/>
                <w:szCs w:val="24"/>
              </w:rPr>
              <w:t>262</w:t>
            </w:r>
          </w:p>
        </w:tc>
      </w:tr>
      <w:tr w:rsidR="00881F42" w:rsidRPr="00F25CB7" w14:paraId="73489CE8" w14:textId="77777777" w:rsidTr="00076DC7">
        <w:tc>
          <w:tcPr>
            <w:tcW w:w="3705" w:type="dxa"/>
            <w:vAlign w:val="center"/>
          </w:tcPr>
          <w:p w14:paraId="6DFD2980" w14:textId="77777777" w:rsidR="00881F42" w:rsidRPr="00F25CB7" w:rsidRDefault="00881F42" w:rsidP="00076DC7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Attiecināmais finansējums</w:t>
            </w:r>
            <w:r w:rsidRPr="00F25C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5CB7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2093" w:type="dxa"/>
            <w:vAlign w:val="center"/>
          </w:tcPr>
          <w:p w14:paraId="242E0DC9" w14:textId="77777777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263 493</w:t>
            </w:r>
          </w:p>
        </w:tc>
        <w:tc>
          <w:tcPr>
            <w:tcW w:w="2093" w:type="dxa"/>
            <w:vAlign w:val="center"/>
          </w:tcPr>
          <w:p w14:paraId="15D39C48" w14:textId="77777777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5 178 668</w:t>
            </w:r>
          </w:p>
        </w:tc>
        <w:tc>
          <w:tcPr>
            <w:tcW w:w="2093" w:type="dxa"/>
            <w:vAlign w:val="center"/>
          </w:tcPr>
          <w:p w14:paraId="721F3BD6" w14:textId="77777777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513 271</w:t>
            </w:r>
          </w:p>
        </w:tc>
        <w:tc>
          <w:tcPr>
            <w:tcW w:w="2093" w:type="dxa"/>
            <w:vAlign w:val="center"/>
          </w:tcPr>
          <w:p w14:paraId="33477E19" w14:textId="77777777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44 568</w:t>
            </w:r>
          </w:p>
        </w:tc>
        <w:tc>
          <w:tcPr>
            <w:tcW w:w="2093" w:type="dxa"/>
            <w:vAlign w:val="center"/>
          </w:tcPr>
          <w:p w14:paraId="58BD5A93" w14:textId="77777777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7">
              <w:rPr>
                <w:rFonts w:ascii="Times New Roman" w:hAnsi="Times New Roman"/>
                <w:sz w:val="24"/>
                <w:szCs w:val="24"/>
              </w:rPr>
              <w:t>6 000 000</w:t>
            </w:r>
          </w:p>
        </w:tc>
      </w:tr>
      <w:tr w:rsidR="00881F42" w:rsidRPr="00F25CB7" w14:paraId="5CA0C97A" w14:textId="77777777" w:rsidTr="00076DC7">
        <w:tc>
          <w:tcPr>
            <w:tcW w:w="3705" w:type="dxa"/>
            <w:vAlign w:val="center"/>
          </w:tcPr>
          <w:p w14:paraId="43B85283" w14:textId="77777777" w:rsidR="00881F42" w:rsidRPr="00F25CB7" w:rsidRDefault="00881F42" w:rsidP="00076DC7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B7">
              <w:rPr>
                <w:rFonts w:ascii="Times New Roman" w:hAnsi="Times New Roman"/>
                <w:sz w:val="24"/>
                <w:szCs w:val="24"/>
              </w:rPr>
              <w:t xml:space="preserve">Valsts budžeta finansējums, </w:t>
            </w:r>
            <w:r w:rsidRPr="00AB3929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2093" w:type="dxa"/>
            <w:vAlign w:val="center"/>
          </w:tcPr>
          <w:p w14:paraId="11424A87" w14:textId="77777777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34 020</w:t>
            </w:r>
          </w:p>
        </w:tc>
        <w:tc>
          <w:tcPr>
            <w:tcW w:w="2093" w:type="dxa"/>
            <w:vAlign w:val="center"/>
          </w:tcPr>
          <w:p w14:paraId="3731D5D7" w14:textId="77777777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1 040 797</w:t>
            </w:r>
          </w:p>
        </w:tc>
        <w:tc>
          <w:tcPr>
            <w:tcW w:w="2093" w:type="dxa"/>
            <w:vAlign w:val="center"/>
          </w:tcPr>
          <w:p w14:paraId="0DE566CF" w14:textId="77777777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75 445</w:t>
            </w:r>
          </w:p>
        </w:tc>
        <w:tc>
          <w:tcPr>
            <w:tcW w:w="2093" w:type="dxa"/>
            <w:vAlign w:val="center"/>
          </w:tcPr>
          <w:p w14:paraId="34A5D48A" w14:textId="77777777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  <w:vAlign w:val="center"/>
          </w:tcPr>
          <w:p w14:paraId="58D77498" w14:textId="77777777" w:rsidR="00881F42" w:rsidRPr="00F25CB7" w:rsidRDefault="00881F42" w:rsidP="00076DC7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1 150 262</w:t>
            </w:r>
          </w:p>
        </w:tc>
      </w:tr>
    </w:tbl>
    <w:p w14:paraId="5FF237D3" w14:textId="4BE44F54" w:rsidR="00881F42" w:rsidRDefault="00881F42" w:rsidP="00881F42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0C42C93" w14:textId="77777777" w:rsidR="00AC743A" w:rsidRDefault="00AC743A" w:rsidP="00881F42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05CD526" w14:textId="1B4F1493" w:rsidR="00D40962" w:rsidRPr="00F25CB7" w:rsidRDefault="002C23E8" w:rsidP="00C915AC">
      <w:pPr>
        <w:jc w:val="both"/>
        <w:rPr>
          <w:rFonts w:ascii="Times New Roman" w:hAnsi="Times New Roman"/>
          <w:sz w:val="24"/>
          <w:szCs w:val="24"/>
        </w:rPr>
      </w:pPr>
      <w:r w:rsidRPr="00F25CB7">
        <w:rPr>
          <w:rFonts w:ascii="Times New Roman" w:hAnsi="Times New Roman"/>
          <w:sz w:val="24"/>
          <w:szCs w:val="24"/>
        </w:rPr>
        <w:t>Labklājības ministrs</w:t>
      </w:r>
      <w:r w:rsidR="00911D8E" w:rsidRPr="00F25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25CB7">
        <w:rPr>
          <w:rFonts w:ascii="Times New Roman" w:hAnsi="Times New Roman"/>
          <w:sz w:val="24"/>
          <w:szCs w:val="24"/>
        </w:rPr>
        <w:t xml:space="preserve">G.Eglītis </w:t>
      </w:r>
    </w:p>
    <w:p w14:paraId="60E62582" w14:textId="77777777" w:rsidR="00911D8E" w:rsidRPr="00F25CB7" w:rsidRDefault="00911D8E" w:rsidP="007A15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6FB61E" w14:textId="77777777" w:rsidR="000F4524" w:rsidRPr="000F4524" w:rsidRDefault="000F4524" w:rsidP="000F4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524">
        <w:rPr>
          <w:rFonts w:ascii="Times New Roman" w:hAnsi="Times New Roman"/>
          <w:sz w:val="20"/>
          <w:szCs w:val="20"/>
        </w:rPr>
        <w:t>I.Mača, 67021595</w:t>
      </w:r>
    </w:p>
    <w:p w14:paraId="26AA7398" w14:textId="77777777" w:rsidR="000F4524" w:rsidRPr="000F4524" w:rsidRDefault="001950A4" w:rsidP="000F4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0F4524" w:rsidRPr="000F4524">
          <w:rPr>
            <w:rStyle w:val="Hyperlink"/>
            <w:rFonts w:ascii="Times New Roman" w:hAnsi="Times New Roman"/>
            <w:sz w:val="20"/>
            <w:szCs w:val="20"/>
          </w:rPr>
          <w:t>Ineta.Maca@lm.gov.lv</w:t>
        </w:r>
      </w:hyperlink>
    </w:p>
    <w:p w14:paraId="70082BBB" w14:textId="1127297F" w:rsidR="007A152C" w:rsidRPr="00F25CB7" w:rsidRDefault="007A152C" w:rsidP="000F452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7A152C" w:rsidRPr="00F25CB7" w:rsidSect="000F4524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1247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1B38" w14:textId="77777777" w:rsidR="006F5CED" w:rsidRDefault="006F5CED" w:rsidP="002725F1">
      <w:pPr>
        <w:spacing w:after="0" w:line="240" w:lineRule="auto"/>
      </w:pPr>
      <w:r>
        <w:separator/>
      </w:r>
    </w:p>
  </w:endnote>
  <w:endnote w:type="continuationSeparator" w:id="0">
    <w:p w14:paraId="07C4058B" w14:textId="77777777" w:rsidR="006F5CED" w:rsidRDefault="006F5CED" w:rsidP="002725F1">
      <w:pPr>
        <w:spacing w:after="0" w:line="240" w:lineRule="auto"/>
      </w:pPr>
      <w:r>
        <w:continuationSeparator/>
      </w:r>
    </w:p>
  </w:endnote>
  <w:endnote w:type="continuationNotice" w:id="1">
    <w:p w14:paraId="7D8CE868" w14:textId="77777777" w:rsidR="006F5CED" w:rsidRDefault="006F5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5C87" w14:textId="277B7BF6" w:rsidR="00C20A2D" w:rsidRPr="00911D8E" w:rsidRDefault="00C20A2D" w:rsidP="00C20A2D">
    <w:pPr>
      <w:pStyle w:val="Footer"/>
      <w:rPr>
        <w:rFonts w:ascii="Times New Roman" w:hAnsi="Times New Roman"/>
        <w:sz w:val="18"/>
        <w:szCs w:val="20"/>
      </w:rPr>
    </w:pPr>
    <w:r w:rsidRPr="00911D8E">
      <w:rPr>
        <w:rFonts w:ascii="Times New Roman" w:hAnsi="Times New Roman"/>
        <w:sz w:val="18"/>
        <w:szCs w:val="20"/>
      </w:rPr>
      <w:fldChar w:fldCharType="begin"/>
    </w:r>
    <w:r w:rsidRPr="00911D8E">
      <w:rPr>
        <w:rFonts w:ascii="Times New Roman" w:hAnsi="Times New Roman"/>
        <w:sz w:val="18"/>
        <w:szCs w:val="20"/>
      </w:rPr>
      <w:instrText xml:space="preserve"> FILENAME   \* MERGEFORMAT </w:instrText>
    </w:r>
    <w:r w:rsidRPr="00911D8E">
      <w:rPr>
        <w:rFonts w:ascii="Times New Roman" w:hAnsi="Times New Roman"/>
        <w:sz w:val="18"/>
        <w:szCs w:val="20"/>
      </w:rPr>
      <w:fldChar w:fldCharType="separate"/>
    </w:r>
    <w:r w:rsidR="001950A4">
      <w:rPr>
        <w:rFonts w:ascii="Times New Roman" w:hAnsi="Times New Roman"/>
        <w:noProof/>
        <w:sz w:val="18"/>
        <w:szCs w:val="20"/>
      </w:rPr>
      <w:t>LMZinop_270522_3124i_ANM</w:t>
    </w:r>
    <w:r w:rsidRPr="00911D8E">
      <w:rPr>
        <w:rFonts w:ascii="Times New Roman" w:hAnsi="Times New Roman"/>
        <w:sz w:val="18"/>
        <w:szCs w:val="20"/>
      </w:rPr>
      <w:fldChar w:fldCharType="end"/>
    </w:r>
  </w:p>
  <w:p w14:paraId="4D1CE9BA" w14:textId="2D91851C" w:rsidR="007024A8" w:rsidRPr="007024A8" w:rsidRDefault="007024A8" w:rsidP="007024A8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8C18" w14:textId="0043E3D6" w:rsidR="00AA6755" w:rsidRPr="004F0F09" w:rsidRDefault="00210E46">
    <w:pPr>
      <w:pStyle w:val="Footer"/>
      <w:rPr>
        <w:rFonts w:ascii="Times New Roman" w:hAnsi="Times New Roman"/>
        <w:sz w:val="20"/>
        <w:szCs w:val="20"/>
      </w:rPr>
    </w:pPr>
    <w:r w:rsidRPr="004F0F09">
      <w:rPr>
        <w:rFonts w:ascii="Times New Roman" w:hAnsi="Times New Roman"/>
        <w:sz w:val="20"/>
        <w:szCs w:val="20"/>
      </w:rPr>
      <w:fldChar w:fldCharType="begin"/>
    </w:r>
    <w:r w:rsidRPr="004F0F09">
      <w:rPr>
        <w:rFonts w:ascii="Times New Roman" w:hAnsi="Times New Roman"/>
        <w:sz w:val="20"/>
        <w:szCs w:val="20"/>
      </w:rPr>
      <w:instrText xml:space="preserve"> FILENAME   \* MERGEFORMAT </w:instrText>
    </w:r>
    <w:r w:rsidRPr="004F0F09">
      <w:rPr>
        <w:rFonts w:ascii="Times New Roman" w:hAnsi="Times New Roman"/>
        <w:sz w:val="20"/>
        <w:szCs w:val="20"/>
      </w:rPr>
      <w:fldChar w:fldCharType="separate"/>
    </w:r>
    <w:r w:rsidR="001950A4">
      <w:rPr>
        <w:rFonts w:ascii="Times New Roman" w:hAnsi="Times New Roman"/>
        <w:noProof/>
        <w:sz w:val="20"/>
        <w:szCs w:val="20"/>
      </w:rPr>
      <w:t>LMZinop_270522_3124i_ANM</w:t>
    </w:r>
    <w:r w:rsidRPr="004F0F09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FC6A" w14:textId="77777777" w:rsidR="006F5CED" w:rsidRDefault="006F5CED" w:rsidP="002725F1">
      <w:pPr>
        <w:spacing w:after="0" w:line="240" w:lineRule="auto"/>
      </w:pPr>
      <w:r>
        <w:separator/>
      </w:r>
    </w:p>
  </w:footnote>
  <w:footnote w:type="continuationSeparator" w:id="0">
    <w:p w14:paraId="5D2A6DF3" w14:textId="77777777" w:rsidR="006F5CED" w:rsidRDefault="006F5CED" w:rsidP="002725F1">
      <w:pPr>
        <w:spacing w:after="0" w:line="240" w:lineRule="auto"/>
      </w:pPr>
      <w:r>
        <w:continuationSeparator/>
      </w:r>
    </w:p>
  </w:footnote>
  <w:footnote w:type="continuationNotice" w:id="1">
    <w:p w14:paraId="1A641C37" w14:textId="77777777" w:rsidR="006F5CED" w:rsidRDefault="006F5CED">
      <w:pPr>
        <w:spacing w:after="0" w:line="240" w:lineRule="auto"/>
      </w:pPr>
    </w:p>
  </w:footnote>
  <w:footnote w:id="2">
    <w:p w14:paraId="4226D6C3" w14:textId="020A37EC" w:rsidR="001950A4" w:rsidRPr="00F22279" w:rsidRDefault="00F22279" w:rsidP="001950A4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F22279">
        <w:rPr>
          <w:rStyle w:val="FootnoteReference"/>
          <w:rFonts w:ascii="Times New Roman" w:hAnsi="Times New Roman"/>
        </w:rPr>
        <w:footnoteRef/>
      </w:r>
      <w:r w:rsidRPr="00F22279">
        <w:rPr>
          <w:rFonts w:ascii="Times New Roman" w:hAnsi="Times New Roman"/>
        </w:rPr>
        <w:t xml:space="preserve"> Ministru kabineta 2022. gada 26. aprīļa noteikumi Nr. 262 “Valsts un pašvaldību institūciju amatu katalogs, amatu klasifikācijas un amatu apraksta izstrādāšanas kārtība” (spēkā no 2022. gada 1.</w:t>
      </w:r>
      <w:r>
        <w:rPr>
          <w:rFonts w:ascii="Times New Roman" w:hAnsi="Times New Roman"/>
        </w:rPr>
        <w:t xml:space="preserve"> </w:t>
      </w:r>
      <w:r w:rsidRPr="00F22279">
        <w:rPr>
          <w:rFonts w:ascii="Times New Roman" w:hAnsi="Times New Roman"/>
        </w:rPr>
        <w:t xml:space="preserve">jūlija); pieejams: </w:t>
      </w:r>
      <w:hyperlink r:id="rId1" w:history="1">
        <w:r w:rsidRPr="000034DF">
          <w:rPr>
            <w:rStyle w:val="Hyperlink"/>
            <w:rFonts w:ascii="Times New Roman" w:hAnsi="Times New Roman"/>
          </w:rPr>
          <w:t>https://likumi.lv/ta/id/332122-valsts-un-pasvaldibu-instituciju-amatu-katalogs-amatu-klasifikacijas-un-amatu-apraksta-izstradasanas-kartiba</w:t>
        </w:r>
      </w:hyperlink>
    </w:p>
  </w:footnote>
  <w:footnote w:id="3">
    <w:p w14:paraId="48280482" w14:textId="683E5A69" w:rsidR="001950A4" w:rsidRPr="00C9267F" w:rsidRDefault="00F22279" w:rsidP="001950A4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C9267F">
        <w:rPr>
          <w:rStyle w:val="FootnoteReference"/>
          <w:rFonts w:ascii="Times New Roman" w:hAnsi="Times New Roman"/>
        </w:rPr>
        <w:footnoteRef/>
      </w:r>
      <w:r w:rsidRPr="00C9267F">
        <w:rPr>
          <w:rFonts w:ascii="Times New Roman" w:hAnsi="Times New Roman"/>
        </w:rPr>
        <w:t xml:space="preserve"> </w:t>
      </w:r>
      <w:r w:rsidR="00C9267F" w:rsidRPr="00C9267F">
        <w:rPr>
          <w:rFonts w:ascii="Times New Roman" w:hAnsi="Times New Roman"/>
        </w:rPr>
        <w:t xml:space="preserve">Ministru kabineta 2013. gada 29. janvāra noteikumi Nr.66 “Noteikumi par valsts un pašvaldību institūciju amatpersonu un darbinieku darba samaksu un tās noteikšanas kārtību”; pieejams: </w:t>
      </w:r>
      <w:hyperlink r:id="rId2" w:history="1">
        <w:r w:rsidR="001950A4" w:rsidRPr="000034DF">
          <w:rPr>
            <w:rStyle w:val="Hyperlink"/>
            <w:rFonts w:ascii="Times New Roman" w:hAnsi="Times New Roman"/>
          </w:rPr>
          <w:t>https://likumi.lv/ta/id/254560-noteikumi-par-valsts-un-pasvaldibu-instituciju-amatpersonu-un-darbinieku-darba-samaksu-un-tas-noteiksanas-kartibu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745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F6E167" w14:textId="7F972A1C" w:rsidR="004F0F09" w:rsidRDefault="004F0F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0A1723" w14:textId="77777777" w:rsidR="00F27CDB" w:rsidRDefault="00F27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594C" w14:textId="48048219" w:rsidR="007D3734" w:rsidRDefault="007D3734">
    <w:pPr>
      <w:pStyle w:val="Header"/>
      <w:jc w:val="center"/>
    </w:pPr>
  </w:p>
  <w:p w14:paraId="78A1EEBF" w14:textId="77777777" w:rsidR="00913397" w:rsidRDefault="00913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8C5"/>
    <w:multiLevelType w:val="multilevel"/>
    <w:tmpl w:val="0CEAB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77828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47B34"/>
    <w:multiLevelType w:val="hybridMultilevel"/>
    <w:tmpl w:val="B8121DE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D75371"/>
    <w:multiLevelType w:val="hybridMultilevel"/>
    <w:tmpl w:val="99B2D390"/>
    <w:lvl w:ilvl="0" w:tplc="CA84AB70">
      <w:start w:val="3"/>
      <w:numFmt w:val="bullet"/>
      <w:lvlText w:val="-"/>
      <w:lvlJc w:val="left"/>
      <w:pPr>
        <w:ind w:left="410" w:hanging="360"/>
      </w:pPr>
      <w:rPr>
        <w:rFonts w:ascii="Calibri" w:eastAsia="MS Mincho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38D7589D"/>
    <w:multiLevelType w:val="multilevel"/>
    <w:tmpl w:val="0CEAB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3C820880"/>
    <w:multiLevelType w:val="multilevel"/>
    <w:tmpl w:val="0CEAB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3FF012DA"/>
    <w:multiLevelType w:val="hybridMultilevel"/>
    <w:tmpl w:val="ED0EB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F2307"/>
    <w:multiLevelType w:val="multilevel"/>
    <w:tmpl w:val="0CEAB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8E65FD2"/>
    <w:multiLevelType w:val="hybridMultilevel"/>
    <w:tmpl w:val="6D829E7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13354D"/>
    <w:multiLevelType w:val="hybridMultilevel"/>
    <w:tmpl w:val="5A8AB922"/>
    <w:lvl w:ilvl="0" w:tplc="40C8890E">
      <w:start w:val="9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4D9A"/>
    <w:multiLevelType w:val="hybridMultilevel"/>
    <w:tmpl w:val="A4A6EDCC"/>
    <w:lvl w:ilvl="0" w:tplc="1AB62436"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AB242A"/>
    <w:multiLevelType w:val="multilevel"/>
    <w:tmpl w:val="0CEAB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7FFC2ED5"/>
    <w:multiLevelType w:val="hybridMultilevel"/>
    <w:tmpl w:val="E098B3E4"/>
    <w:lvl w:ilvl="0" w:tplc="CA84AB70">
      <w:start w:val="3"/>
      <w:numFmt w:val="bullet"/>
      <w:lvlText w:val="-"/>
      <w:lvlJc w:val="left"/>
      <w:pPr>
        <w:ind w:left="1647" w:hanging="360"/>
      </w:pPr>
      <w:rPr>
        <w:rFonts w:ascii="Calibri" w:eastAsia="MS Mincho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876966546">
    <w:abstractNumId w:val="2"/>
  </w:num>
  <w:num w:numId="2" w16cid:durableId="945624721">
    <w:abstractNumId w:val="4"/>
  </w:num>
  <w:num w:numId="3" w16cid:durableId="5058723">
    <w:abstractNumId w:val="1"/>
  </w:num>
  <w:num w:numId="4" w16cid:durableId="2114594919">
    <w:abstractNumId w:val="11"/>
  </w:num>
  <w:num w:numId="5" w16cid:durableId="638730318">
    <w:abstractNumId w:val="0"/>
  </w:num>
  <w:num w:numId="6" w16cid:durableId="1704018364">
    <w:abstractNumId w:val="5"/>
  </w:num>
  <w:num w:numId="7" w16cid:durableId="1581449296">
    <w:abstractNumId w:val="7"/>
  </w:num>
  <w:num w:numId="8" w16cid:durableId="1323043243">
    <w:abstractNumId w:val="8"/>
  </w:num>
  <w:num w:numId="9" w16cid:durableId="644821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0036626">
    <w:abstractNumId w:val="3"/>
  </w:num>
  <w:num w:numId="11" w16cid:durableId="1939024668">
    <w:abstractNumId w:val="12"/>
  </w:num>
  <w:num w:numId="12" w16cid:durableId="1678312636">
    <w:abstractNumId w:val="10"/>
  </w:num>
  <w:num w:numId="13" w16cid:durableId="923338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F1"/>
    <w:rsid w:val="00002222"/>
    <w:rsid w:val="000069EA"/>
    <w:rsid w:val="00013AAC"/>
    <w:rsid w:val="00021C81"/>
    <w:rsid w:val="00051407"/>
    <w:rsid w:val="00060FE8"/>
    <w:rsid w:val="00065E13"/>
    <w:rsid w:val="0007770F"/>
    <w:rsid w:val="000814CE"/>
    <w:rsid w:val="00086E69"/>
    <w:rsid w:val="000A7ECC"/>
    <w:rsid w:val="000B138F"/>
    <w:rsid w:val="000B3E25"/>
    <w:rsid w:val="000C57DF"/>
    <w:rsid w:val="000C66B1"/>
    <w:rsid w:val="000D72D7"/>
    <w:rsid w:val="000E14F6"/>
    <w:rsid w:val="000E3761"/>
    <w:rsid w:val="000E509C"/>
    <w:rsid w:val="000F0118"/>
    <w:rsid w:val="000F064D"/>
    <w:rsid w:val="000F4524"/>
    <w:rsid w:val="00100ECD"/>
    <w:rsid w:val="001015D5"/>
    <w:rsid w:val="001164B7"/>
    <w:rsid w:val="001365D9"/>
    <w:rsid w:val="001600D6"/>
    <w:rsid w:val="00164189"/>
    <w:rsid w:val="00180830"/>
    <w:rsid w:val="00186BE5"/>
    <w:rsid w:val="001950A4"/>
    <w:rsid w:val="001A0E44"/>
    <w:rsid w:val="001A1135"/>
    <w:rsid w:val="001A180E"/>
    <w:rsid w:val="001A27DF"/>
    <w:rsid w:val="001B14C9"/>
    <w:rsid w:val="001B7BEB"/>
    <w:rsid w:val="001C1482"/>
    <w:rsid w:val="001C1CC8"/>
    <w:rsid w:val="001C53BC"/>
    <w:rsid w:val="001D3EBB"/>
    <w:rsid w:val="001D4A56"/>
    <w:rsid w:val="001E1E49"/>
    <w:rsid w:val="001E3D4B"/>
    <w:rsid w:val="001E7EDF"/>
    <w:rsid w:val="001F2B38"/>
    <w:rsid w:val="00202520"/>
    <w:rsid w:val="00210E46"/>
    <w:rsid w:val="00223233"/>
    <w:rsid w:val="0023056A"/>
    <w:rsid w:val="00232B09"/>
    <w:rsid w:val="002448C6"/>
    <w:rsid w:val="00246530"/>
    <w:rsid w:val="002542F0"/>
    <w:rsid w:val="002725F1"/>
    <w:rsid w:val="002823C3"/>
    <w:rsid w:val="00292E3E"/>
    <w:rsid w:val="002937C9"/>
    <w:rsid w:val="00296257"/>
    <w:rsid w:val="002A6E87"/>
    <w:rsid w:val="002A715F"/>
    <w:rsid w:val="002B698E"/>
    <w:rsid w:val="002C19F8"/>
    <w:rsid w:val="002C1C2C"/>
    <w:rsid w:val="002C23E8"/>
    <w:rsid w:val="002F0A70"/>
    <w:rsid w:val="002F2C26"/>
    <w:rsid w:val="00304228"/>
    <w:rsid w:val="00310EB5"/>
    <w:rsid w:val="003178A4"/>
    <w:rsid w:val="00323A5F"/>
    <w:rsid w:val="00326B6E"/>
    <w:rsid w:val="00337CB4"/>
    <w:rsid w:val="0034163A"/>
    <w:rsid w:val="00351846"/>
    <w:rsid w:val="00367550"/>
    <w:rsid w:val="0037384E"/>
    <w:rsid w:val="00374938"/>
    <w:rsid w:val="00386CB3"/>
    <w:rsid w:val="00387524"/>
    <w:rsid w:val="003A1664"/>
    <w:rsid w:val="003D24BF"/>
    <w:rsid w:val="003D2935"/>
    <w:rsid w:val="003D3DBB"/>
    <w:rsid w:val="003D56DF"/>
    <w:rsid w:val="003E20CF"/>
    <w:rsid w:val="003E36F2"/>
    <w:rsid w:val="004024B8"/>
    <w:rsid w:val="00405206"/>
    <w:rsid w:val="0040779E"/>
    <w:rsid w:val="00413164"/>
    <w:rsid w:val="00413D5B"/>
    <w:rsid w:val="004142BE"/>
    <w:rsid w:val="00420C09"/>
    <w:rsid w:val="00424464"/>
    <w:rsid w:val="00443CCD"/>
    <w:rsid w:val="00445349"/>
    <w:rsid w:val="00445DD5"/>
    <w:rsid w:val="0045082D"/>
    <w:rsid w:val="00474AC3"/>
    <w:rsid w:val="00475036"/>
    <w:rsid w:val="004755FC"/>
    <w:rsid w:val="004775D5"/>
    <w:rsid w:val="00486ECA"/>
    <w:rsid w:val="004A7515"/>
    <w:rsid w:val="004B0AD6"/>
    <w:rsid w:val="004B2E19"/>
    <w:rsid w:val="004B5B82"/>
    <w:rsid w:val="004D1C74"/>
    <w:rsid w:val="004E06C1"/>
    <w:rsid w:val="004E2239"/>
    <w:rsid w:val="004E3975"/>
    <w:rsid w:val="004E46C8"/>
    <w:rsid w:val="004E5C22"/>
    <w:rsid w:val="004F0F09"/>
    <w:rsid w:val="00503AAA"/>
    <w:rsid w:val="005136AA"/>
    <w:rsid w:val="00514834"/>
    <w:rsid w:val="00515FEB"/>
    <w:rsid w:val="00526947"/>
    <w:rsid w:val="0053096D"/>
    <w:rsid w:val="00551C44"/>
    <w:rsid w:val="00553EB8"/>
    <w:rsid w:val="00557E09"/>
    <w:rsid w:val="00564B0F"/>
    <w:rsid w:val="0057091E"/>
    <w:rsid w:val="005719C5"/>
    <w:rsid w:val="0057493F"/>
    <w:rsid w:val="00581EA6"/>
    <w:rsid w:val="0058409B"/>
    <w:rsid w:val="00586678"/>
    <w:rsid w:val="00596CBA"/>
    <w:rsid w:val="00597233"/>
    <w:rsid w:val="005A3B90"/>
    <w:rsid w:val="005B221C"/>
    <w:rsid w:val="005B3FCE"/>
    <w:rsid w:val="005B77E0"/>
    <w:rsid w:val="005C298A"/>
    <w:rsid w:val="005D62BC"/>
    <w:rsid w:val="005E4AF2"/>
    <w:rsid w:val="005E71C5"/>
    <w:rsid w:val="005F7FF0"/>
    <w:rsid w:val="006059DE"/>
    <w:rsid w:val="00613105"/>
    <w:rsid w:val="0062161E"/>
    <w:rsid w:val="00623CA0"/>
    <w:rsid w:val="00633094"/>
    <w:rsid w:val="0064585E"/>
    <w:rsid w:val="006569BE"/>
    <w:rsid w:val="006708D1"/>
    <w:rsid w:val="00674E54"/>
    <w:rsid w:val="00675159"/>
    <w:rsid w:val="006A2765"/>
    <w:rsid w:val="006B1182"/>
    <w:rsid w:val="006B35CC"/>
    <w:rsid w:val="006B3E45"/>
    <w:rsid w:val="006C746F"/>
    <w:rsid w:val="006E11AD"/>
    <w:rsid w:val="006E37C1"/>
    <w:rsid w:val="006F5CED"/>
    <w:rsid w:val="007024A8"/>
    <w:rsid w:val="00703AFA"/>
    <w:rsid w:val="007202B8"/>
    <w:rsid w:val="00722492"/>
    <w:rsid w:val="00732E23"/>
    <w:rsid w:val="007373C0"/>
    <w:rsid w:val="00745554"/>
    <w:rsid w:val="0075617A"/>
    <w:rsid w:val="00772FF9"/>
    <w:rsid w:val="0077744F"/>
    <w:rsid w:val="00785FBC"/>
    <w:rsid w:val="00793E69"/>
    <w:rsid w:val="007A152C"/>
    <w:rsid w:val="007A248E"/>
    <w:rsid w:val="007A3481"/>
    <w:rsid w:val="007A37F3"/>
    <w:rsid w:val="007A5B64"/>
    <w:rsid w:val="007B0045"/>
    <w:rsid w:val="007B1096"/>
    <w:rsid w:val="007B352C"/>
    <w:rsid w:val="007B7A1A"/>
    <w:rsid w:val="007C188D"/>
    <w:rsid w:val="007D0F41"/>
    <w:rsid w:val="007D3734"/>
    <w:rsid w:val="007E5454"/>
    <w:rsid w:val="00800CE8"/>
    <w:rsid w:val="00803786"/>
    <w:rsid w:val="00803BB6"/>
    <w:rsid w:val="00804616"/>
    <w:rsid w:val="00807616"/>
    <w:rsid w:val="008129D4"/>
    <w:rsid w:val="00812D69"/>
    <w:rsid w:val="008208A0"/>
    <w:rsid w:val="008231E5"/>
    <w:rsid w:val="00836AB8"/>
    <w:rsid w:val="00844C8A"/>
    <w:rsid w:val="008478B1"/>
    <w:rsid w:val="00854C34"/>
    <w:rsid w:val="008634C6"/>
    <w:rsid w:val="00881F42"/>
    <w:rsid w:val="00890627"/>
    <w:rsid w:val="008B6543"/>
    <w:rsid w:val="008C0D19"/>
    <w:rsid w:val="008E254B"/>
    <w:rsid w:val="008F343A"/>
    <w:rsid w:val="008F5256"/>
    <w:rsid w:val="00911D8E"/>
    <w:rsid w:val="00913397"/>
    <w:rsid w:val="00913CF8"/>
    <w:rsid w:val="00932D24"/>
    <w:rsid w:val="00934526"/>
    <w:rsid w:val="009420C0"/>
    <w:rsid w:val="00945E30"/>
    <w:rsid w:val="00982C06"/>
    <w:rsid w:val="00984E63"/>
    <w:rsid w:val="0098662C"/>
    <w:rsid w:val="009A2582"/>
    <w:rsid w:val="009B4D9A"/>
    <w:rsid w:val="009C1CF9"/>
    <w:rsid w:val="009C27E7"/>
    <w:rsid w:val="009D3D58"/>
    <w:rsid w:val="009E129D"/>
    <w:rsid w:val="009E255D"/>
    <w:rsid w:val="009E3A48"/>
    <w:rsid w:val="009F2051"/>
    <w:rsid w:val="00A011E8"/>
    <w:rsid w:val="00A13148"/>
    <w:rsid w:val="00A21310"/>
    <w:rsid w:val="00A3401D"/>
    <w:rsid w:val="00A50248"/>
    <w:rsid w:val="00A6566E"/>
    <w:rsid w:val="00A77E56"/>
    <w:rsid w:val="00A85549"/>
    <w:rsid w:val="00A85717"/>
    <w:rsid w:val="00A8765E"/>
    <w:rsid w:val="00A87953"/>
    <w:rsid w:val="00A93772"/>
    <w:rsid w:val="00A950C4"/>
    <w:rsid w:val="00A960FB"/>
    <w:rsid w:val="00AA6755"/>
    <w:rsid w:val="00AB3929"/>
    <w:rsid w:val="00AB5D7A"/>
    <w:rsid w:val="00AC1688"/>
    <w:rsid w:val="00AC743A"/>
    <w:rsid w:val="00AD3AE4"/>
    <w:rsid w:val="00AD6513"/>
    <w:rsid w:val="00AD6665"/>
    <w:rsid w:val="00AE3002"/>
    <w:rsid w:val="00AF170B"/>
    <w:rsid w:val="00AF429F"/>
    <w:rsid w:val="00AF5952"/>
    <w:rsid w:val="00B07DED"/>
    <w:rsid w:val="00B17F61"/>
    <w:rsid w:val="00B24DA6"/>
    <w:rsid w:val="00B33E14"/>
    <w:rsid w:val="00B369EA"/>
    <w:rsid w:val="00B3740B"/>
    <w:rsid w:val="00B44CFC"/>
    <w:rsid w:val="00B467F3"/>
    <w:rsid w:val="00B53570"/>
    <w:rsid w:val="00B604F8"/>
    <w:rsid w:val="00B609E1"/>
    <w:rsid w:val="00B6260B"/>
    <w:rsid w:val="00B67505"/>
    <w:rsid w:val="00B73243"/>
    <w:rsid w:val="00B81215"/>
    <w:rsid w:val="00B85CA8"/>
    <w:rsid w:val="00B950E1"/>
    <w:rsid w:val="00BB3EC7"/>
    <w:rsid w:val="00BC3DA4"/>
    <w:rsid w:val="00BD76F8"/>
    <w:rsid w:val="00BE424F"/>
    <w:rsid w:val="00BF3DDD"/>
    <w:rsid w:val="00BF42A5"/>
    <w:rsid w:val="00BF6B64"/>
    <w:rsid w:val="00C153AF"/>
    <w:rsid w:val="00C154A0"/>
    <w:rsid w:val="00C15ABD"/>
    <w:rsid w:val="00C20A2D"/>
    <w:rsid w:val="00C21761"/>
    <w:rsid w:val="00C24294"/>
    <w:rsid w:val="00C2637C"/>
    <w:rsid w:val="00C31B75"/>
    <w:rsid w:val="00C378AC"/>
    <w:rsid w:val="00C420B9"/>
    <w:rsid w:val="00C458A1"/>
    <w:rsid w:val="00C4677C"/>
    <w:rsid w:val="00C470DE"/>
    <w:rsid w:val="00C506DE"/>
    <w:rsid w:val="00C514EB"/>
    <w:rsid w:val="00C56AB4"/>
    <w:rsid w:val="00C653AE"/>
    <w:rsid w:val="00C75735"/>
    <w:rsid w:val="00C758C0"/>
    <w:rsid w:val="00C77EFD"/>
    <w:rsid w:val="00C915AC"/>
    <w:rsid w:val="00C9267F"/>
    <w:rsid w:val="00C9307C"/>
    <w:rsid w:val="00C94C5C"/>
    <w:rsid w:val="00CB3985"/>
    <w:rsid w:val="00CE2D65"/>
    <w:rsid w:val="00CE7902"/>
    <w:rsid w:val="00CF2667"/>
    <w:rsid w:val="00CF52A7"/>
    <w:rsid w:val="00D0620E"/>
    <w:rsid w:val="00D34386"/>
    <w:rsid w:val="00D35490"/>
    <w:rsid w:val="00D40962"/>
    <w:rsid w:val="00D55445"/>
    <w:rsid w:val="00D57773"/>
    <w:rsid w:val="00D634A9"/>
    <w:rsid w:val="00DA1F17"/>
    <w:rsid w:val="00DA6878"/>
    <w:rsid w:val="00DB4A36"/>
    <w:rsid w:val="00DC120F"/>
    <w:rsid w:val="00DD1A2F"/>
    <w:rsid w:val="00DD1F66"/>
    <w:rsid w:val="00DE2BCD"/>
    <w:rsid w:val="00DE3EA6"/>
    <w:rsid w:val="00DF6E6F"/>
    <w:rsid w:val="00DF7188"/>
    <w:rsid w:val="00DF7797"/>
    <w:rsid w:val="00E0108D"/>
    <w:rsid w:val="00E04BD5"/>
    <w:rsid w:val="00E36617"/>
    <w:rsid w:val="00E40CD3"/>
    <w:rsid w:val="00E411EC"/>
    <w:rsid w:val="00E50CEB"/>
    <w:rsid w:val="00E51630"/>
    <w:rsid w:val="00E51F39"/>
    <w:rsid w:val="00E5302B"/>
    <w:rsid w:val="00E60065"/>
    <w:rsid w:val="00E604A4"/>
    <w:rsid w:val="00E65EE8"/>
    <w:rsid w:val="00E737B1"/>
    <w:rsid w:val="00E74020"/>
    <w:rsid w:val="00E818CF"/>
    <w:rsid w:val="00E94A67"/>
    <w:rsid w:val="00EC360C"/>
    <w:rsid w:val="00EC4B2E"/>
    <w:rsid w:val="00EC519D"/>
    <w:rsid w:val="00EE1CA2"/>
    <w:rsid w:val="00F00102"/>
    <w:rsid w:val="00F034C4"/>
    <w:rsid w:val="00F129BD"/>
    <w:rsid w:val="00F21698"/>
    <w:rsid w:val="00F22279"/>
    <w:rsid w:val="00F25241"/>
    <w:rsid w:val="00F25B34"/>
    <w:rsid w:val="00F25CB7"/>
    <w:rsid w:val="00F27CDB"/>
    <w:rsid w:val="00F325E8"/>
    <w:rsid w:val="00F47374"/>
    <w:rsid w:val="00F528D6"/>
    <w:rsid w:val="00F5491B"/>
    <w:rsid w:val="00F57938"/>
    <w:rsid w:val="00F6526A"/>
    <w:rsid w:val="00F66B94"/>
    <w:rsid w:val="00F67765"/>
    <w:rsid w:val="00F76471"/>
    <w:rsid w:val="00F77305"/>
    <w:rsid w:val="00F8461F"/>
    <w:rsid w:val="00F97546"/>
    <w:rsid w:val="00FA1A92"/>
    <w:rsid w:val="00FB0E75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C0BA36C"/>
  <w15:docId w15:val="{E6F4C420-8037-413F-89F6-CFFC605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F1"/>
    <w:pPr>
      <w:spacing w:after="200" w:line="276" w:lineRule="auto"/>
    </w:pPr>
    <w:rPr>
      <w:rFonts w:ascii="Calibri" w:eastAsia="MS Mincho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"/>
    <w:basedOn w:val="Normal"/>
    <w:link w:val="ListParagraphChar"/>
    <w:uiPriority w:val="34"/>
    <w:qFormat/>
    <w:rsid w:val="002725F1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2725F1"/>
    <w:rPr>
      <w:rFonts w:ascii="Calibri" w:eastAsia="MS Mincho" w:hAnsi="Calibri" w:cs="Times New Roman"/>
      <w:lang w:eastAsia="lv-LV"/>
    </w:rPr>
  </w:style>
  <w:style w:type="paragraph" w:styleId="FootnoteText">
    <w:name w:val="footnote text"/>
    <w:aliases w:val="Footnote,Fußnote,single space,ft Rakstz. Rakstz.,ft Rakstz.,ft,-E Fußnotentext,Fußnotentext Ursprung,Footnote Char,Fußnote Char,Vēres teksts Char Char Char Char Char,Char Char Char Char Char Char Char Char Char Char Char Char,f"/>
    <w:basedOn w:val="Normal"/>
    <w:link w:val="FootnoteTextChar1"/>
    <w:qFormat/>
    <w:rsid w:val="002725F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2725F1"/>
    <w:rPr>
      <w:rFonts w:ascii="Calibri" w:eastAsia="MS Mincho" w:hAnsi="Calibri" w:cs="Times New Roman"/>
      <w:sz w:val="20"/>
      <w:szCs w:val="20"/>
      <w:lang w:eastAsia="lv-LV"/>
    </w:rPr>
  </w:style>
  <w:style w:type="character" w:customStyle="1" w:styleId="FootnoteTextChar1">
    <w:name w:val="Footnote Text Char1"/>
    <w:aliases w:val="Footnote Char1,Fußnote Char1,single space Char,ft Rakstz. Rakstz. Char,ft Rakstz. Char,ft Char,-E Fußnotentext Char,Fußnotentext Ursprung Char,Footnote Char Char,Fußnote Char Char,Vēres teksts Char Char Char Char Char Char,f Char"/>
    <w:link w:val="FootnoteText"/>
    <w:locked/>
    <w:rsid w:val="002725F1"/>
    <w:rPr>
      <w:rFonts w:ascii="Calibri" w:eastAsia="Calibri" w:hAnsi="Calibri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link w:val="CharCharCharChar"/>
    <w:uiPriority w:val="99"/>
    <w:qFormat/>
    <w:rsid w:val="002725F1"/>
    <w:rPr>
      <w:rFonts w:cs="Times New Roman"/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2725F1"/>
    <w:pPr>
      <w:spacing w:after="160" w:line="240" w:lineRule="exact"/>
      <w:jc w:val="both"/>
    </w:pPr>
    <w:rPr>
      <w:rFonts w:asciiTheme="minorHAnsi" w:eastAsiaTheme="minorHAnsi" w:hAnsiTheme="minorHAnsi"/>
      <w:vertAlign w:val="superscript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3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97"/>
    <w:rPr>
      <w:rFonts w:ascii="Calibri" w:eastAsia="MS Mincho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13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97"/>
    <w:rPr>
      <w:rFonts w:ascii="Calibri" w:eastAsia="MS Mincho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2C"/>
    <w:rPr>
      <w:rFonts w:ascii="Tahoma" w:eastAsia="MS Mincho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85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A8"/>
    <w:rPr>
      <w:rFonts w:ascii="Calibri" w:eastAsia="MS Mincho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A8"/>
    <w:rPr>
      <w:rFonts w:ascii="Calibri" w:eastAsia="MS Mincho" w:hAnsi="Calibri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B69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9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4C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06DE"/>
    <w:pPr>
      <w:spacing w:after="0" w:line="240" w:lineRule="auto"/>
    </w:pPr>
    <w:rPr>
      <w:rFonts w:ascii="Calibri" w:eastAsia="MS Mincho" w:hAnsi="Calibri" w:cs="Times New Roman"/>
      <w:lang w:eastAsia="lv-LV"/>
    </w:rPr>
  </w:style>
  <w:style w:type="table" w:styleId="TableGrid">
    <w:name w:val="Table Grid"/>
    <w:basedOn w:val="TableNormal"/>
    <w:uiPriority w:val="39"/>
    <w:rsid w:val="00F2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Maca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254560-noteikumi-par-valsts-un-pasvaldibu-instituciju-amatpersonu-un-darbinieku-darba-samaksu-un-tas-noteiksanas-kartibu" TargetMode="External"/><Relationship Id="rId1" Type="http://schemas.openxmlformats.org/officeDocument/2006/relationships/hyperlink" Target="https://likumi.lv/ta/id/332122-valsts-un-pasvaldibu-instituciju-amatu-katalogs-amatu-klasifikacijas-un-amatu-apraksta-izstradasana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DB3D-CDDD-4259-BFE7-83661B35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4333</Words>
  <Characters>2470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Mača</dc:creator>
  <cp:lastModifiedBy>Ineta Mača</cp:lastModifiedBy>
  <cp:revision>3</cp:revision>
  <dcterms:created xsi:type="dcterms:W3CDTF">2022-05-27T06:48:00Z</dcterms:created>
  <dcterms:modified xsi:type="dcterms:W3CDTF">2022-05-27T06:51:00Z</dcterms:modified>
</cp:coreProperties>
</file>