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DF55" w14:textId="552C9411" w:rsidR="008D7A16" w:rsidRPr="004D0386" w:rsidRDefault="004D0386" w:rsidP="004D0386">
      <w:pPr>
        <w:spacing w:after="0" w:line="240" w:lineRule="auto"/>
        <w:jc w:val="right"/>
        <w:rPr>
          <w:rFonts w:ascii="Times New Roman" w:hAnsi="Times New Roman" w:cs="Times New Roman"/>
          <w:i/>
          <w:iCs/>
          <w:sz w:val="24"/>
          <w:szCs w:val="24"/>
        </w:rPr>
      </w:pPr>
      <w:r w:rsidRPr="004D0386">
        <w:rPr>
          <w:rFonts w:ascii="Times New Roman" w:hAnsi="Times New Roman" w:cs="Times New Roman"/>
          <w:i/>
          <w:iCs/>
          <w:sz w:val="24"/>
          <w:szCs w:val="24"/>
        </w:rPr>
        <w:t>1.pielikums</w:t>
      </w:r>
    </w:p>
    <w:p w14:paraId="37C37072" w14:textId="5FBDA878" w:rsidR="004D0386" w:rsidRPr="004D0386" w:rsidRDefault="004D0386" w:rsidP="004D0386">
      <w:pPr>
        <w:spacing w:after="0" w:line="240" w:lineRule="auto"/>
        <w:rPr>
          <w:rFonts w:ascii="Times New Roman" w:hAnsi="Times New Roman" w:cs="Times New Roman"/>
          <w:sz w:val="24"/>
          <w:szCs w:val="24"/>
        </w:rPr>
      </w:pPr>
    </w:p>
    <w:p w14:paraId="09F4E262" w14:textId="5EAED83E" w:rsidR="004D0386" w:rsidRPr="00DC15A4" w:rsidRDefault="00DC15A4" w:rsidP="00DC15A4">
      <w:pPr>
        <w:spacing w:after="0" w:line="240" w:lineRule="auto"/>
        <w:jc w:val="center"/>
        <w:rPr>
          <w:rFonts w:ascii="Times New Roman" w:hAnsi="Times New Roman" w:cs="Times New Roman"/>
          <w:b/>
          <w:bCs/>
          <w:sz w:val="26"/>
          <w:szCs w:val="26"/>
        </w:rPr>
      </w:pPr>
      <w:r w:rsidRPr="00DC15A4">
        <w:rPr>
          <w:rFonts w:ascii="Times New Roman" w:hAnsi="Times New Roman" w:cs="Times New Roman"/>
          <w:b/>
          <w:bCs/>
          <w:sz w:val="26"/>
          <w:szCs w:val="26"/>
        </w:rPr>
        <w:t>Centralizēta zaudējumu atlīdzināšana mehānisma ieviešanas analīze</w:t>
      </w:r>
    </w:p>
    <w:p w14:paraId="67B096C1" w14:textId="68736A24" w:rsidR="00DC15A4" w:rsidRDefault="00DC15A4" w:rsidP="004D0386">
      <w:pPr>
        <w:spacing w:after="0" w:line="240" w:lineRule="auto"/>
        <w:rPr>
          <w:rFonts w:ascii="Times New Roman" w:hAnsi="Times New Roman" w:cs="Times New Roman"/>
          <w:sz w:val="24"/>
          <w:szCs w:val="24"/>
        </w:rPr>
      </w:pPr>
    </w:p>
    <w:p w14:paraId="2EBBC723" w14:textId="29A44221" w:rsidR="00DC15A4" w:rsidRPr="00DC15A4" w:rsidRDefault="00DC15A4" w:rsidP="00DC15A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 I</w:t>
      </w:r>
      <w:r w:rsidRPr="00DC15A4">
        <w:rPr>
          <w:rFonts w:ascii="Times New Roman" w:hAnsi="Times New Roman" w:cs="Times New Roman"/>
          <w:b/>
          <w:bCs/>
          <w:sz w:val="24"/>
          <w:szCs w:val="24"/>
        </w:rPr>
        <w:t>eguvumi no centralizēta zaudējumu atlīdzināšanas procesa</w:t>
      </w:r>
    </w:p>
    <w:p w14:paraId="40DED353" w14:textId="5417BDA8" w:rsidR="00DC15A4" w:rsidRPr="00DC15A4" w:rsidRDefault="00DC15A4" w:rsidP="00DC15A4">
      <w:pPr>
        <w:spacing w:before="80" w:after="0" w:line="240" w:lineRule="auto"/>
        <w:ind w:firstLine="709"/>
        <w:jc w:val="both"/>
        <w:rPr>
          <w:rFonts w:ascii="Times New Roman" w:hAnsi="Times New Roman" w:cs="Times New Roman"/>
          <w:sz w:val="24"/>
          <w:szCs w:val="24"/>
        </w:rPr>
      </w:pPr>
      <w:r w:rsidRPr="00DC15A4">
        <w:rPr>
          <w:rFonts w:ascii="Times New Roman" w:hAnsi="Times New Roman" w:cs="Times New Roman"/>
          <w:sz w:val="24"/>
          <w:szCs w:val="24"/>
        </w:rPr>
        <w:t xml:space="preserve">Ieviešot centralizētu zaudējumu atlīdzināšanas procesu, </w:t>
      </w:r>
      <w:r w:rsidR="001F41D2" w:rsidRPr="001F41D2">
        <w:rPr>
          <w:rFonts w:ascii="Times New Roman" w:hAnsi="Times New Roman" w:cs="Times New Roman"/>
          <w:sz w:val="24"/>
          <w:szCs w:val="24"/>
        </w:rPr>
        <w:t>tiktu veicināta publisko personu aktīvāka iesaiste zaudējumu atlīdzināšanas procesā, jo process būtu centralizēts un visām publiskām personām saistošs</w:t>
      </w:r>
      <w:r w:rsidRPr="00DC15A4">
        <w:rPr>
          <w:rFonts w:ascii="Times New Roman" w:hAnsi="Times New Roman" w:cs="Times New Roman"/>
          <w:sz w:val="24"/>
          <w:szCs w:val="24"/>
        </w:rPr>
        <w:t>. Ilgtermiņā, iespējams, izveidotos arī stabila un vienveidīga tiesu prakse, kas varētu motivēt arī citas konkurences tiesību pārkāpuma rezultātā cietušās personas vērsties tiesā ar prasījumu par zaudējumu atlīdzināšanu. Paredzams, ka centralizētas zaudējumu atlīdzināšanas ieviešanas gadījumā arī sagatavotie dokumenti un interešu pārstāvība tiesā būtu kvalitatīvāka, jo tas ietilptu vienas konkrētas iestādes darbinieku amata pienākumos (vai to īstenotu kompetents ārpakalpojuma sniedzējs), kas īstenotu valsts (sabiedrības) interesi pēc iespējas efektīvāk atgūt valsts, pašvaldību un Eiropas Savienības budžeta līdzekļus, kuri izmantoti un pārmaksāti konkrētajā iepirkumā karteļa vienošanās pārkāpuma dēļ.</w:t>
      </w:r>
    </w:p>
    <w:p w14:paraId="3F5DED8C" w14:textId="77777777" w:rsidR="00DC15A4" w:rsidRPr="00DC15A4" w:rsidRDefault="00DC15A4" w:rsidP="00DC15A4">
      <w:pPr>
        <w:spacing w:before="80" w:after="0" w:line="240" w:lineRule="auto"/>
        <w:ind w:firstLine="709"/>
        <w:jc w:val="both"/>
        <w:rPr>
          <w:rFonts w:ascii="Times New Roman" w:hAnsi="Times New Roman" w:cs="Times New Roman"/>
          <w:sz w:val="24"/>
          <w:szCs w:val="24"/>
        </w:rPr>
      </w:pPr>
      <w:r w:rsidRPr="00DC15A4">
        <w:rPr>
          <w:rFonts w:ascii="Times New Roman" w:hAnsi="Times New Roman" w:cs="Times New Roman"/>
          <w:sz w:val="24"/>
          <w:szCs w:val="24"/>
        </w:rPr>
        <w:t xml:space="preserve">Kā ieguvumu no šī procesa var minēt arī caurspīdīgumu, ja to īstenotu iestāde (vai ārpakalpojuma sniedzējs), kas nav rīkojis konkrēto iepirkumu, tādējādi nodrošinot lielāku procesa neitralitāti, lemjot par to, vai piedzīt zaudējumus konkrētā gadījumā ir pamatoti, un izvērtējot citus ar tiesvedības un piedziņas procesu saistītus apsvērumus. </w:t>
      </w:r>
    </w:p>
    <w:p w14:paraId="116ED7E6" w14:textId="77777777" w:rsidR="00DC15A4" w:rsidRPr="00DC15A4" w:rsidRDefault="00DC15A4" w:rsidP="00DC15A4">
      <w:pPr>
        <w:spacing w:before="80" w:after="0" w:line="240" w:lineRule="auto"/>
        <w:ind w:firstLine="709"/>
        <w:jc w:val="both"/>
        <w:rPr>
          <w:rFonts w:ascii="Times New Roman" w:hAnsi="Times New Roman" w:cs="Times New Roman"/>
          <w:sz w:val="24"/>
          <w:szCs w:val="24"/>
        </w:rPr>
      </w:pPr>
      <w:r w:rsidRPr="00DC15A4">
        <w:rPr>
          <w:rFonts w:ascii="Times New Roman" w:hAnsi="Times New Roman" w:cs="Times New Roman"/>
          <w:sz w:val="24"/>
          <w:szCs w:val="24"/>
        </w:rPr>
        <w:t xml:space="preserve">Turklāt cietušie var būt arī vairāki publiskie pasūtītāji, tādējādi centralizētas zaudējumu ieviešanas gadījumā tiesā varētu vērsties ar vienu prasību visu cietušo vietā un vārdā, nesadrumstalojot un </w:t>
      </w:r>
      <w:proofErr w:type="spellStart"/>
      <w:r w:rsidRPr="00DC15A4">
        <w:rPr>
          <w:rFonts w:ascii="Times New Roman" w:hAnsi="Times New Roman" w:cs="Times New Roman"/>
          <w:sz w:val="24"/>
          <w:szCs w:val="24"/>
        </w:rPr>
        <w:t>efektivizējot</w:t>
      </w:r>
      <w:proofErr w:type="spellEnd"/>
      <w:r w:rsidRPr="00DC15A4">
        <w:rPr>
          <w:rFonts w:ascii="Times New Roman" w:hAnsi="Times New Roman" w:cs="Times New Roman"/>
          <w:sz w:val="24"/>
          <w:szCs w:val="24"/>
        </w:rPr>
        <w:t xml:space="preserve"> procesu. </w:t>
      </w:r>
    </w:p>
    <w:p w14:paraId="645D4355" w14:textId="77777777" w:rsidR="00DC15A4" w:rsidRPr="00DC15A4" w:rsidRDefault="00DC15A4" w:rsidP="00DC15A4">
      <w:pPr>
        <w:spacing w:before="80" w:after="0" w:line="240" w:lineRule="auto"/>
        <w:ind w:firstLine="709"/>
        <w:jc w:val="both"/>
        <w:rPr>
          <w:rFonts w:ascii="Times New Roman" w:hAnsi="Times New Roman" w:cs="Times New Roman"/>
          <w:sz w:val="24"/>
          <w:szCs w:val="24"/>
        </w:rPr>
      </w:pPr>
      <w:r w:rsidRPr="00DC15A4">
        <w:rPr>
          <w:rFonts w:ascii="Times New Roman" w:hAnsi="Times New Roman" w:cs="Times New Roman"/>
          <w:sz w:val="24"/>
          <w:szCs w:val="24"/>
        </w:rPr>
        <w:t>Tāpat centralizēta zaudējumu atlīdzināšana attiektos arī uz gadījumiem, kad Eiropas Komisija vai cita konkurences iestāde ir konstatējusi karteļa vienošanās pārkāpumu, kas skar publiskos pasūtītājus Latvijā.</w:t>
      </w:r>
    </w:p>
    <w:p w14:paraId="68ECF73B" w14:textId="77777777" w:rsidR="00DC15A4" w:rsidRPr="00DC15A4" w:rsidRDefault="00DC15A4" w:rsidP="00DC15A4">
      <w:pPr>
        <w:spacing w:before="80" w:after="0" w:line="240" w:lineRule="auto"/>
        <w:ind w:firstLine="709"/>
        <w:jc w:val="both"/>
        <w:rPr>
          <w:rFonts w:ascii="Times New Roman" w:hAnsi="Times New Roman" w:cs="Times New Roman"/>
          <w:sz w:val="24"/>
          <w:szCs w:val="24"/>
        </w:rPr>
      </w:pPr>
      <w:r w:rsidRPr="00DC15A4">
        <w:rPr>
          <w:rFonts w:ascii="Times New Roman" w:hAnsi="Times New Roman" w:cs="Times New Roman"/>
          <w:sz w:val="24"/>
          <w:szCs w:val="24"/>
        </w:rPr>
        <w:t>Būtiski uzsvērt, ka, piešķirot kādai iestādei (vai ārpakalpojuma sniedzējam) kompetenci noteiktos gadījumos iestāties valsts vai pašvaldību iestāžu vai publisko personu kapitālsabiedrību vietā un veikt zaudējumu piedziņu (vai šādu prasību regulāru īstenošanu, piesaistot ārpakalpojuma sniedzēju), tas kalpotu kā preventīvs rīks, lai šādi zaudējumi vispār nerastos, atturot tirgus dalībniekus no iesaistes karteļa vienošanās, ja papildus atbildībai par šādu pārkāpumu pastāvētu nevis abstrakts, bet reāli iespējams risks, ka tiem vajadzēs atlīdzināt publiskajam pasūtītājam nodarītos zaudējumus. Arī EST ir atzinusi, ka prasības par zaudējumu atlīdzināšanu valsts tiesās var dot būtisku ieguldījumu efektīvas konkurences nodrošināšanā Kopienā</w:t>
      </w:r>
      <w:r w:rsidRPr="00DC15A4">
        <w:rPr>
          <w:rFonts w:ascii="Times New Roman" w:hAnsi="Times New Roman" w:cs="Times New Roman"/>
          <w:sz w:val="24"/>
          <w:szCs w:val="24"/>
          <w:vertAlign w:val="superscript"/>
        </w:rPr>
        <w:footnoteReference w:id="1"/>
      </w:r>
      <w:r w:rsidRPr="00DC15A4">
        <w:rPr>
          <w:rFonts w:ascii="Times New Roman" w:hAnsi="Times New Roman" w:cs="Times New Roman"/>
          <w:sz w:val="24"/>
          <w:szCs w:val="24"/>
        </w:rPr>
        <w:t>.</w:t>
      </w:r>
    </w:p>
    <w:p w14:paraId="6BD5D94F" w14:textId="65D58D17" w:rsidR="00DC15A4" w:rsidRPr="00DC15A4" w:rsidRDefault="00DC15A4" w:rsidP="00DC15A4">
      <w:pPr>
        <w:spacing w:before="80" w:after="0" w:line="240" w:lineRule="auto"/>
        <w:ind w:firstLine="709"/>
        <w:jc w:val="both"/>
        <w:rPr>
          <w:rFonts w:ascii="Times New Roman" w:hAnsi="Times New Roman" w:cs="Times New Roman"/>
          <w:sz w:val="24"/>
          <w:szCs w:val="24"/>
        </w:rPr>
      </w:pPr>
      <w:r w:rsidRPr="00DC15A4">
        <w:rPr>
          <w:rFonts w:ascii="Times New Roman" w:hAnsi="Times New Roman" w:cs="Times New Roman"/>
          <w:sz w:val="24"/>
          <w:szCs w:val="24"/>
        </w:rPr>
        <w:t>Bez ievērības nevar atstāt arī apstākli, ka, vēršoties ar prasību tiesā par karteļa vienošanās pārkāpuma rezultātā publiskajam pasūtītājam nodarītajiem zaudējumiem, tiktu nodrošināta iespēja atgūt valsts, pašvaldību un Eiropas Savienības budžeta līdzekļus. Publiskā iepirkuma regulējuma galvenais mērķis ir nodrošināt valsts un pašvaldību līdzekļu efektīvu izmantošanu</w:t>
      </w:r>
      <w:r w:rsidRPr="00DC15A4">
        <w:rPr>
          <w:rFonts w:ascii="Times New Roman" w:hAnsi="Times New Roman" w:cs="Times New Roman"/>
          <w:sz w:val="24"/>
          <w:szCs w:val="24"/>
          <w:vertAlign w:val="superscript"/>
        </w:rPr>
        <w:footnoteReference w:id="2"/>
      </w:r>
      <w:r w:rsidRPr="00DC15A4">
        <w:rPr>
          <w:rFonts w:ascii="Times New Roman" w:hAnsi="Times New Roman" w:cs="Times New Roman"/>
          <w:sz w:val="24"/>
          <w:szCs w:val="24"/>
        </w:rPr>
        <w:t xml:space="preserve"> un ietaupīt publiskā budžeta līdzekļus</w:t>
      </w:r>
      <w:r w:rsidRPr="00DC15A4">
        <w:rPr>
          <w:rFonts w:ascii="Times New Roman" w:hAnsi="Times New Roman" w:cs="Times New Roman"/>
          <w:sz w:val="24"/>
          <w:szCs w:val="24"/>
          <w:vertAlign w:val="superscript"/>
        </w:rPr>
        <w:footnoteReference w:id="3"/>
      </w:r>
      <w:r w:rsidRPr="00DC15A4">
        <w:rPr>
          <w:rFonts w:ascii="Times New Roman" w:hAnsi="Times New Roman" w:cs="Times New Roman"/>
          <w:sz w:val="24"/>
          <w:szCs w:val="24"/>
        </w:rPr>
        <w:t xml:space="preserve">, līdz ar to ir tikai atbalstāma un sagaidāma publisko pasūtītāju aktīva rīcība, lai konkurences tiesību pārkāpuma rezultātā </w:t>
      </w:r>
      <w:r w:rsidRPr="00DC15A4">
        <w:rPr>
          <w:rFonts w:ascii="Times New Roman" w:hAnsi="Times New Roman" w:cs="Times New Roman"/>
          <w:sz w:val="24"/>
          <w:szCs w:val="24"/>
        </w:rPr>
        <w:lastRenderedPageBreak/>
        <w:t>pārmaksātos valsts, pašvaldības vai Eiropas Savienības budžeta līdzekļus atgūtu, kas šī ziņojuma 1. sadaļā minēto iemeslu dēļ praksē diemžēl darīts netiek.</w:t>
      </w:r>
    </w:p>
    <w:p w14:paraId="13412F42" w14:textId="46BEB3AB" w:rsidR="00DC15A4" w:rsidRDefault="00DC15A4" w:rsidP="004D0386">
      <w:pPr>
        <w:spacing w:after="0" w:line="240" w:lineRule="auto"/>
        <w:rPr>
          <w:rFonts w:ascii="Times New Roman" w:hAnsi="Times New Roman" w:cs="Times New Roman"/>
          <w:sz w:val="24"/>
          <w:szCs w:val="24"/>
        </w:rPr>
      </w:pPr>
    </w:p>
    <w:p w14:paraId="65197C0B" w14:textId="6C2CE415" w:rsidR="005F1519" w:rsidRPr="00DC15A4" w:rsidRDefault="005F1519" w:rsidP="005F151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Prasījumu un lietu apvienošana</w:t>
      </w:r>
    </w:p>
    <w:p w14:paraId="40529485" w14:textId="77777777" w:rsidR="005F1519" w:rsidRPr="005F1519" w:rsidRDefault="005F1519" w:rsidP="005F1519">
      <w:pPr>
        <w:spacing w:before="80" w:after="0" w:line="240" w:lineRule="auto"/>
        <w:ind w:firstLine="709"/>
        <w:jc w:val="both"/>
        <w:rPr>
          <w:rFonts w:ascii="Times New Roman" w:hAnsi="Times New Roman" w:cs="Times New Roman"/>
          <w:sz w:val="24"/>
          <w:szCs w:val="24"/>
        </w:rPr>
      </w:pPr>
      <w:r w:rsidRPr="005F1519">
        <w:rPr>
          <w:rFonts w:ascii="Times New Roman" w:hAnsi="Times New Roman" w:cs="Times New Roman"/>
          <w:sz w:val="24"/>
          <w:szCs w:val="24"/>
        </w:rPr>
        <w:t>CPL 250.</w:t>
      </w:r>
      <w:r w:rsidRPr="005F1519">
        <w:rPr>
          <w:rFonts w:ascii="Times New Roman" w:hAnsi="Times New Roman" w:cs="Times New Roman"/>
          <w:sz w:val="24"/>
          <w:szCs w:val="24"/>
          <w:vertAlign w:val="superscript"/>
        </w:rPr>
        <w:t>65 </w:t>
      </w:r>
      <w:r w:rsidRPr="005F1519">
        <w:rPr>
          <w:rFonts w:ascii="Times New Roman" w:hAnsi="Times New Roman" w:cs="Times New Roman"/>
          <w:sz w:val="24"/>
          <w:szCs w:val="24"/>
        </w:rPr>
        <w:t>panta pirmā daļa nosaka, ka lietas par zaudējumu atlīdzināšanu par konkurences tiesību pārkāpumiem izskata Ekonomisko lietu tiesa prasības kārtībā pēc vispārējiem noteikumiem, ievērojot šajā nodaļā paredzētos izņēmumus. Tādējādi uz prasībām par zaudējumu atlīdzību sakarā ar konkurences tiesību pārkāpumu ir attiecināms vispārējais regulējums, ciktāl CPL 30.</w:t>
      </w:r>
      <w:r w:rsidRPr="005F1519">
        <w:rPr>
          <w:rFonts w:ascii="Times New Roman" w:hAnsi="Times New Roman" w:cs="Times New Roman"/>
          <w:sz w:val="24"/>
          <w:szCs w:val="24"/>
          <w:vertAlign w:val="superscript"/>
        </w:rPr>
        <w:t>6 </w:t>
      </w:r>
      <w:r w:rsidRPr="005F1519">
        <w:rPr>
          <w:rFonts w:ascii="Times New Roman" w:hAnsi="Times New Roman" w:cs="Times New Roman"/>
          <w:sz w:val="24"/>
          <w:szCs w:val="24"/>
        </w:rPr>
        <w:t xml:space="preserve">nodaļa neparedz citādi. </w:t>
      </w:r>
    </w:p>
    <w:p w14:paraId="3B1879CC" w14:textId="77777777" w:rsidR="005F1519" w:rsidRPr="005F1519" w:rsidRDefault="005F1519" w:rsidP="005F1519">
      <w:pPr>
        <w:spacing w:before="80" w:after="0" w:line="240" w:lineRule="auto"/>
        <w:ind w:firstLine="709"/>
        <w:jc w:val="both"/>
        <w:rPr>
          <w:rFonts w:ascii="Times New Roman" w:hAnsi="Times New Roman" w:cs="Times New Roman"/>
          <w:sz w:val="24"/>
          <w:szCs w:val="24"/>
        </w:rPr>
      </w:pPr>
      <w:r w:rsidRPr="005F1519">
        <w:rPr>
          <w:rFonts w:ascii="Times New Roman" w:hAnsi="Times New Roman" w:cs="Times New Roman"/>
          <w:sz w:val="24"/>
          <w:szCs w:val="24"/>
        </w:rPr>
        <w:t>CPL vispārējais regulējums, konkrēti CPL 134. panta pirmā daļa paredz, ka prasītājs ir tiesīgs apvienot vienā prasības pieteikumā vairākus savstarpēji saistītus prasījumus. Vienojošais elements lietas ātrākai un efektīvākai izskatīšanai šādā situācijā varētu būt viens konkurences tiesību pārkāpums, kura rezultātā cietuši vairāki publiskie pasūtītāji, kuru vārdā un interesēs centralizēti tiek celta prasība, un/vai ir vairāki pārkāpēji. Vienlaikus netiek izslēgta iespēja, ka, izvērtējot katras konkrētās situācijas faktiskos un juridiskos apsvērumus, tiek konstatēts, ka nav pamata un lietderīgi apvienot prasījumus vienā prasības pieteikumā. Lemjot, vai ir pamats apvienot vairākus prasījumus vienā prasības pieteikumā, būtiska ir savstarpējās saiknes esamība, kā arī ņemams vērā, piemēram, solidārās atbildības aspekts; subjekti (t.sk. to skaits), pret ko vēršama prasība u.c. ar prasību saistīti aspekti, kas katrā konkrētā gadījumā var atšķirties. Secīgi var atšķirties arī novērtējums, vai ir pamats apvienot vienā prasības pieteikumā vairākus prasījumus.</w:t>
      </w:r>
    </w:p>
    <w:p w14:paraId="35056BE4" w14:textId="77777777" w:rsidR="005F1519" w:rsidRPr="005F1519" w:rsidRDefault="005F1519" w:rsidP="005F1519">
      <w:pPr>
        <w:spacing w:before="80" w:after="0" w:line="240" w:lineRule="auto"/>
        <w:ind w:firstLine="709"/>
        <w:jc w:val="both"/>
        <w:rPr>
          <w:rFonts w:ascii="Times New Roman" w:hAnsi="Times New Roman" w:cs="Times New Roman"/>
          <w:sz w:val="24"/>
          <w:szCs w:val="24"/>
        </w:rPr>
      </w:pPr>
      <w:r w:rsidRPr="005F1519">
        <w:rPr>
          <w:rFonts w:ascii="Times New Roman" w:hAnsi="Times New Roman" w:cs="Times New Roman"/>
          <w:sz w:val="24"/>
          <w:szCs w:val="24"/>
        </w:rPr>
        <w:t>Vienlaikus CPL 134. panta otrā daļa paredz, ka, ja tiesas tiesvedībā atrodas vairākas vienveidīgas lietas, kurās piedalās vienas un tās pašas puses, vai arī lietas, kurās viens prasītājs ceļ tiesā prasību pret vairākiem atbildētājiem vai vairāki prasītāji – pret vienu un to pašu atbildētāju, tiesa ir tiesīga apvienot šīs lietas vienā tiesvedībā, ja šāda apvienošana sekmēs lietu ātrāku un pareizāku izskatīšanu. Tādējādi arī tiesa, novērtējot apstākļus, var lemt par lietu apvienošanu. Savukārt CPL 135. pants reglamentē prasījumu un civillietu sadalīšanu, ja tas ir lietderīgi vai arī ja izskatīšana vienā tiesvedībā kļuvusi apgrūtināta vai neiespējama.</w:t>
      </w:r>
    </w:p>
    <w:p w14:paraId="2C08C912" w14:textId="77777777" w:rsidR="005F1519" w:rsidRPr="005F1519" w:rsidRDefault="005F1519" w:rsidP="005F1519">
      <w:pPr>
        <w:spacing w:before="80" w:after="0" w:line="240" w:lineRule="auto"/>
        <w:ind w:firstLine="709"/>
        <w:jc w:val="both"/>
        <w:rPr>
          <w:rFonts w:ascii="Times New Roman" w:hAnsi="Times New Roman" w:cs="Times New Roman"/>
          <w:sz w:val="24"/>
          <w:szCs w:val="24"/>
        </w:rPr>
      </w:pPr>
      <w:r w:rsidRPr="005F1519">
        <w:rPr>
          <w:rFonts w:ascii="Times New Roman" w:hAnsi="Times New Roman" w:cs="Times New Roman"/>
          <w:sz w:val="24"/>
          <w:szCs w:val="24"/>
        </w:rPr>
        <w:t xml:space="preserve">Tomēr Latvijas Zvērinātu advokātu kolēģijas pārstāvis 16.12.2021. tikšanās ar KP un EM laikā pauda šaubas, ka šādu kategoriju lietas būtu iespējams apvienot, ņemot vērā, ka būtu vairāki iepirkumi, dažādas iepirkumu priekšmetu vērtības un līdz ar to zaudējumu atlīdzības vērtība, vairāki atbildētāji. </w:t>
      </w:r>
    </w:p>
    <w:p w14:paraId="681676B4" w14:textId="77777777" w:rsidR="005F1519" w:rsidRPr="005F1519" w:rsidRDefault="005F1519" w:rsidP="005F1519">
      <w:pPr>
        <w:spacing w:before="80" w:after="0" w:line="240" w:lineRule="auto"/>
        <w:ind w:firstLine="709"/>
        <w:jc w:val="both"/>
        <w:rPr>
          <w:rFonts w:ascii="Times New Roman" w:hAnsi="Times New Roman" w:cs="Times New Roman"/>
          <w:sz w:val="24"/>
          <w:szCs w:val="24"/>
        </w:rPr>
      </w:pPr>
      <w:r w:rsidRPr="005F1519">
        <w:rPr>
          <w:rFonts w:ascii="Times New Roman" w:hAnsi="Times New Roman" w:cs="Times New Roman"/>
          <w:sz w:val="24"/>
          <w:szCs w:val="24"/>
        </w:rPr>
        <w:t>Vienlaikus arī tiesai, nolemjot sadalīt atsevišķās civillietās zaudējumu prasības tādēļ, ka tie ir dažādi iepirkumi, ar atšķirīgu karteļu dalībnieku sastāvu vai citu iemeslu dēļ, neskatoties uz to, ka kartelis ir konstatēts vienā KP lēmumā, centralizācija tomēr sniegtu ieguvumus metodoloģiski vienotas pieejas un resursu ekonomijas dēļ.</w:t>
      </w:r>
    </w:p>
    <w:p w14:paraId="1CFF85E8" w14:textId="11C0E682" w:rsidR="00DC15A4" w:rsidRDefault="00DC15A4" w:rsidP="004D0386">
      <w:pPr>
        <w:spacing w:after="0" w:line="240" w:lineRule="auto"/>
        <w:rPr>
          <w:rFonts w:ascii="Times New Roman" w:hAnsi="Times New Roman" w:cs="Times New Roman"/>
          <w:sz w:val="24"/>
          <w:szCs w:val="24"/>
        </w:rPr>
      </w:pPr>
    </w:p>
    <w:p w14:paraId="11EA57B5" w14:textId="6178651B" w:rsidR="005F1519" w:rsidRPr="00DC15A4" w:rsidRDefault="005F1519" w:rsidP="005F151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 C</w:t>
      </w:r>
      <w:r w:rsidRPr="005F1519">
        <w:rPr>
          <w:rFonts w:ascii="Times New Roman" w:hAnsi="Times New Roman" w:cs="Times New Roman"/>
          <w:b/>
          <w:bCs/>
          <w:sz w:val="24"/>
          <w:szCs w:val="24"/>
        </w:rPr>
        <w:t>entralizēta valsts interešu pārstāvība citās jomās (nozarēs) Latvijā</w:t>
      </w:r>
    </w:p>
    <w:p w14:paraId="10908EC6" w14:textId="7DE53F76" w:rsidR="005F1519" w:rsidRPr="005F1519" w:rsidRDefault="005F1519" w:rsidP="005F1519">
      <w:pPr>
        <w:spacing w:before="8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5F1519">
        <w:rPr>
          <w:rFonts w:ascii="Times New Roman" w:hAnsi="Times New Roman" w:cs="Times New Roman"/>
          <w:sz w:val="24"/>
          <w:szCs w:val="24"/>
        </w:rPr>
        <w:t>nformatīvā ziņojuma 2. nodaļā</w:t>
      </w:r>
      <w:r>
        <w:rPr>
          <w:rFonts w:ascii="Times New Roman" w:hAnsi="Times New Roman" w:cs="Times New Roman"/>
          <w:sz w:val="24"/>
          <w:szCs w:val="24"/>
        </w:rPr>
        <w:t xml:space="preserve"> jau norādīts</w:t>
      </w:r>
      <w:r w:rsidRPr="005F1519">
        <w:rPr>
          <w:rFonts w:ascii="Times New Roman" w:hAnsi="Times New Roman" w:cs="Times New Roman"/>
          <w:sz w:val="24"/>
          <w:szCs w:val="24"/>
        </w:rPr>
        <w:t>, k</w:t>
      </w:r>
      <w:r>
        <w:rPr>
          <w:rFonts w:ascii="Times New Roman" w:hAnsi="Times New Roman" w:cs="Times New Roman"/>
          <w:sz w:val="24"/>
          <w:szCs w:val="24"/>
        </w:rPr>
        <w:t>a</w:t>
      </w:r>
      <w:r w:rsidRPr="005F1519">
        <w:rPr>
          <w:rFonts w:ascii="Times New Roman" w:hAnsi="Times New Roman" w:cs="Times New Roman"/>
          <w:sz w:val="24"/>
          <w:szCs w:val="24"/>
        </w:rPr>
        <w:t xml:space="preserve"> viens no iespējamiem </w:t>
      </w:r>
      <w:proofErr w:type="spellStart"/>
      <w:r w:rsidRPr="005F1519">
        <w:rPr>
          <w:rFonts w:ascii="Times New Roman" w:hAnsi="Times New Roman" w:cs="Times New Roman"/>
          <w:sz w:val="24"/>
          <w:szCs w:val="24"/>
        </w:rPr>
        <w:t>problēmjautājuma</w:t>
      </w:r>
      <w:proofErr w:type="spellEnd"/>
      <w:r w:rsidRPr="005F1519">
        <w:rPr>
          <w:rFonts w:ascii="Times New Roman" w:hAnsi="Times New Roman" w:cs="Times New Roman"/>
          <w:sz w:val="24"/>
          <w:szCs w:val="24"/>
        </w:rPr>
        <w:t xml:space="preserve"> risinājumiem varētu būt kompetences piešķiršana vienai valsts iestādei centralizēti vērsties ar zaudējumu atlīdzināšanas prasību tiesā (vai šādu prasību centralizēta vešana, piesaistot ārpakalpojuma sniedzēju), kas nozīmētu, ka šī iestāde (vai ārpakalpojuma sniedzējs) šajā jautājumā pārstāvētu valsti plašākā nozīmē, pilnveidojot valsts pārstāvības funkcijas praksi, un īstenotu valsts (sabiedrības) interesi pēc iespējas efektīvāk atgūt karteļa vienošanās pārkāpuma rezultātā pārmaksātos valsts, pašvaldību un Eiropas Savienības budžeta līdzekļus.</w:t>
      </w:r>
    </w:p>
    <w:p w14:paraId="14C1FCC0" w14:textId="77777777" w:rsidR="005F1519" w:rsidRPr="005F1519" w:rsidRDefault="005F1519" w:rsidP="005F1519">
      <w:pPr>
        <w:spacing w:before="80" w:after="0" w:line="240" w:lineRule="auto"/>
        <w:ind w:firstLine="720"/>
        <w:jc w:val="both"/>
        <w:rPr>
          <w:rFonts w:ascii="Times New Roman" w:hAnsi="Times New Roman" w:cs="Times New Roman"/>
          <w:sz w:val="24"/>
          <w:szCs w:val="24"/>
        </w:rPr>
      </w:pPr>
      <w:r w:rsidRPr="005F1519">
        <w:rPr>
          <w:rFonts w:ascii="Times New Roman" w:hAnsi="Times New Roman" w:cs="Times New Roman"/>
          <w:sz w:val="24"/>
          <w:szCs w:val="24"/>
        </w:rPr>
        <w:t xml:space="preserve">Jau šobrīd Latvijā valsts interešu pārstāvības funkcija atsevišķos jautājumos ir centralizēta. Piemēram, kopš 17.11.2015. Valsts kanceleja (turpmāk – VK) nodrošina Latvijas </w:t>
      </w:r>
      <w:r w:rsidRPr="005F1519">
        <w:rPr>
          <w:rFonts w:ascii="Times New Roman" w:hAnsi="Times New Roman" w:cs="Times New Roman"/>
          <w:sz w:val="24"/>
          <w:szCs w:val="24"/>
        </w:rPr>
        <w:lastRenderedPageBreak/>
        <w:t>Republikas pārstāvību starptautiskajos investīciju (ieguldījumu) strīdos</w:t>
      </w:r>
      <w:r w:rsidRPr="005F1519">
        <w:rPr>
          <w:rStyle w:val="FootnoteReference"/>
          <w:rFonts w:ascii="Times New Roman" w:hAnsi="Times New Roman" w:cs="Times New Roman"/>
          <w:sz w:val="24"/>
          <w:szCs w:val="24"/>
        </w:rPr>
        <w:footnoteReference w:id="4"/>
      </w:r>
      <w:r w:rsidRPr="005F1519">
        <w:rPr>
          <w:rFonts w:ascii="Times New Roman" w:hAnsi="Times New Roman" w:cs="Times New Roman"/>
          <w:sz w:val="24"/>
          <w:szCs w:val="24"/>
        </w:rPr>
        <w:t xml:space="preserve"> sadarbībā ar strīdā iesaistītajām institūcijām, citām atbildīgajām institūcijām, kuru kompetencē ir jautājumi, kas saistīti ar konkrēto strīdu, kā arī piesaistot ārējos ekspertus, ja tas nepieciešams pārstāvības nodrošināšanai</w:t>
      </w:r>
      <w:r w:rsidRPr="005F1519">
        <w:rPr>
          <w:rStyle w:val="FootnoteReference"/>
          <w:rFonts w:ascii="Times New Roman" w:hAnsi="Times New Roman" w:cs="Times New Roman"/>
          <w:sz w:val="24"/>
          <w:szCs w:val="24"/>
        </w:rPr>
        <w:footnoteReference w:id="5"/>
      </w:r>
      <w:r w:rsidRPr="005F1519">
        <w:rPr>
          <w:rFonts w:ascii="Times New Roman" w:hAnsi="Times New Roman" w:cs="Times New Roman"/>
          <w:sz w:val="24"/>
          <w:szCs w:val="24"/>
        </w:rPr>
        <w:t xml:space="preserve">. Starptautiskie ieguldījumu nolīgumi tradicionāli paredz finansiālu zaudējumu atlīdzināšanu kā pieejamo atlīdzinājumu, ko šķīrējtiesa var piespriest, ja tā ir konstatējusi pārkāpumu </w:t>
      </w:r>
      <w:proofErr w:type="spellStart"/>
      <w:r w:rsidRPr="005F1519">
        <w:rPr>
          <w:rFonts w:ascii="Times New Roman" w:hAnsi="Times New Roman" w:cs="Times New Roman"/>
          <w:sz w:val="24"/>
          <w:szCs w:val="24"/>
        </w:rPr>
        <w:t>uzņēmējvalsts</w:t>
      </w:r>
      <w:proofErr w:type="spellEnd"/>
      <w:r w:rsidRPr="005F1519">
        <w:rPr>
          <w:rFonts w:ascii="Times New Roman" w:hAnsi="Times New Roman" w:cs="Times New Roman"/>
          <w:sz w:val="24"/>
          <w:szCs w:val="24"/>
        </w:rPr>
        <w:t xml:space="preserve"> saistībās pret ārvalstu ieguldītāju.</w:t>
      </w:r>
    </w:p>
    <w:p w14:paraId="710A1BC7" w14:textId="77777777" w:rsidR="005F1519" w:rsidRPr="005F1519" w:rsidRDefault="005F1519" w:rsidP="005F1519">
      <w:pPr>
        <w:spacing w:before="80" w:after="0" w:line="240" w:lineRule="auto"/>
        <w:ind w:firstLine="720"/>
        <w:jc w:val="both"/>
        <w:rPr>
          <w:rFonts w:ascii="Times New Roman" w:hAnsi="Times New Roman" w:cs="Times New Roman"/>
          <w:sz w:val="24"/>
          <w:szCs w:val="24"/>
        </w:rPr>
      </w:pPr>
      <w:r w:rsidRPr="005F1519">
        <w:rPr>
          <w:rFonts w:ascii="Times New Roman" w:hAnsi="Times New Roman" w:cs="Times New Roman"/>
          <w:sz w:val="24"/>
          <w:szCs w:val="24"/>
        </w:rPr>
        <w:t>Savukārt Valsts kontrolei no 01.08.2019. noteiktās tiesības ļauj piedzīt valsts vai pašvaldības budžetam nodarītos zaudējumus no revidējamā vienībā nodarbinātas personas, kuras nelikumīgas rīcības dēļ tie radušies, ja pati persona zaudējumu labprātīgi neatlīdzina un ja arī revidējamā vienība vai tās augstākā iestāde nerīkojas, lai zaudējumus atgūtu. Minētais attiecas uz Valsts kontroles revīzijā konstatētu nelikumīgu rīcību un tādu revidējamo vienību, kas ir publiska persona, tās institūcija vai publiskas personas kontrolēta kapitālsabiedrība</w:t>
      </w:r>
      <w:r w:rsidRPr="005F1519">
        <w:rPr>
          <w:rStyle w:val="FootnoteReference"/>
          <w:rFonts w:ascii="Times New Roman" w:hAnsi="Times New Roman" w:cs="Times New Roman"/>
          <w:sz w:val="24"/>
          <w:szCs w:val="24"/>
        </w:rPr>
        <w:footnoteReference w:id="6"/>
      </w:r>
      <w:r w:rsidRPr="005F1519">
        <w:rPr>
          <w:rFonts w:ascii="Times New Roman" w:hAnsi="Times New Roman" w:cs="Times New Roman"/>
          <w:sz w:val="24"/>
          <w:szCs w:val="24"/>
        </w:rPr>
        <w:t xml:space="preserve">. </w:t>
      </w:r>
    </w:p>
    <w:p w14:paraId="2BD88CD1" w14:textId="77777777" w:rsidR="005F1519" w:rsidRPr="005F1519" w:rsidRDefault="005F1519" w:rsidP="005F1519">
      <w:pPr>
        <w:spacing w:before="80" w:after="0" w:line="240" w:lineRule="auto"/>
        <w:ind w:firstLine="720"/>
        <w:jc w:val="both"/>
        <w:rPr>
          <w:rFonts w:ascii="Times New Roman" w:hAnsi="Times New Roman" w:cs="Times New Roman"/>
          <w:sz w:val="24"/>
          <w:szCs w:val="24"/>
        </w:rPr>
      </w:pPr>
      <w:r w:rsidRPr="005F1519">
        <w:rPr>
          <w:rFonts w:ascii="Times New Roman" w:hAnsi="Times New Roman" w:cs="Times New Roman"/>
          <w:sz w:val="24"/>
          <w:szCs w:val="24"/>
        </w:rPr>
        <w:t>Arī starptautiskajās cilvēktiesību institūcijās Latvijas interešu pārstāvību īsteno Ministru kabineta pilnvarots pārstāvis pēc ārlietu ministra ieteikuma, kas saskaņots ar tieslietu ministru</w:t>
      </w:r>
      <w:r w:rsidRPr="005F1519">
        <w:rPr>
          <w:rStyle w:val="FootnoteReference"/>
          <w:rFonts w:ascii="Times New Roman" w:hAnsi="Times New Roman" w:cs="Times New Roman"/>
          <w:sz w:val="24"/>
          <w:szCs w:val="24"/>
        </w:rPr>
        <w:footnoteReference w:id="7"/>
      </w:r>
      <w:r w:rsidRPr="005F1519">
        <w:rPr>
          <w:rFonts w:ascii="Times New Roman" w:hAnsi="Times New Roman" w:cs="Times New Roman"/>
          <w:sz w:val="24"/>
          <w:szCs w:val="24"/>
        </w:rPr>
        <w:t>. Savukārt Tieslietu ministrijas (turpmāk – TM) kompetencē, lai nodrošinātu kvalitatīvu Latvijas Republikas nostāju (viedokli) un rakstveida apsvērumu sagatavošanu lietās, ietilpst nodrošināt Latvijas Republikas pārstāvību EST un Eiropas Brīvās tirdzniecības asociācijas tiesā izskatāmajās lietās</w:t>
      </w:r>
      <w:r w:rsidRPr="005F1519">
        <w:rPr>
          <w:rStyle w:val="FootnoteReference"/>
          <w:rFonts w:ascii="Times New Roman" w:hAnsi="Times New Roman" w:cs="Times New Roman"/>
          <w:sz w:val="24"/>
          <w:szCs w:val="24"/>
        </w:rPr>
        <w:footnoteReference w:id="8"/>
      </w:r>
      <w:r w:rsidRPr="005F1519">
        <w:rPr>
          <w:rFonts w:ascii="Times New Roman" w:hAnsi="Times New Roman" w:cs="Times New Roman"/>
          <w:sz w:val="24"/>
          <w:szCs w:val="24"/>
        </w:rPr>
        <w:t>.</w:t>
      </w:r>
    </w:p>
    <w:p w14:paraId="2D9EFA94" w14:textId="77777777" w:rsidR="005F1519" w:rsidRPr="005F1519" w:rsidRDefault="005F1519" w:rsidP="005F1519">
      <w:pPr>
        <w:spacing w:before="80" w:after="0" w:line="240" w:lineRule="auto"/>
        <w:ind w:firstLine="720"/>
        <w:jc w:val="both"/>
        <w:rPr>
          <w:rFonts w:ascii="Times New Roman" w:hAnsi="Times New Roman" w:cs="Times New Roman"/>
          <w:sz w:val="24"/>
          <w:szCs w:val="24"/>
        </w:rPr>
      </w:pPr>
      <w:r w:rsidRPr="005F1519">
        <w:rPr>
          <w:rFonts w:ascii="Times New Roman" w:hAnsi="Times New Roman" w:cs="Times New Roman"/>
          <w:sz w:val="24"/>
          <w:szCs w:val="24"/>
        </w:rPr>
        <w:t>Savukārt Eiropas Savienības fondu jomā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125. pantu par darbības programmu pārvaldību saskaņā ar pareizas finanšu pārvaldības principu ir atbildīga vadošā iestāde. Savukārt saskaņā ar minētās regulas 123. panta 6. punktu dalībvalsts var izvēlēties vienu vai vairākas starpniekinstitūcijas konkrētu vadošās iestādes uzdevumu veikšanai un minētās iestādes atbildību. Eiropas Savienības struktūrfondu un Kohēzijas fonda 2014.–2020. gada plānošanas perioda vadības likuma 10. pantā ir noteikts, ka vadošās iestādes funkcijas pilda Finanšu ministrija (turpmāk – FM). FM kā vadošā iestāde pamatā atbild par Eiropas Savienības fondu efektīvu ieviešanu, plānošanas dokumentu izstrādi, izvērtēšanas pasākumu ieviešanu, krāpšanas un korupcijas apkarošanas stratēģijas izstrādi. Pienākumi, kas ir saistīti ar projektu iesniegumu atlasi, ar līgumu un vienošanos par projektu īstenošanu slēgšanu un projektu īstenošanas uzraudzību, tai skaitā neatbilstoši veikto izdevumu atgūšanu, ir deleģēti starpniekinstitūcijai – sadarbības iestādei, kuras funkcijas pilda Centrālā finanšu un līgumu aģentūra (turpmāk – CFLA)</w:t>
      </w:r>
      <w:r w:rsidRPr="005F1519">
        <w:rPr>
          <w:rStyle w:val="FootnoteReference"/>
          <w:rFonts w:ascii="Times New Roman" w:hAnsi="Times New Roman" w:cs="Times New Roman"/>
          <w:sz w:val="24"/>
          <w:szCs w:val="24"/>
        </w:rPr>
        <w:footnoteReference w:id="9"/>
      </w:r>
      <w:r w:rsidRPr="005F1519">
        <w:rPr>
          <w:rFonts w:ascii="Times New Roman" w:hAnsi="Times New Roman" w:cs="Times New Roman"/>
          <w:sz w:val="24"/>
          <w:szCs w:val="24"/>
        </w:rPr>
        <w:t>.</w:t>
      </w:r>
    </w:p>
    <w:p w14:paraId="3057B8CF" w14:textId="77777777" w:rsidR="00DC15A4" w:rsidRDefault="00DC15A4" w:rsidP="004D0386">
      <w:pPr>
        <w:spacing w:after="0" w:line="240" w:lineRule="auto"/>
        <w:rPr>
          <w:rFonts w:ascii="Times New Roman" w:hAnsi="Times New Roman" w:cs="Times New Roman"/>
          <w:sz w:val="24"/>
          <w:szCs w:val="24"/>
        </w:rPr>
      </w:pPr>
    </w:p>
    <w:p w14:paraId="07F393A5" w14:textId="3EBB2BD0" w:rsidR="004E45AD" w:rsidRPr="004E45AD" w:rsidRDefault="005F1519" w:rsidP="004E45A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4. </w:t>
      </w:r>
      <w:r w:rsidR="004E45AD">
        <w:rPr>
          <w:rFonts w:ascii="Times New Roman" w:hAnsi="Times New Roman" w:cs="Times New Roman"/>
          <w:b/>
          <w:bCs/>
          <w:sz w:val="24"/>
          <w:szCs w:val="24"/>
        </w:rPr>
        <w:t>C</w:t>
      </w:r>
      <w:r w:rsidR="004E45AD" w:rsidRPr="004E45AD">
        <w:rPr>
          <w:rFonts w:ascii="Times New Roman" w:hAnsi="Times New Roman" w:cs="Times New Roman"/>
          <w:b/>
          <w:bCs/>
          <w:sz w:val="24"/>
          <w:szCs w:val="24"/>
        </w:rPr>
        <w:t>itu valstu normatīvais regulējums un prakse zaudējumu atlīdzināšanā</w:t>
      </w:r>
    </w:p>
    <w:p w14:paraId="1FC3CD02" w14:textId="7BF153E2" w:rsidR="004E45AD" w:rsidRPr="004E45AD" w:rsidRDefault="004E45AD" w:rsidP="004E45AD">
      <w:pPr>
        <w:spacing w:before="8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4E45AD">
        <w:rPr>
          <w:rFonts w:ascii="Times New Roman" w:hAnsi="Times New Roman" w:cs="Times New Roman"/>
          <w:sz w:val="24"/>
          <w:szCs w:val="24"/>
        </w:rPr>
        <w:t>amatojoties uz Zaudējumu atlīdzināšanas direktīvas 12. pantu, Latvijas un citu Eiropas Savienības dalībvalstu nacionālajās tiesībās tika ieviests atvieglots regulējums, kas paredz, ka jebkurš, kas cietis no konkurences tiesību pārkāpuma, var prasīt zaudējumu, kas tam radušies šī pārkāpuma sakarā, atlīdzību</w:t>
      </w:r>
      <w:r w:rsidRPr="004E45AD">
        <w:rPr>
          <w:rFonts w:ascii="Times New Roman" w:hAnsi="Times New Roman" w:cs="Times New Roman"/>
          <w:sz w:val="24"/>
          <w:szCs w:val="24"/>
          <w:vertAlign w:val="superscript"/>
        </w:rPr>
        <w:footnoteReference w:id="10"/>
      </w:r>
      <w:r w:rsidRPr="004E45AD">
        <w:rPr>
          <w:rFonts w:ascii="Times New Roman" w:hAnsi="Times New Roman" w:cs="Times New Roman"/>
          <w:sz w:val="24"/>
          <w:szCs w:val="24"/>
        </w:rPr>
        <w:t>. Tomēr</w:t>
      </w:r>
      <w:r>
        <w:rPr>
          <w:rFonts w:ascii="Times New Roman" w:hAnsi="Times New Roman" w:cs="Times New Roman"/>
          <w:sz w:val="24"/>
          <w:szCs w:val="24"/>
        </w:rPr>
        <w:t xml:space="preserve"> </w:t>
      </w:r>
      <w:r w:rsidRPr="004E45AD">
        <w:rPr>
          <w:rFonts w:ascii="Times New Roman" w:hAnsi="Times New Roman" w:cs="Times New Roman"/>
          <w:sz w:val="24"/>
          <w:szCs w:val="24"/>
        </w:rPr>
        <w:t xml:space="preserve">vairākās citās valstīs ir izveidoti arī juridiski mehānismi, ar kuriem pat patērētājiem ir dota iespēja efektīvi atgūt tiem nodarītos zaudējumus konkurences tiesību pārkāpuma rezultātā. Šādus tiesību institūtus klasiski sauc par </w:t>
      </w:r>
      <w:proofErr w:type="spellStart"/>
      <w:r w:rsidRPr="004E45AD">
        <w:rPr>
          <w:rFonts w:ascii="Times New Roman" w:hAnsi="Times New Roman" w:cs="Times New Roman"/>
          <w:i/>
          <w:iCs/>
          <w:sz w:val="24"/>
          <w:szCs w:val="24"/>
        </w:rPr>
        <w:t>Collective</w:t>
      </w:r>
      <w:proofErr w:type="spellEnd"/>
      <w:r w:rsidRPr="004E45AD">
        <w:rPr>
          <w:rFonts w:ascii="Times New Roman" w:hAnsi="Times New Roman" w:cs="Times New Roman"/>
          <w:i/>
          <w:iCs/>
          <w:sz w:val="24"/>
          <w:szCs w:val="24"/>
        </w:rPr>
        <w:t xml:space="preserve"> </w:t>
      </w:r>
      <w:proofErr w:type="spellStart"/>
      <w:r w:rsidRPr="004E45AD">
        <w:rPr>
          <w:rFonts w:ascii="Times New Roman" w:hAnsi="Times New Roman" w:cs="Times New Roman"/>
          <w:i/>
          <w:iCs/>
          <w:sz w:val="24"/>
          <w:szCs w:val="24"/>
        </w:rPr>
        <w:t>Redress</w:t>
      </w:r>
      <w:proofErr w:type="spellEnd"/>
      <w:r w:rsidRPr="004E45AD">
        <w:rPr>
          <w:rFonts w:ascii="Times New Roman" w:hAnsi="Times New Roman" w:cs="Times New Roman"/>
          <w:i/>
          <w:iCs/>
          <w:sz w:val="24"/>
          <w:szCs w:val="24"/>
        </w:rPr>
        <w:t xml:space="preserve"> </w:t>
      </w:r>
      <w:r w:rsidRPr="004E45AD">
        <w:rPr>
          <w:rFonts w:ascii="Times New Roman" w:hAnsi="Times New Roman" w:cs="Times New Roman"/>
          <w:sz w:val="24"/>
          <w:szCs w:val="24"/>
        </w:rPr>
        <w:t>jeb kolektīvo atlīdzību prasībām</w:t>
      </w:r>
      <w:r w:rsidRPr="004E45AD">
        <w:rPr>
          <w:rFonts w:ascii="Times New Roman" w:hAnsi="Times New Roman" w:cs="Times New Roman"/>
          <w:sz w:val="24"/>
          <w:szCs w:val="24"/>
          <w:vertAlign w:val="superscript"/>
        </w:rPr>
        <w:footnoteReference w:id="11"/>
      </w:r>
      <w:r w:rsidRPr="004E45AD">
        <w:rPr>
          <w:rFonts w:ascii="Times New Roman" w:hAnsi="Times New Roman" w:cs="Times New Roman"/>
          <w:sz w:val="24"/>
          <w:szCs w:val="24"/>
        </w:rPr>
        <w:t>. Kolektīvo atlīdzību institūts ir regulēts šādu valstu likumos:</w:t>
      </w:r>
    </w:p>
    <w:p w14:paraId="359C7B73"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Amerikas Savienoto Valstu Civilprocesa Federālajā likumā</w:t>
      </w:r>
      <w:r w:rsidRPr="004E45AD">
        <w:rPr>
          <w:rFonts w:ascii="Times New Roman" w:hAnsi="Times New Roman" w:cs="Times New Roman"/>
          <w:sz w:val="24"/>
          <w:szCs w:val="24"/>
          <w:vertAlign w:val="superscript"/>
        </w:rPr>
        <w:footnoteReference w:id="12"/>
      </w:r>
      <w:r w:rsidRPr="004E45AD">
        <w:rPr>
          <w:rFonts w:ascii="Times New Roman" w:hAnsi="Times New Roman" w:cs="Times New Roman"/>
          <w:sz w:val="24"/>
          <w:szCs w:val="24"/>
        </w:rPr>
        <w:t>,</w:t>
      </w:r>
    </w:p>
    <w:p w14:paraId="4F38CDAF"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Zviedrijas Grupu procesuālajā likumā</w:t>
      </w:r>
      <w:r w:rsidRPr="004E45AD">
        <w:rPr>
          <w:rFonts w:ascii="Times New Roman" w:hAnsi="Times New Roman" w:cs="Times New Roman"/>
          <w:sz w:val="24"/>
          <w:szCs w:val="24"/>
          <w:vertAlign w:val="superscript"/>
        </w:rPr>
        <w:footnoteReference w:id="13"/>
      </w:r>
      <w:r w:rsidRPr="004E45AD">
        <w:rPr>
          <w:rFonts w:ascii="Times New Roman" w:hAnsi="Times New Roman" w:cs="Times New Roman"/>
          <w:sz w:val="24"/>
          <w:szCs w:val="24"/>
        </w:rPr>
        <w:t xml:space="preserve">, </w:t>
      </w:r>
    </w:p>
    <w:p w14:paraId="5137836C"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Somijas Likumā “Par kolektīvajām prasībām”</w:t>
      </w:r>
      <w:r w:rsidRPr="004E45AD">
        <w:rPr>
          <w:rFonts w:ascii="Times New Roman" w:hAnsi="Times New Roman" w:cs="Times New Roman"/>
          <w:sz w:val="24"/>
          <w:szCs w:val="24"/>
          <w:vertAlign w:val="superscript"/>
        </w:rPr>
        <w:footnoteReference w:id="14"/>
      </w:r>
      <w:r w:rsidRPr="004E45AD">
        <w:rPr>
          <w:rFonts w:ascii="Times New Roman" w:hAnsi="Times New Roman" w:cs="Times New Roman"/>
          <w:sz w:val="24"/>
          <w:szCs w:val="24"/>
        </w:rPr>
        <w:t>,</w:t>
      </w:r>
    </w:p>
    <w:p w14:paraId="59B99FB3"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Dānijas Tiesu administrācijas likumā</w:t>
      </w:r>
      <w:r w:rsidRPr="004E45AD">
        <w:rPr>
          <w:rFonts w:ascii="Times New Roman" w:hAnsi="Times New Roman" w:cs="Times New Roman"/>
          <w:sz w:val="24"/>
          <w:szCs w:val="24"/>
          <w:vertAlign w:val="superscript"/>
        </w:rPr>
        <w:footnoteReference w:id="15"/>
      </w:r>
      <w:r w:rsidRPr="004E45AD">
        <w:rPr>
          <w:rFonts w:ascii="Times New Roman" w:hAnsi="Times New Roman" w:cs="Times New Roman"/>
          <w:sz w:val="24"/>
          <w:szCs w:val="24"/>
        </w:rPr>
        <w:t xml:space="preserve">, </w:t>
      </w:r>
    </w:p>
    <w:p w14:paraId="41306B39"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 xml:space="preserve">Norvēģijas Likumā “Par </w:t>
      </w:r>
      <w:proofErr w:type="spellStart"/>
      <w:r w:rsidRPr="004E45AD">
        <w:rPr>
          <w:rFonts w:ascii="Times New Roman" w:hAnsi="Times New Roman" w:cs="Times New Roman"/>
          <w:sz w:val="24"/>
          <w:szCs w:val="24"/>
        </w:rPr>
        <w:t>mediāciju</w:t>
      </w:r>
      <w:proofErr w:type="spellEnd"/>
      <w:r w:rsidRPr="004E45AD">
        <w:rPr>
          <w:rFonts w:ascii="Times New Roman" w:hAnsi="Times New Roman" w:cs="Times New Roman"/>
          <w:sz w:val="24"/>
          <w:szCs w:val="24"/>
        </w:rPr>
        <w:t xml:space="preserve"> un civilstrīdu procesu”</w:t>
      </w:r>
      <w:r w:rsidRPr="004E45AD">
        <w:rPr>
          <w:rFonts w:ascii="Times New Roman" w:hAnsi="Times New Roman" w:cs="Times New Roman"/>
          <w:sz w:val="24"/>
          <w:szCs w:val="24"/>
          <w:vertAlign w:val="superscript"/>
        </w:rPr>
        <w:footnoteReference w:id="16"/>
      </w:r>
      <w:r w:rsidRPr="004E45AD">
        <w:rPr>
          <w:rFonts w:ascii="Times New Roman" w:hAnsi="Times New Roman" w:cs="Times New Roman"/>
          <w:sz w:val="24"/>
          <w:szCs w:val="24"/>
        </w:rPr>
        <w:t>,</w:t>
      </w:r>
    </w:p>
    <w:p w14:paraId="798E3156"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Itālijas Kolektīvo prasību likumā</w:t>
      </w:r>
      <w:r w:rsidRPr="004E45AD">
        <w:rPr>
          <w:rFonts w:ascii="Times New Roman" w:hAnsi="Times New Roman" w:cs="Times New Roman"/>
          <w:sz w:val="24"/>
          <w:szCs w:val="24"/>
          <w:vertAlign w:val="superscript"/>
        </w:rPr>
        <w:footnoteReference w:id="17"/>
      </w:r>
      <w:r w:rsidRPr="004E45AD">
        <w:rPr>
          <w:rFonts w:ascii="Times New Roman" w:hAnsi="Times New Roman" w:cs="Times New Roman"/>
          <w:sz w:val="24"/>
          <w:szCs w:val="24"/>
        </w:rPr>
        <w:t>,</w:t>
      </w:r>
    </w:p>
    <w:p w14:paraId="5F07A2F5"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Polijas Likumā “Par prasību celšanu grupu procesā”</w:t>
      </w:r>
      <w:r w:rsidRPr="004E45AD">
        <w:rPr>
          <w:rFonts w:ascii="Times New Roman" w:hAnsi="Times New Roman" w:cs="Times New Roman"/>
          <w:sz w:val="24"/>
          <w:szCs w:val="24"/>
          <w:vertAlign w:val="superscript"/>
        </w:rPr>
        <w:footnoteReference w:id="18"/>
      </w:r>
      <w:r w:rsidRPr="004E45AD">
        <w:rPr>
          <w:rFonts w:ascii="Times New Roman" w:hAnsi="Times New Roman" w:cs="Times New Roman"/>
          <w:sz w:val="24"/>
          <w:szCs w:val="24"/>
        </w:rPr>
        <w:t>,</w:t>
      </w:r>
    </w:p>
    <w:p w14:paraId="43036E71"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Apvienotās Karalistes Patērētāju tiesību likumā</w:t>
      </w:r>
      <w:r w:rsidRPr="004E45AD">
        <w:rPr>
          <w:rFonts w:ascii="Times New Roman" w:hAnsi="Times New Roman" w:cs="Times New Roman"/>
          <w:sz w:val="24"/>
          <w:szCs w:val="24"/>
          <w:vertAlign w:val="superscript"/>
        </w:rPr>
        <w:footnoteReference w:id="19"/>
      </w:r>
      <w:r w:rsidRPr="004E45AD">
        <w:rPr>
          <w:rFonts w:ascii="Times New Roman" w:hAnsi="Times New Roman" w:cs="Times New Roman"/>
          <w:sz w:val="24"/>
          <w:szCs w:val="24"/>
        </w:rPr>
        <w:t>,</w:t>
      </w:r>
    </w:p>
    <w:p w14:paraId="75B0ABEE"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Francijas Patērētāju likumā “Grupu prasības”</w:t>
      </w:r>
      <w:r w:rsidRPr="004E45AD">
        <w:rPr>
          <w:rFonts w:ascii="Times New Roman" w:hAnsi="Times New Roman" w:cs="Times New Roman"/>
          <w:sz w:val="24"/>
          <w:szCs w:val="24"/>
          <w:vertAlign w:val="superscript"/>
        </w:rPr>
        <w:footnoteReference w:id="20"/>
      </w:r>
      <w:r w:rsidRPr="004E45AD">
        <w:rPr>
          <w:rFonts w:ascii="Times New Roman" w:hAnsi="Times New Roman" w:cs="Times New Roman"/>
          <w:sz w:val="24"/>
          <w:szCs w:val="24"/>
        </w:rPr>
        <w:t>,</w:t>
      </w:r>
    </w:p>
    <w:p w14:paraId="15C0C339"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Beļģijas Prasību par kolektīvo atlīdzību likumā</w:t>
      </w:r>
      <w:r w:rsidRPr="004E45AD">
        <w:rPr>
          <w:rFonts w:ascii="Times New Roman" w:hAnsi="Times New Roman" w:cs="Times New Roman"/>
          <w:sz w:val="24"/>
          <w:szCs w:val="24"/>
          <w:vertAlign w:val="superscript"/>
        </w:rPr>
        <w:footnoteReference w:id="21"/>
      </w:r>
      <w:r w:rsidRPr="004E45AD">
        <w:rPr>
          <w:rFonts w:ascii="Times New Roman" w:hAnsi="Times New Roman" w:cs="Times New Roman"/>
          <w:sz w:val="24"/>
          <w:szCs w:val="24"/>
        </w:rPr>
        <w:t>,</w:t>
      </w:r>
    </w:p>
    <w:p w14:paraId="1F0E1BA1"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Lietuvas Civilprocesa likumā</w:t>
      </w:r>
      <w:r w:rsidRPr="004E45AD">
        <w:rPr>
          <w:rFonts w:ascii="Times New Roman" w:hAnsi="Times New Roman" w:cs="Times New Roman"/>
          <w:sz w:val="24"/>
          <w:szCs w:val="24"/>
          <w:vertAlign w:val="superscript"/>
        </w:rPr>
        <w:footnoteReference w:id="22"/>
      </w:r>
      <w:r w:rsidRPr="004E45AD">
        <w:rPr>
          <w:rFonts w:ascii="Times New Roman" w:hAnsi="Times New Roman" w:cs="Times New Roman"/>
          <w:sz w:val="24"/>
          <w:szCs w:val="24"/>
        </w:rPr>
        <w:t>,</w:t>
      </w:r>
    </w:p>
    <w:p w14:paraId="7B46B29F"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Ungārijas Civilprocesa likumā</w:t>
      </w:r>
      <w:r w:rsidRPr="004E45AD">
        <w:rPr>
          <w:rFonts w:ascii="Times New Roman" w:hAnsi="Times New Roman" w:cs="Times New Roman"/>
          <w:sz w:val="24"/>
          <w:szCs w:val="24"/>
          <w:vertAlign w:val="superscript"/>
        </w:rPr>
        <w:footnoteReference w:id="23"/>
      </w:r>
      <w:r w:rsidRPr="004E45AD">
        <w:rPr>
          <w:rFonts w:ascii="Times New Roman" w:hAnsi="Times New Roman" w:cs="Times New Roman"/>
          <w:sz w:val="24"/>
          <w:szCs w:val="24"/>
        </w:rPr>
        <w:t>,</w:t>
      </w:r>
    </w:p>
    <w:p w14:paraId="623F745F"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Slovēnijas Likumā “Par kolektīvajām prasībām”</w:t>
      </w:r>
      <w:r w:rsidRPr="004E45AD">
        <w:rPr>
          <w:rFonts w:ascii="Times New Roman" w:hAnsi="Times New Roman" w:cs="Times New Roman"/>
          <w:sz w:val="24"/>
          <w:szCs w:val="24"/>
          <w:vertAlign w:val="superscript"/>
        </w:rPr>
        <w:footnoteReference w:id="24"/>
      </w:r>
      <w:r w:rsidRPr="004E45AD">
        <w:rPr>
          <w:rFonts w:ascii="Times New Roman" w:hAnsi="Times New Roman" w:cs="Times New Roman"/>
          <w:sz w:val="24"/>
          <w:szCs w:val="24"/>
        </w:rPr>
        <w:t>,</w:t>
      </w:r>
    </w:p>
    <w:p w14:paraId="37604F08"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Vācijas Likumā “Par piespiedu atlīdzību”</w:t>
      </w:r>
      <w:r w:rsidRPr="004E45AD">
        <w:rPr>
          <w:rFonts w:ascii="Times New Roman" w:hAnsi="Times New Roman" w:cs="Times New Roman"/>
          <w:sz w:val="24"/>
          <w:szCs w:val="24"/>
          <w:vertAlign w:val="superscript"/>
        </w:rPr>
        <w:footnoteReference w:id="25"/>
      </w:r>
      <w:r w:rsidRPr="004E45AD">
        <w:rPr>
          <w:rFonts w:ascii="Times New Roman" w:hAnsi="Times New Roman" w:cs="Times New Roman"/>
          <w:sz w:val="24"/>
          <w:szCs w:val="24"/>
        </w:rPr>
        <w:t>,</w:t>
      </w:r>
    </w:p>
    <w:p w14:paraId="04C4BCAD"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lastRenderedPageBreak/>
        <w:t>Direktīvā 9223/20 (vēl nav stājusies spēkā)</w:t>
      </w:r>
      <w:r w:rsidRPr="004E45AD">
        <w:rPr>
          <w:rFonts w:ascii="Times New Roman" w:hAnsi="Times New Roman" w:cs="Times New Roman"/>
          <w:sz w:val="24"/>
          <w:szCs w:val="24"/>
          <w:vertAlign w:val="superscript"/>
        </w:rPr>
        <w:footnoteReference w:id="26"/>
      </w:r>
      <w:r w:rsidRPr="004E45AD">
        <w:rPr>
          <w:rFonts w:ascii="Times New Roman" w:hAnsi="Times New Roman" w:cs="Times New Roman"/>
          <w:sz w:val="24"/>
          <w:szCs w:val="24"/>
        </w:rPr>
        <w:t>,</w:t>
      </w:r>
    </w:p>
    <w:p w14:paraId="0A86F95D" w14:textId="77777777" w:rsidR="004E45AD" w:rsidRPr="004E45AD" w:rsidRDefault="004E45AD" w:rsidP="004E45AD">
      <w:pPr>
        <w:numPr>
          <w:ilvl w:val="1"/>
          <w:numId w:val="1"/>
        </w:numPr>
        <w:tabs>
          <w:tab w:val="left" w:pos="1134"/>
        </w:tabs>
        <w:spacing w:before="80" w:after="0" w:line="240" w:lineRule="auto"/>
        <w:ind w:firstLine="0"/>
        <w:jc w:val="both"/>
        <w:rPr>
          <w:rFonts w:ascii="Times New Roman" w:hAnsi="Times New Roman" w:cs="Times New Roman"/>
          <w:sz w:val="24"/>
          <w:szCs w:val="24"/>
        </w:rPr>
      </w:pPr>
      <w:r w:rsidRPr="004E45AD">
        <w:rPr>
          <w:rFonts w:ascii="Times New Roman" w:hAnsi="Times New Roman" w:cs="Times New Roman"/>
          <w:sz w:val="24"/>
          <w:szCs w:val="24"/>
        </w:rPr>
        <w:t>un citos likumos.</w:t>
      </w:r>
    </w:p>
    <w:p w14:paraId="77192752" w14:textId="77777777" w:rsidR="004E45AD" w:rsidRPr="004E45AD" w:rsidRDefault="004E45AD" w:rsidP="004E45AD">
      <w:pPr>
        <w:spacing w:before="240" w:after="0" w:line="240" w:lineRule="auto"/>
        <w:ind w:firstLine="720"/>
        <w:jc w:val="both"/>
        <w:rPr>
          <w:rFonts w:ascii="Times New Roman" w:hAnsi="Times New Roman" w:cs="Times New Roman"/>
          <w:sz w:val="24"/>
          <w:szCs w:val="24"/>
        </w:rPr>
      </w:pPr>
      <w:r w:rsidRPr="004E45AD">
        <w:rPr>
          <w:rFonts w:ascii="Times New Roman" w:hAnsi="Times New Roman" w:cs="Times New Roman"/>
          <w:sz w:val="24"/>
          <w:szCs w:val="24"/>
        </w:rPr>
        <w:t>Kolektīvo atlīdzību prasību pamatmērķis ir veicināt personu piekļuvi tiesai. Precīzāk, šī institūta pamatmērķis ir izveidot juridisku mehānismu, ar kura palīdzību cietušās personas (neatkarīgi no tā, vai tās ir fiziskas un juridiskas personas) procedūrā, kas ir taisnīga, objektīva, ātra, un ne pārmērīgi dārga, varētu saņemt zaudējumu atlīdzību gadījumos, kad no prettiesiskajām darbībām vienlaicīgi ir cietuši ļoti daudzi subjekti.</w:t>
      </w:r>
      <w:r w:rsidRPr="004E45AD">
        <w:rPr>
          <w:rFonts w:ascii="Times New Roman" w:hAnsi="Times New Roman" w:cs="Times New Roman"/>
          <w:sz w:val="24"/>
          <w:szCs w:val="24"/>
          <w:vertAlign w:val="superscript"/>
        </w:rPr>
        <w:footnoteReference w:id="27"/>
      </w:r>
      <w:r w:rsidRPr="004E45AD">
        <w:rPr>
          <w:rFonts w:ascii="Times New Roman" w:hAnsi="Times New Roman" w:cs="Times New Roman"/>
          <w:sz w:val="24"/>
          <w:szCs w:val="24"/>
        </w:rPr>
        <w:t xml:space="preserve"> Proti, šādi regulējumi klasiski paredz vienu vai dažus pārstāvjus visu individuālo (katras fiziskas un juridiskas personas) zaudējumu atlīdzības prasījumu kopīgai un vienlaicīgai vešanai, kā rezultātā rodas ievērojami efektivitātes uzlabojumi ne tikai tiesāšanās izdevumu ziņā prasītājiem, bet arī tiesām (jo nav jāskata katra lieta atsevišķi). Līdz ar to provizoriskais centralizēto zaudējumu atlīdzības institūts konceptuāli šķiet līdzīgs kolektīvo atlīdzību prasībām. Proti, abu minēto mērķis ir ar viena kopīga (vai dažu) pārstāvju palīdzību atvieglot, cita starpā padarot to arī lētāku, zaudējumu atlīdzību prasību vešanu subjektiem, kas ir cietuši konkurences tiesību pārkāpumu rezultātā, un to iztiesāšanu tiesām. Citiem vārdiem, vienīgā atšķirība starp abiem minētajiem, šķiet, ir tas, kādiem tiesību subjektiem tieši (visām valsts un pašvaldību iestādēm vai fiziskām un juridiskām personām vispār) šāds pārstāvis tiek piešķirts. </w:t>
      </w:r>
    </w:p>
    <w:p w14:paraId="1B065A05" w14:textId="77777777" w:rsidR="004E45AD" w:rsidRPr="004E45AD" w:rsidRDefault="004E45AD" w:rsidP="004E45AD">
      <w:pPr>
        <w:spacing w:before="80" w:after="0" w:line="240" w:lineRule="auto"/>
        <w:ind w:firstLine="720"/>
        <w:jc w:val="both"/>
        <w:rPr>
          <w:rFonts w:ascii="Times New Roman" w:hAnsi="Times New Roman" w:cs="Times New Roman"/>
          <w:sz w:val="24"/>
          <w:szCs w:val="24"/>
        </w:rPr>
      </w:pPr>
      <w:r w:rsidRPr="004E45AD">
        <w:rPr>
          <w:rFonts w:ascii="Times New Roman" w:hAnsi="Times New Roman" w:cs="Times New Roman"/>
          <w:sz w:val="24"/>
          <w:szCs w:val="24"/>
        </w:rPr>
        <w:t xml:space="preserve">Tajā pašā laikā, neskatoties uz to, ka daudzās valstīs var atrast piemērus kolektīvo atlīdzību institūtam, neviena no apskatītajām valstīm to neregulē veidā, kādā Latvijā tiek provizoriski iecerēts īstenot centralizētu zaudējumu atlīdzināšanu. Proti, neviena no valstīm kolektīvās (un ne tikai) atlīdzības prasības neīsteno centralizēti, uzticot to vienai atbildīgajai valsts iestādei (vai ārpakalpojuma sniedzējam), gadījumos, kad valsts iestādes vai pašvaldības ir cietušas zaudējumus </w:t>
      </w:r>
      <w:proofErr w:type="spellStart"/>
      <w:r w:rsidRPr="004E45AD">
        <w:rPr>
          <w:rFonts w:ascii="Times New Roman" w:hAnsi="Times New Roman" w:cs="Times New Roman"/>
          <w:sz w:val="24"/>
          <w:szCs w:val="24"/>
        </w:rPr>
        <w:t>kartelizēta</w:t>
      </w:r>
      <w:proofErr w:type="spellEnd"/>
      <w:r w:rsidRPr="004E45AD">
        <w:rPr>
          <w:rFonts w:ascii="Times New Roman" w:hAnsi="Times New Roman" w:cs="Times New Roman"/>
          <w:sz w:val="24"/>
          <w:szCs w:val="24"/>
        </w:rPr>
        <w:t xml:space="preserve"> iepirkuma dēļ</w:t>
      </w:r>
      <w:r w:rsidRPr="004E45AD">
        <w:rPr>
          <w:rFonts w:ascii="Times New Roman" w:hAnsi="Times New Roman" w:cs="Times New Roman"/>
          <w:sz w:val="24"/>
          <w:szCs w:val="24"/>
          <w:vertAlign w:val="superscript"/>
        </w:rPr>
        <w:footnoteReference w:id="28"/>
      </w:r>
      <w:r w:rsidRPr="004E45AD">
        <w:rPr>
          <w:rFonts w:ascii="Times New Roman" w:hAnsi="Times New Roman" w:cs="Times New Roman"/>
          <w:sz w:val="24"/>
          <w:szCs w:val="24"/>
        </w:rPr>
        <w:t>. Minēto apstiprina arī 20.04.2020. Lietuvas Konkurences padomes (turpmāk – LKP) informācijas pieprasījums (</w:t>
      </w:r>
      <w:r w:rsidRPr="004E45AD">
        <w:rPr>
          <w:rFonts w:ascii="Times New Roman" w:hAnsi="Times New Roman" w:cs="Times New Roman"/>
          <w:i/>
          <w:iCs/>
          <w:sz w:val="24"/>
          <w:szCs w:val="24"/>
        </w:rPr>
        <w:t>RFI</w:t>
      </w:r>
      <w:r w:rsidRPr="004E45AD">
        <w:rPr>
          <w:rFonts w:ascii="Times New Roman" w:hAnsi="Times New Roman" w:cs="Times New Roman"/>
          <w:sz w:val="24"/>
          <w:szCs w:val="24"/>
        </w:rPr>
        <w:t xml:space="preserve"> jeb </w:t>
      </w:r>
      <w:proofErr w:type="spellStart"/>
      <w:r w:rsidRPr="004E45AD">
        <w:rPr>
          <w:rFonts w:ascii="Times New Roman" w:hAnsi="Times New Roman" w:cs="Times New Roman"/>
          <w:i/>
          <w:iCs/>
          <w:sz w:val="24"/>
          <w:szCs w:val="24"/>
        </w:rPr>
        <w:t>Informal</w:t>
      </w:r>
      <w:proofErr w:type="spellEnd"/>
      <w:r w:rsidRPr="004E45AD">
        <w:rPr>
          <w:rFonts w:ascii="Times New Roman" w:hAnsi="Times New Roman" w:cs="Times New Roman"/>
          <w:i/>
          <w:iCs/>
          <w:sz w:val="24"/>
          <w:szCs w:val="24"/>
        </w:rPr>
        <w:t xml:space="preserve"> </w:t>
      </w:r>
      <w:proofErr w:type="spellStart"/>
      <w:r w:rsidRPr="004E45AD">
        <w:rPr>
          <w:rFonts w:ascii="Times New Roman" w:hAnsi="Times New Roman" w:cs="Times New Roman"/>
          <w:i/>
          <w:iCs/>
          <w:sz w:val="24"/>
          <w:szCs w:val="24"/>
        </w:rPr>
        <w:t>Request</w:t>
      </w:r>
      <w:proofErr w:type="spellEnd"/>
      <w:r w:rsidRPr="004E45AD">
        <w:rPr>
          <w:rFonts w:ascii="Times New Roman" w:hAnsi="Times New Roman" w:cs="Times New Roman"/>
          <w:i/>
          <w:iCs/>
          <w:sz w:val="24"/>
          <w:szCs w:val="24"/>
        </w:rPr>
        <w:t xml:space="preserve"> </w:t>
      </w:r>
      <w:proofErr w:type="spellStart"/>
      <w:r w:rsidRPr="004E45AD">
        <w:rPr>
          <w:rFonts w:ascii="Times New Roman" w:hAnsi="Times New Roman" w:cs="Times New Roman"/>
          <w:i/>
          <w:iCs/>
          <w:sz w:val="24"/>
          <w:szCs w:val="24"/>
        </w:rPr>
        <w:t>for</w:t>
      </w:r>
      <w:proofErr w:type="spellEnd"/>
      <w:r w:rsidRPr="004E45AD">
        <w:rPr>
          <w:rFonts w:ascii="Times New Roman" w:hAnsi="Times New Roman" w:cs="Times New Roman"/>
          <w:i/>
          <w:iCs/>
          <w:sz w:val="24"/>
          <w:szCs w:val="24"/>
        </w:rPr>
        <w:t xml:space="preserve"> </w:t>
      </w:r>
      <w:proofErr w:type="spellStart"/>
      <w:r w:rsidRPr="004E45AD">
        <w:rPr>
          <w:rFonts w:ascii="Times New Roman" w:hAnsi="Times New Roman" w:cs="Times New Roman"/>
          <w:i/>
          <w:iCs/>
          <w:sz w:val="24"/>
          <w:szCs w:val="24"/>
        </w:rPr>
        <w:t>Information</w:t>
      </w:r>
      <w:proofErr w:type="spellEnd"/>
      <w:r w:rsidRPr="004E45AD">
        <w:rPr>
          <w:rFonts w:ascii="Times New Roman" w:hAnsi="Times New Roman" w:cs="Times New Roman"/>
          <w:sz w:val="24"/>
          <w:szCs w:val="24"/>
        </w:rPr>
        <w:t>) (turpmāk – Informācijas pieprasījums), no kura izriet, ka Lietuvā tika apsvērta un vērtēta līdzīga regulējuma radīšana centralizētai zaudējumu atlīdzībai publisko pasūtītāju vārdā. Kā tajā norādīts, galvenais iemesls šāda regulējuma nepieciešamībai bija apstāklis, ka pat gadījumos, kad LKP konstatē un soda tirgus dalībniekus par karteļiem iepirkumos, tām neseko zaudējumu atlīdzināšanas prasības no minēto darbību rezultātā cietušo valsts pārvaldes iestāžu puses. Līdz ar to šādu darbību rezultātā nodarītais kaitējums valsts budžetam netiek atlīdzināts.</w:t>
      </w:r>
    </w:p>
    <w:p w14:paraId="5DB83493" w14:textId="77777777" w:rsidR="004E45AD" w:rsidRPr="004E45AD" w:rsidRDefault="004E45AD" w:rsidP="004E45AD">
      <w:pPr>
        <w:spacing w:before="80" w:after="0" w:line="240" w:lineRule="auto"/>
        <w:ind w:firstLine="720"/>
        <w:jc w:val="both"/>
        <w:rPr>
          <w:rFonts w:ascii="Times New Roman" w:hAnsi="Times New Roman" w:cs="Times New Roman"/>
          <w:sz w:val="24"/>
          <w:szCs w:val="24"/>
        </w:rPr>
      </w:pPr>
      <w:r w:rsidRPr="004E45AD">
        <w:rPr>
          <w:rFonts w:ascii="Times New Roman" w:hAnsi="Times New Roman" w:cs="Times New Roman"/>
          <w:sz w:val="24"/>
          <w:szCs w:val="24"/>
        </w:rPr>
        <w:t>Lai veicinātu valsts budžeta līdzekļu atgūšanu, Informācijas pieprasījumā kā viens no iespējamajiem risinājumiem tiek piedāvāts regulējums, kurā tiktu noteikta viena atbildīgā iestāde. Šīs iestādes kompetencē būtu visu šādu zaudējumu pieprasīšana un lietu vešana tiesā gadījumos, kad valsts iestādes būtu cietušas zaudējumus publiskajos iepirkumos īstenotu karteļu dēļ. Tomēr, neskatoties uz pastāvošo problemātiku un minēto šķietami efektīvo problēmas risinājumu, LKP nav turpinājusi minētās idejas tālāku attīstīšanu. LKP ieskatā pašlaik neeksistē efektīvu veidu, kā minēto regulējumu Lietuvā varētu īstenot. Potenciāli tika pieļauti un vērtēti trīs kandidāti, kas varētu uzņemties šādas atbildīgās iestādes statusu:</w:t>
      </w:r>
    </w:p>
    <w:p w14:paraId="7EC5E588" w14:textId="77777777" w:rsidR="004E45AD" w:rsidRPr="004E45AD" w:rsidRDefault="004E45AD" w:rsidP="004E45AD">
      <w:pPr>
        <w:numPr>
          <w:ilvl w:val="0"/>
          <w:numId w:val="2"/>
        </w:numPr>
        <w:spacing w:before="80" w:after="0" w:line="240" w:lineRule="auto"/>
        <w:jc w:val="both"/>
        <w:rPr>
          <w:rFonts w:ascii="Times New Roman" w:hAnsi="Times New Roman" w:cs="Times New Roman"/>
          <w:sz w:val="24"/>
          <w:szCs w:val="24"/>
        </w:rPr>
      </w:pPr>
      <w:r w:rsidRPr="004E45AD">
        <w:rPr>
          <w:rFonts w:ascii="Times New Roman" w:hAnsi="Times New Roman" w:cs="Times New Roman"/>
          <w:sz w:val="24"/>
          <w:szCs w:val="24"/>
        </w:rPr>
        <w:t xml:space="preserve">atsevišķa iestāde (speciāli šim nolūkam radīta), </w:t>
      </w:r>
    </w:p>
    <w:p w14:paraId="09039576" w14:textId="77777777" w:rsidR="004E45AD" w:rsidRPr="004E45AD" w:rsidRDefault="004E45AD" w:rsidP="004E45AD">
      <w:pPr>
        <w:numPr>
          <w:ilvl w:val="0"/>
          <w:numId w:val="2"/>
        </w:numPr>
        <w:spacing w:before="80" w:after="0" w:line="240" w:lineRule="auto"/>
        <w:jc w:val="both"/>
        <w:rPr>
          <w:rFonts w:ascii="Times New Roman" w:hAnsi="Times New Roman" w:cs="Times New Roman"/>
          <w:sz w:val="24"/>
          <w:szCs w:val="24"/>
        </w:rPr>
      </w:pPr>
      <w:r w:rsidRPr="004E45AD">
        <w:rPr>
          <w:rFonts w:ascii="Times New Roman" w:hAnsi="Times New Roman" w:cs="Times New Roman"/>
          <w:sz w:val="24"/>
          <w:szCs w:val="24"/>
        </w:rPr>
        <w:lastRenderedPageBreak/>
        <w:t>Publisko iepirkumu birojam pielīdzināma iestāde vai</w:t>
      </w:r>
    </w:p>
    <w:p w14:paraId="69897781" w14:textId="77777777" w:rsidR="004E45AD" w:rsidRPr="004E45AD" w:rsidRDefault="004E45AD" w:rsidP="004E45AD">
      <w:pPr>
        <w:numPr>
          <w:ilvl w:val="0"/>
          <w:numId w:val="2"/>
        </w:numPr>
        <w:spacing w:before="80" w:after="0" w:line="240" w:lineRule="auto"/>
        <w:jc w:val="both"/>
        <w:rPr>
          <w:rFonts w:ascii="Times New Roman" w:hAnsi="Times New Roman" w:cs="Times New Roman"/>
          <w:sz w:val="24"/>
          <w:szCs w:val="24"/>
        </w:rPr>
      </w:pPr>
      <w:r w:rsidRPr="004E45AD">
        <w:rPr>
          <w:rFonts w:ascii="Times New Roman" w:hAnsi="Times New Roman" w:cs="Times New Roman"/>
          <w:sz w:val="24"/>
          <w:szCs w:val="24"/>
        </w:rPr>
        <w:t>Advokātu valsts birojs.</w:t>
      </w:r>
    </w:p>
    <w:p w14:paraId="59BA6D13" w14:textId="20C03731" w:rsidR="004E45AD" w:rsidRPr="004E45AD" w:rsidRDefault="004E45AD" w:rsidP="004E45AD">
      <w:pPr>
        <w:spacing w:before="80" w:after="0" w:line="240" w:lineRule="auto"/>
        <w:ind w:firstLine="720"/>
        <w:jc w:val="both"/>
        <w:rPr>
          <w:rFonts w:ascii="Times New Roman" w:hAnsi="Times New Roman" w:cs="Times New Roman"/>
          <w:sz w:val="24"/>
          <w:szCs w:val="24"/>
        </w:rPr>
      </w:pPr>
      <w:r w:rsidRPr="004E45AD">
        <w:rPr>
          <w:rFonts w:ascii="Times New Roman" w:hAnsi="Times New Roman" w:cs="Times New Roman"/>
          <w:sz w:val="24"/>
          <w:szCs w:val="24"/>
        </w:rPr>
        <w:t>Pamatojoties uz LKP ekonomistu aplēsēm, tika secināts, ka, visticamāk, pierādīšanas nasta un darba apjoms šādām prasībām varētu būt pielīdzināms tam, kāds tas ir gadījumos, kad nepieciešams pierādīt konkurences tiesību pārkāpumu pēc sekām. Proti, tika secināts, ka iestādēm un institūcijām, kas nespecializējas konkurences tiesību pārkāpumu atklāšanā un izmeklēšanā, tas varētu nebūt pa spēkam vai arī prasīt ārkārtīgi daudz resursu. Līdz ar to, visticamāk, visefektīvāk šādu pienākumu būtu uzņemties pašai LKP. Tomēr LKP ieskatā pastāv ievērojami riski, ka šāda funkcija varētu tikt deleģēta bez atbilstoša finansējuma piešķiršanas, kā rezultātā paredzams, ka cietīs tirgus uzraudzības un konkurences pārkāpumu atklāšanas funkcijas. Līdz ar to LKP pagaidām ir atkāpusies no idejas par atbildīgas iestādes noteikšanu zaudējumu piedziņas prasībās, kas izriet no karteļiem publiskajos iepirkumos.</w:t>
      </w:r>
    </w:p>
    <w:p w14:paraId="5FF74A3E" w14:textId="77777777" w:rsidR="004E45AD" w:rsidRPr="004E45AD" w:rsidRDefault="004E45AD" w:rsidP="004E45AD">
      <w:pPr>
        <w:spacing w:before="80" w:after="0" w:line="240" w:lineRule="auto"/>
        <w:ind w:firstLine="720"/>
        <w:jc w:val="both"/>
        <w:rPr>
          <w:rFonts w:ascii="Times New Roman" w:hAnsi="Times New Roman" w:cs="Times New Roman"/>
          <w:sz w:val="24"/>
          <w:szCs w:val="24"/>
        </w:rPr>
      </w:pPr>
      <w:r w:rsidRPr="004E45AD">
        <w:rPr>
          <w:rFonts w:ascii="Times New Roman" w:hAnsi="Times New Roman" w:cs="Times New Roman"/>
          <w:sz w:val="24"/>
          <w:szCs w:val="24"/>
        </w:rPr>
        <w:t xml:space="preserve">Kas attiecas uz potenciālā regulējuma izstrādāšanu vai pat tikai tā principu apsvēršanu, Lietuvā līdz šai fāzei neesot tikts. Proti, centralizēta zaudējumu atlīdzināšanas mehānisma ieviešana tika tikai konceptuāli apspriesta pašas iestādes ietvaros, neveicot padziļinātu novērtējumu.  Savukārt vērtējot  citu valstu praksi, netika atrasta tāda valsts, kurā šāds regulējums jau darbotos. </w:t>
      </w:r>
    </w:p>
    <w:p w14:paraId="2CE80C49" w14:textId="091205D5" w:rsidR="004E45AD" w:rsidRPr="004E45AD" w:rsidRDefault="004E45AD" w:rsidP="004E45AD">
      <w:pPr>
        <w:spacing w:before="80" w:after="0" w:line="240" w:lineRule="auto"/>
        <w:ind w:firstLine="720"/>
        <w:jc w:val="both"/>
        <w:rPr>
          <w:rFonts w:ascii="Times New Roman" w:hAnsi="Times New Roman" w:cs="Times New Roman"/>
          <w:sz w:val="24"/>
          <w:szCs w:val="24"/>
        </w:rPr>
      </w:pPr>
      <w:r w:rsidRPr="004E45AD">
        <w:rPr>
          <w:rFonts w:ascii="Times New Roman" w:hAnsi="Times New Roman" w:cs="Times New Roman"/>
          <w:sz w:val="24"/>
          <w:szCs w:val="24"/>
        </w:rPr>
        <w:t xml:space="preserve">Tomēr LKP ir apspriesti arī citi potenciāli risinājumi ieskicētā </w:t>
      </w:r>
      <w:proofErr w:type="spellStart"/>
      <w:r w:rsidRPr="004E45AD">
        <w:rPr>
          <w:rFonts w:ascii="Times New Roman" w:hAnsi="Times New Roman" w:cs="Times New Roman"/>
          <w:sz w:val="24"/>
          <w:szCs w:val="24"/>
        </w:rPr>
        <w:t>problēmjautājuma</w:t>
      </w:r>
      <w:proofErr w:type="spellEnd"/>
      <w:r w:rsidRPr="004E45AD">
        <w:rPr>
          <w:rFonts w:ascii="Times New Roman" w:hAnsi="Times New Roman" w:cs="Times New Roman"/>
          <w:sz w:val="24"/>
          <w:szCs w:val="24"/>
        </w:rPr>
        <w:t xml:space="preserve"> risināšanai. Kā viens no tādiem tiek vērtēts iespējamais regulējums, nosakot slieksni, kad  prasība zaudējumu atlīdzībai būtu obligāti jāiesniedz tiesā un vismaz kaut kādā apmērā jācenšas nodarītos zaudējumus atgūt. Tas būtu pašu iestāžu ziņā, kā tas būtu darāms, bet LKP, iespējams, tiktu noteikta konsultējoša funkcija. Cita starpā, paredzams, ka Lietuvas Konkurences likumā varētu tikt ieviesta līdzīga prezumpcija par nodarīto zaudējumu apmēru (kā tas ir nostiprināts KL 21. panta trešajā daļā), kas varētu atvieglot šādu zaudējumu prasību vešanu un pierādīšanu. </w:t>
      </w:r>
    </w:p>
    <w:p w14:paraId="5D2C053D" w14:textId="77777777" w:rsidR="004E45AD" w:rsidRPr="004E45AD" w:rsidRDefault="004E45AD" w:rsidP="004E45AD">
      <w:pPr>
        <w:spacing w:before="80" w:after="0" w:line="240" w:lineRule="auto"/>
        <w:ind w:firstLine="720"/>
        <w:jc w:val="both"/>
        <w:rPr>
          <w:rFonts w:ascii="Times New Roman" w:hAnsi="Times New Roman" w:cs="Times New Roman"/>
          <w:sz w:val="24"/>
          <w:szCs w:val="24"/>
        </w:rPr>
      </w:pPr>
      <w:r w:rsidRPr="004E45AD">
        <w:rPr>
          <w:rFonts w:ascii="Times New Roman" w:hAnsi="Times New Roman" w:cs="Times New Roman"/>
          <w:sz w:val="24"/>
          <w:szCs w:val="24"/>
        </w:rPr>
        <w:t>No dalībvalstu sniegtajām atbildēm uz Informācijas pieprasījumu izriet, ka Slovēnijā, ja valsts vai tās iestāde ir prasītājs, to pārstāv Valsts advokātu birojs un prasību ceļ valsts kā juridiska persona. Ja prasītājs ir vietējā iestāde vai cita valsts iestāde, kas nav valsts, bet kurai ir juridiskas personas statuss (piemēram, valsts aģentūra, fonds, publisko personu kapitālsabiedrība, skola, sociālās aizsardzības dienests), tad šī iestāde var ierosināt, lai šo iestādi pārstāv valsts advokātu birojs, kas šādu lūgumu var arī noraidīt. Šādos gadījumos šīm iestādēm pašām ir jāieceļ attiecīgi kvalificēts pārstāvis</w:t>
      </w:r>
      <w:r w:rsidRPr="004E45AD">
        <w:rPr>
          <w:rFonts w:ascii="Times New Roman" w:hAnsi="Times New Roman" w:cs="Times New Roman"/>
          <w:sz w:val="24"/>
          <w:szCs w:val="24"/>
          <w:vertAlign w:val="superscript"/>
        </w:rPr>
        <w:footnoteReference w:id="29"/>
      </w:r>
      <w:r w:rsidRPr="004E45AD">
        <w:rPr>
          <w:rFonts w:ascii="Times New Roman" w:hAnsi="Times New Roman" w:cs="Times New Roman"/>
          <w:sz w:val="24"/>
          <w:szCs w:val="24"/>
        </w:rPr>
        <w:t>. Vienlaikus gan norādāms, ka līdz šim Slovēnijas jurisdikcijā nav bijušas lietas par zaudējumu atlīdzināšanu konkurences tiesību pārkāpuma gadījumā.</w:t>
      </w:r>
    </w:p>
    <w:p w14:paraId="7CD1E241" w14:textId="77777777" w:rsidR="004E45AD" w:rsidRPr="004E45AD" w:rsidRDefault="004E45AD" w:rsidP="004E45AD">
      <w:pPr>
        <w:spacing w:before="80" w:after="0" w:line="240" w:lineRule="auto"/>
        <w:ind w:firstLine="720"/>
        <w:jc w:val="both"/>
        <w:rPr>
          <w:rFonts w:ascii="Times New Roman" w:hAnsi="Times New Roman" w:cs="Times New Roman"/>
          <w:sz w:val="24"/>
          <w:szCs w:val="24"/>
        </w:rPr>
      </w:pPr>
      <w:r w:rsidRPr="004E45AD">
        <w:rPr>
          <w:rFonts w:ascii="Times New Roman" w:hAnsi="Times New Roman" w:cs="Times New Roman"/>
          <w:sz w:val="24"/>
          <w:szCs w:val="24"/>
        </w:rPr>
        <w:t xml:space="preserve">Citās Eiropas valstīs, piemēram, Austrijā, Bulgārijā, Polijā, Slovākijā, Spānijā, Ungārijā, Čehijā (tāpat kā šobrīd Latvijā) normatīvais regulējums paredz tiesības </w:t>
      </w:r>
      <w:proofErr w:type="spellStart"/>
      <w:r w:rsidRPr="004E45AD">
        <w:rPr>
          <w:rFonts w:ascii="Times New Roman" w:hAnsi="Times New Roman" w:cs="Times New Roman"/>
          <w:sz w:val="24"/>
          <w:szCs w:val="24"/>
        </w:rPr>
        <w:t>līgumslēdzējiestādei</w:t>
      </w:r>
      <w:proofErr w:type="spellEnd"/>
      <w:r w:rsidRPr="004E45AD">
        <w:rPr>
          <w:rFonts w:ascii="Times New Roman" w:hAnsi="Times New Roman" w:cs="Times New Roman"/>
          <w:sz w:val="24"/>
          <w:szCs w:val="24"/>
        </w:rPr>
        <w:t xml:space="preserve"> (publiskajam pasūtītājam) vērsties ar prasību par zaudējumu atlīdzināšanu tiesā, taču praksē šis zaudējumu atlīdzināšanas mehānisms nestrādā. Savukārt Francijā, ja valsts iestāde pati neveic pasākumus, lai atgūtu zaudējumus, tās pilsoņi valsts iestādes vārdā var uzsākt tiesvedību, prasot kompensāciju par kaitējumu, kas nodarīts sabiedrībai, izmantojot procedūru “</w:t>
      </w:r>
      <w:proofErr w:type="spellStart"/>
      <w:r w:rsidRPr="004E45AD">
        <w:rPr>
          <w:rFonts w:ascii="Times New Roman" w:hAnsi="Times New Roman" w:cs="Times New Roman"/>
          <w:i/>
          <w:iCs/>
          <w:sz w:val="24"/>
          <w:szCs w:val="24"/>
        </w:rPr>
        <w:t>procédure</w:t>
      </w:r>
      <w:proofErr w:type="spellEnd"/>
      <w:r w:rsidRPr="004E45AD">
        <w:rPr>
          <w:rFonts w:ascii="Times New Roman" w:hAnsi="Times New Roman" w:cs="Times New Roman"/>
          <w:i/>
          <w:iCs/>
          <w:sz w:val="24"/>
          <w:szCs w:val="24"/>
        </w:rPr>
        <w:t> d' </w:t>
      </w:r>
      <w:proofErr w:type="spellStart"/>
      <w:r w:rsidRPr="004E45AD">
        <w:rPr>
          <w:rFonts w:ascii="Times New Roman" w:hAnsi="Times New Roman" w:cs="Times New Roman"/>
          <w:i/>
          <w:iCs/>
          <w:sz w:val="24"/>
          <w:szCs w:val="24"/>
        </w:rPr>
        <w:t>autorisation</w:t>
      </w:r>
      <w:proofErr w:type="spellEnd"/>
      <w:r w:rsidRPr="004E45AD">
        <w:rPr>
          <w:rFonts w:ascii="Times New Roman" w:hAnsi="Times New Roman" w:cs="Times New Roman"/>
          <w:i/>
          <w:iCs/>
          <w:sz w:val="24"/>
          <w:szCs w:val="24"/>
        </w:rPr>
        <w:t> </w:t>
      </w:r>
      <w:proofErr w:type="spellStart"/>
      <w:r w:rsidRPr="004E45AD">
        <w:rPr>
          <w:rFonts w:ascii="Times New Roman" w:hAnsi="Times New Roman" w:cs="Times New Roman"/>
          <w:i/>
          <w:iCs/>
          <w:sz w:val="24"/>
          <w:szCs w:val="24"/>
        </w:rPr>
        <w:t>de</w:t>
      </w:r>
      <w:proofErr w:type="spellEnd"/>
      <w:r w:rsidRPr="004E45AD">
        <w:rPr>
          <w:rFonts w:ascii="Times New Roman" w:hAnsi="Times New Roman" w:cs="Times New Roman"/>
          <w:i/>
          <w:iCs/>
          <w:sz w:val="24"/>
          <w:szCs w:val="24"/>
        </w:rPr>
        <w:t> </w:t>
      </w:r>
      <w:proofErr w:type="spellStart"/>
      <w:r w:rsidRPr="004E45AD">
        <w:rPr>
          <w:rFonts w:ascii="Times New Roman" w:hAnsi="Times New Roman" w:cs="Times New Roman"/>
          <w:i/>
          <w:iCs/>
          <w:sz w:val="24"/>
          <w:szCs w:val="24"/>
        </w:rPr>
        <w:t>plaider</w:t>
      </w:r>
      <w:proofErr w:type="spellEnd"/>
      <w:r w:rsidRPr="004E45AD">
        <w:rPr>
          <w:rFonts w:ascii="Times New Roman" w:hAnsi="Times New Roman" w:cs="Times New Roman"/>
          <w:sz w:val="24"/>
          <w:szCs w:val="24"/>
        </w:rPr>
        <w:t>”, bet Somijā, ņemot vērā, ka publiskais sektors aktīvi iesaistās, lai civiltiesiski atgūtu konkurences tiesību rezultātā radītos zaudējumus, nav notikušas diskusijas par centralizētu zaudējumu atlīdzināšanu, lai stimulētu to atlīdzināšanu. </w:t>
      </w:r>
    </w:p>
    <w:p w14:paraId="610E3A26" w14:textId="2673E188" w:rsidR="005F1519" w:rsidRPr="00DC15A4" w:rsidRDefault="005F1519" w:rsidP="005F1519">
      <w:pPr>
        <w:spacing w:after="0" w:line="240" w:lineRule="auto"/>
        <w:jc w:val="both"/>
        <w:rPr>
          <w:rFonts w:ascii="Times New Roman" w:hAnsi="Times New Roman" w:cs="Times New Roman"/>
          <w:b/>
          <w:bCs/>
          <w:sz w:val="24"/>
          <w:szCs w:val="24"/>
        </w:rPr>
      </w:pPr>
    </w:p>
    <w:p w14:paraId="29E1C30C" w14:textId="66CD2BB8" w:rsidR="00BC48A3" w:rsidRPr="004E45AD" w:rsidRDefault="00BC48A3" w:rsidP="00BC48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5. </w:t>
      </w:r>
      <w:bookmarkStart w:id="0" w:name="_Toc87455603"/>
      <w:bookmarkStart w:id="1" w:name="_Toc126852706"/>
      <w:bookmarkStart w:id="2" w:name="_Toc130197131"/>
      <w:r w:rsidRPr="00BC48A3">
        <w:rPr>
          <w:rFonts w:ascii="Times New Roman" w:hAnsi="Times New Roman" w:cs="Times New Roman"/>
          <w:b/>
          <w:bCs/>
          <w:sz w:val="24"/>
          <w:szCs w:val="24"/>
        </w:rPr>
        <w:t>Subjektu loks - publiskie pasūtītāji, uz kuriem attiektos centralizēta zaudējumu atlīdzība</w:t>
      </w:r>
      <w:bookmarkEnd w:id="0"/>
      <w:bookmarkEnd w:id="1"/>
      <w:bookmarkEnd w:id="2"/>
    </w:p>
    <w:p w14:paraId="7051E6FF"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Latvijas Republikas Satversmes (turpmāk – Satversme) 58. pantā lietotais jēdziens “valsts pārvaldes iestāde” ir autonoms “Satversmes līmeņa” jēdziens un ir plašāks nekā citos likumos lietotais jēdziens “valsts pārvaldes iestāde”. Satversmes 58.  panta izpratnē valsts pārvaldes iestāde ir jebkura institūcija, neatkarīgi no tās tiesiskās formas (publiska persona vai publiskas personas institūcija), kura galvenokārt īsteno izpildvaras, nevis tiesas spriešanas vai likumdošanas funkcijas. Satversmes 58. panta izpratnē valsts pārvaldes iestādes ir visas tās institūcijas, kuru darbību regulē Valsts pārvaldes iekārtas likums (turpmāk – VPIL) – tiešās pārvaldes iestādes, kā arī atvasinātas publiskas personas (jo sevišķi pašvaldības) un to iestādes, kā arī dažādas citas institūcijas to ietvaros. Satversmes 58. panta izpratnē jēdziens “iestāde” ietver arī amatpersonas, kuras īsteno izpildvaras funkcijas</w:t>
      </w:r>
      <w:r w:rsidRPr="00250B42">
        <w:rPr>
          <w:rFonts w:ascii="Times New Roman" w:hAnsi="Times New Roman" w:cs="Times New Roman"/>
          <w:sz w:val="24"/>
          <w:szCs w:val="24"/>
          <w:vertAlign w:val="superscript"/>
        </w:rPr>
        <w:footnoteReference w:id="30"/>
      </w:r>
      <w:r w:rsidRPr="00250B42">
        <w:rPr>
          <w:rFonts w:ascii="Times New Roman" w:hAnsi="Times New Roman" w:cs="Times New Roman"/>
          <w:sz w:val="24"/>
          <w:szCs w:val="24"/>
        </w:rPr>
        <w:t>.</w:t>
      </w:r>
    </w:p>
    <w:p w14:paraId="1117C704"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Saskaņā ar VPIL 4. pantu Latvijas Republika kā sākotnējā publiskā persona valsts pārvaldes jomā darbojas ar tiešās un pastarpinātās pārvaldes iestāžu starpniecību, savukārt atvasināta publiska persona valsts pārvaldes jomā darbojas ar pastarpinātas pārvaldes iestāžu starpniecību.</w:t>
      </w:r>
    </w:p>
    <w:p w14:paraId="583A9A07"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Iestāde ir institūcija, kura darbojas publiskas personas vārdā un kurai ar normatīvo aktu noteikta kompetence valsts pārvaldē, piešķirti finanšu līdzekļi tās darbības īstenošanai un ir savs personāls</w:t>
      </w:r>
      <w:r w:rsidRPr="00250B42">
        <w:rPr>
          <w:rFonts w:ascii="Times New Roman" w:hAnsi="Times New Roman" w:cs="Times New Roman"/>
          <w:sz w:val="24"/>
          <w:szCs w:val="24"/>
          <w:vertAlign w:val="superscript"/>
        </w:rPr>
        <w:footnoteReference w:id="31"/>
      </w:r>
      <w:r w:rsidRPr="00250B42">
        <w:rPr>
          <w:rFonts w:ascii="Times New Roman" w:hAnsi="Times New Roman" w:cs="Times New Roman"/>
          <w:sz w:val="24"/>
          <w:szCs w:val="24"/>
        </w:rPr>
        <w:t xml:space="preserve">. </w:t>
      </w:r>
    </w:p>
    <w:p w14:paraId="5B33D383"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VPIL 1. panta 2. punkts nosaka, ka atvasināta publiska persona ir pašvaldība vai cita ar likumu vai uz likuma pamata izveidota publiska persona. Tai ar likumu piešķirta sava autonoma kompetence, kas ietver arī sava budžeta veidošanu un apstiprināšanu. Tai var būt sava manta. Atšķirībā no iestādēm, atvasinātas publiskas personas ir tiesību subjekti (tiem piemīt tiesībspēja). Atvasinātas publiskas personas izveido vai nu ar likumu (piemēram, Nacionālā elektronisko plašsaziņas līdzekļu padome, Sabiedrisko pakalpojumu regulēšanas komisija, Latvijas Banka, Finanšu un kapitāla tirgus komisija, plānošanas reģioni, Rīgas ostas pārvalde un Ventspils ostas pārvalde) vai uz likuma pamata (piemēram, valsts dibinātās augstskolas). To, vai pārvaldes institūcijai jābūt atvasinātai publiskai personai (juridiskai personai), nosaka likumdevējs. Kaut arī patstāvīgs, no valsts budžeta nošķirts budžets ir viena no atvasinātas publiskas personas pazīmēm, Satversmes tiesa ir atzinusi, ka Satversme neliedz valstī izveidot atvasinātu publisku personu, kas tiek finansēta no valsts budžeta. Pašvaldības ir plašāk zināmās atvasinātās publiskās personas. Pašvaldības kā atvasinātas publiskas personas parasti izveido plašu iestāžu tīklu – pašvaldības policiju, bibliotēkas, izglītības iestādes, kultūras iestādes u. c. Arī šīs iestādes, ko VPIL sauc par pastarpinātās pārvaldes iestādēm, nav tiesību subjekti. Visas juridiskās darbības tās veic attiecīgās atvasinātās publiskās personas vārdā. Atvasinātas publiskas personas var darboties arī bez iestādēm, t. i., nepastarpināti. Tā, piemēram, Nacionālā elektronisko plašsaziņas līdzekļu padome, Sabiedrisko pakalpojumu regulēšanas komisija vienlaikus ir gan juridiska persona, gan institucionāla vienība (tai nav savu iestāžu). Vienlaikus jāatzīmē, ka valsts un pašvaldība kādu savu funkciju, piemēram, ūdens apgādi, var organizēt, nevis izveidojot valsts pārvaldes iestādi, bet komercsabiedrību SIA vai AS formā. Šādām sabiedrībām atšķirībā no iestādēm ir tiesībspēja un tās ir juridiskas personas</w:t>
      </w:r>
      <w:r w:rsidRPr="00250B42">
        <w:rPr>
          <w:rFonts w:ascii="Times New Roman" w:hAnsi="Times New Roman" w:cs="Times New Roman"/>
          <w:sz w:val="24"/>
          <w:szCs w:val="24"/>
          <w:vertAlign w:val="superscript"/>
        </w:rPr>
        <w:footnoteReference w:id="32"/>
      </w:r>
      <w:r w:rsidRPr="00250B42">
        <w:rPr>
          <w:rFonts w:ascii="Times New Roman" w:hAnsi="Times New Roman" w:cs="Times New Roman"/>
          <w:sz w:val="24"/>
          <w:szCs w:val="24"/>
        </w:rPr>
        <w:t>.</w:t>
      </w:r>
    </w:p>
    <w:p w14:paraId="6E4621AD"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lastRenderedPageBreak/>
        <w:t xml:space="preserve">No VPIL 87. panta un citiem likumiem, kas regulē rīcību ar valsts mantu (piemēram, Publiskas personas mantas atsavināšanas likums), izriet, ka manta publiskai personai nepieciešama galvenokārt tādēļ, lai veiktu valsts pārvaldes funkcijas. </w:t>
      </w:r>
      <w:r w:rsidRPr="00250B42">
        <w:rPr>
          <w:rFonts w:ascii="Times New Roman" w:hAnsi="Times New Roman" w:cs="Times New Roman"/>
          <w:sz w:val="24"/>
          <w:szCs w:val="24"/>
          <w:u w:val="single"/>
        </w:rPr>
        <w:t>Tādēļ arī tiesiskās attiecības starp personām, kuru objekts ir kādas publiskas personas manta, var būt apspriežams vienīgi no valsts pārvaldes un sabiedrības interešu viedokļa.</w:t>
      </w:r>
      <w:r w:rsidRPr="00250B42">
        <w:rPr>
          <w:rFonts w:ascii="Times New Roman" w:hAnsi="Times New Roman" w:cs="Times New Roman"/>
          <w:sz w:val="24"/>
          <w:szCs w:val="24"/>
        </w:rPr>
        <w:t xml:space="preserve"> Valsts kā sākotnējā publisko tiesību juridiskā persona ir vienots kopums un pat attiecībā uz autonomajām funkcijām tā ne tikai nevar pilnībā izvairīties no iespējamās atbildības, bet tām ir jābūt ietvertām arī to publisko pasūtītāju sarakstā, kuru vārdā un vietā par centralizēto zaudējumu atlīdzināšanu atbildīgā iestāde (vai ārpakalpojuma sniedzējs) vērstos ar prasību tiesā pret tirgus dalībniekiem, kuri nodarījuši zaudējumus karteļa vienošanās pārkāpuma gadījumā.</w:t>
      </w:r>
    </w:p>
    <w:p w14:paraId="1386E8EE"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 xml:space="preserve">Arī Satversmes tiesa, cita starpā, vērtējot prokuratūras tiesisko statusu, ir atzinusi, ka </w:t>
      </w:r>
      <w:r w:rsidRPr="00250B42">
        <w:rPr>
          <w:rFonts w:ascii="Times New Roman" w:hAnsi="Times New Roman" w:cs="Times New Roman"/>
          <w:sz w:val="24"/>
          <w:szCs w:val="24"/>
          <w:u w:val="single"/>
        </w:rPr>
        <w:t>par valsts iestādes saistībām atbild Latvijas Republika, jo attiecīgā iestāde rīkojas sākotnējās publisko tiesību juridiskās personas, tas ir, valsts vārdā</w:t>
      </w:r>
      <w:r w:rsidRPr="00250B42">
        <w:rPr>
          <w:rFonts w:ascii="Times New Roman" w:hAnsi="Times New Roman" w:cs="Times New Roman"/>
          <w:sz w:val="24"/>
          <w:szCs w:val="24"/>
          <w:vertAlign w:val="superscript"/>
        </w:rPr>
        <w:footnoteReference w:id="33"/>
      </w:r>
      <w:r w:rsidRPr="00250B42">
        <w:rPr>
          <w:rFonts w:ascii="Times New Roman" w:hAnsi="Times New Roman" w:cs="Times New Roman"/>
          <w:sz w:val="24"/>
          <w:szCs w:val="24"/>
        </w:rPr>
        <w:t xml:space="preserve">. Lai arī minētā atziņa izteikta attiecībā uz gadījumu, kad zaudējumus prasa persona no valsts, KP ieskatā tā vienlaikus norāda arī uz to, ka ir iespējama situācija, kurā ir pamats vērtēt kompetences piešķiršanu vienai iestādei (vai ārpakalpojuma sniedzējam) centralizēti vērsties ar prasību par zaudējumu atlīdzību, </w:t>
      </w:r>
      <w:r w:rsidRPr="00250B42">
        <w:rPr>
          <w:rFonts w:ascii="Times New Roman" w:hAnsi="Times New Roman" w:cs="Times New Roman"/>
          <w:sz w:val="24"/>
          <w:szCs w:val="24"/>
          <w:u w:val="single"/>
        </w:rPr>
        <w:t>jo tās ir iespējamas valsts iestādes saistības, par kurām atbild Latvijas Republika</w:t>
      </w:r>
      <w:r w:rsidRPr="00250B42">
        <w:rPr>
          <w:rFonts w:ascii="Times New Roman" w:hAnsi="Times New Roman" w:cs="Times New Roman"/>
          <w:sz w:val="24"/>
          <w:szCs w:val="24"/>
        </w:rPr>
        <w:t>.</w:t>
      </w:r>
    </w:p>
    <w:p w14:paraId="39A2A856"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Publisko iepirkumu likuma (turpmāk – PIL) un Sabiedrisko pakalpojumu sniedzēju iepirkumu likuma (turpmāk – SPSIL) izpratnē pasūtītājs ir publiska persona vai tās institūcija, biedrība, kuras visi biedri ir pasūtītāji, nodibinājums, kura visi dibinātāji ir pasūtītāji, kā arī tāda privāto tiesību juridiskā persona, kas atbilst visiem šādiem kritērijiem:</w:t>
      </w:r>
    </w:p>
    <w:p w14:paraId="3020B5B9"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a) ir nodibināta vai darbojas, lai apmierinātu sabiedrības vajadzības, kurām nav komerciāla vai rūpnieciska rakstura,</w:t>
      </w:r>
    </w:p>
    <w:p w14:paraId="55AF6169" w14:textId="77777777" w:rsidR="009322CF" w:rsidRDefault="009322CF" w:rsidP="009322CF">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 xml:space="preserve">b) </w:t>
      </w:r>
      <w:r>
        <w:rPr>
          <w:rFonts w:ascii="Times New Roman" w:hAnsi="Times New Roman" w:cs="Times New Roman"/>
          <w:sz w:val="24"/>
          <w:szCs w:val="24"/>
        </w:rPr>
        <w:t>ir</w:t>
      </w:r>
      <w:r w:rsidRPr="00250B42">
        <w:rPr>
          <w:rFonts w:ascii="Times New Roman" w:hAnsi="Times New Roman" w:cs="Times New Roman"/>
          <w:sz w:val="24"/>
          <w:szCs w:val="24"/>
        </w:rPr>
        <w:t xml:space="preserve"> publiskas personas vai tās institūcijas padotībā vai </w:t>
      </w:r>
      <w:r w:rsidRPr="00FC48DD">
        <w:rPr>
          <w:rFonts w:ascii="Times New Roman" w:hAnsi="Times New Roman" w:cs="Times New Roman"/>
          <w:sz w:val="24"/>
          <w:szCs w:val="24"/>
        </w:rPr>
        <w:t>publiska persona vai tās institūcija, vai cita šajā punktā minētajiem kritērijiem atbilstoša privāto tiesību juridiskā persona uzrauga šādas privāto tiesību juridiskās personas pārvaldību, tostarp attiecībā uz šādu privāto tiesību juridisko personu īsteno izšķirošo ietekmi Koncernu likuma izpratnē</w:t>
      </w:r>
      <w:r w:rsidRPr="00250B42">
        <w:rPr>
          <w:rFonts w:ascii="Times New Roman" w:hAnsi="Times New Roman" w:cs="Times New Roman"/>
          <w:sz w:val="24"/>
          <w:szCs w:val="24"/>
        </w:rPr>
        <w:t>, vai arī šīs privāto tiesību juridiskās personas darbību vairāk par 50 procentiem finansē publiska persona</w:t>
      </w:r>
      <w:r>
        <w:rPr>
          <w:rFonts w:ascii="Times New Roman" w:hAnsi="Times New Roman" w:cs="Times New Roman"/>
          <w:sz w:val="24"/>
          <w:szCs w:val="24"/>
        </w:rPr>
        <w:t xml:space="preserve"> vai</w:t>
      </w:r>
      <w:r w:rsidRPr="00250B42">
        <w:rPr>
          <w:rFonts w:ascii="Times New Roman" w:hAnsi="Times New Roman" w:cs="Times New Roman"/>
          <w:sz w:val="24"/>
          <w:szCs w:val="24"/>
        </w:rPr>
        <w:t xml:space="preserve"> tās institūcija</w:t>
      </w:r>
      <w:r>
        <w:rPr>
          <w:rFonts w:ascii="Times New Roman" w:hAnsi="Times New Roman" w:cs="Times New Roman"/>
          <w:sz w:val="24"/>
          <w:szCs w:val="24"/>
        </w:rPr>
        <w:t>,</w:t>
      </w:r>
      <w:r w:rsidRPr="00250B42">
        <w:rPr>
          <w:rFonts w:ascii="Times New Roman" w:hAnsi="Times New Roman" w:cs="Times New Roman"/>
          <w:sz w:val="24"/>
          <w:szCs w:val="24"/>
        </w:rPr>
        <w:t xml:space="preserve"> vai cita </w:t>
      </w:r>
      <w:r>
        <w:rPr>
          <w:rFonts w:ascii="Times New Roman" w:hAnsi="Times New Roman" w:cs="Times New Roman"/>
          <w:sz w:val="24"/>
          <w:szCs w:val="24"/>
        </w:rPr>
        <w:t>šajā punktā minētajiem</w:t>
      </w:r>
      <w:r w:rsidRPr="00250B42">
        <w:rPr>
          <w:rFonts w:ascii="Times New Roman" w:hAnsi="Times New Roman" w:cs="Times New Roman"/>
          <w:sz w:val="24"/>
          <w:szCs w:val="24"/>
        </w:rPr>
        <w:t xml:space="preserve"> kritērijiem atbilstoša privāto tiesību juridiskā persona</w:t>
      </w:r>
      <w:r w:rsidRPr="00250B42">
        <w:rPr>
          <w:rFonts w:ascii="Times New Roman" w:hAnsi="Times New Roman" w:cs="Times New Roman"/>
          <w:sz w:val="24"/>
          <w:szCs w:val="24"/>
          <w:vertAlign w:val="superscript"/>
        </w:rPr>
        <w:footnoteReference w:id="34"/>
      </w:r>
      <w:r w:rsidRPr="00250B42">
        <w:rPr>
          <w:rFonts w:ascii="Times New Roman" w:hAnsi="Times New Roman" w:cs="Times New Roman"/>
          <w:sz w:val="24"/>
          <w:szCs w:val="24"/>
        </w:rPr>
        <w:t xml:space="preserve">. </w:t>
      </w:r>
    </w:p>
    <w:p w14:paraId="71E842CF" w14:textId="7A2CBEFD" w:rsid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Aizsardzības un drošības jomas iepirkumu likumā noteikts, ka pasūtītājs ir pasūtītājs PIL un sabiedrisko pakalpojumu sniedzējs SPSIL izpratnē</w:t>
      </w:r>
      <w:r w:rsidRPr="00250B42">
        <w:rPr>
          <w:rFonts w:ascii="Times New Roman" w:hAnsi="Times New Roman" w:cs="Times New Roman"/>
          <w:sz w:val="24"/>
          <w:szCs w:val="24"/>
          <w:vertAlign w:val="superscript"/>
        </w:rPr>
        <w:footnoteReference w:id="35"/>
      </w:r>
      <w:r w:rsidRPr="00250B42">
        <w:rPr>
          <w:rFonts w:ascii="Times New Roman" w:hAnsi="Times New Roman" w:cs="Times New Roman"/>
          <w:sz w:val="24"/>
          <w:szCs w:val="24"/>
        </w:rPr>
        <w:t>. Analoģiska minētajai pasūtītāja definīcijai ir arī publiskā partnera definīcija Publiskās un privātās partnerības likumā</w:t>
      </w:r>
      <w:r w:rsidRPr="00250B42">
        <w:rPr>
          <w:rFonts w:ascii="Times New Roman" w:hAnsi="Times New Roman" w:cs="Times New Roman"/>
          <w:sz w:val="24"/>
          <w:szCs w:val="24"/>
          <w:vertAlign w:val="superscript"/>
        </w:rPr>
        <w:footnoteReference w:id="36"/>
      </w:r>
      <w:r w:rsidRPr="00250B42">
        <w:rPr>
          <w:rFonts w:ascii="Times New Roman" w:hAnsi="Times New Roman" w:cs="Times New Roman"/>
          <w:sz w:val="24"/>
          <w:szCs w:val="24"/>
        </w:rPr>
        <w:t xml:space="preserve">. </w:t>
      </w:r>
    </w:p>
    <w:p w14:paraId="21A7EC4B" w14:textId="0D08225F" w:rsidR="009322CF" w:rsidRDefault="009322CF" w:rsidP="00250B42">
      <w:pPr>
        <w:spacing w:before="8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Norādāms, ka SPSIL kā sabiedrisko pakalpojumu sniedzējus definē vairākus subjektus</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vienlaikus, ņemot vērā mērķi informatīvajā ziņojumā analizēto zaudējumu atlīdzināšanas procesu attiecināt uz publiskiem subjektiem, lai tādējādi mazinātu publiskas personas finanšu līdzekļu izšķērdēšanas un nelietderīgas izmantošanas riskus, tad ir pamats uzskatīt, ka informatīvajā ziņojumā ietvertie īstenojamie pasākumi aktīvākai publisko personu iesaistei zaudējumu atgūšanā, kas tiem radušies organizētajos iepirkumos tirgus dalībnieku īstenoto konkurences tiesību pārkāpumu dēļ, būtu attiecināmi uz SPSIL 1. panta 27. punkta "a" apakšpunktā minētajiem subjektiem, t.i., pasūtītājiem un pasūtītāju uzņēmumiem</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w:t>
      </w:r>
    </w:p>
    <w:p w14:paraId="7657FFC6" w14:textId="77898DB5" w:rsidR="00250B42" w:rsidRPr="00250B42" w:rsidRDefault="009322CF"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lastRenderedPageBreak/>
        <w:t>Attiecīgi</w:t>
      </w:r>
      <w:r>
        <w:rPr>
          <w:rFonts w:ascii="Times New Roman" w:hAnsi="Times New Roman" w:cs="Times New Roman"/>
          <w:sz w:val="24"/>
          <w:szCs w:val="24"/>
        </w:rPr>
        <w:t>, ņemot vērā iepriekš minētos apsvērumus,</w:t>
      </w:r>
      <w:r w:rsidRPr="00250B42">
        <w:rPr>
          <w:rFonts w:ascii="Times New Roman" w:hAnsi="Times New Roman" w:cs="Times New Roman"/>
          <w:sz w:val="24"/>
          <w:szCs w:val="24"/>
        </w:rPr>
        <w:t xml:space="preserve"> centralizēta zaudējumu atlīdzināšana karteļa vienošanās pārkāpuma gadījumā attiektos uz pasūtītājiem</w:t>
      </w:r>
      <w:r>
        <w:rPr>
          <w:rFonts w:ascii="Times New Roman" w:hAnsi="Times New Roman" w:cs="Times New Roman"/>
          <w:sz w:val="24"/>
          <w:szCs w:val="24"/>
        </w:rPr>
        <w:t xml:space="preserve"> PIL izpratnē un sabiedrisko pakalpojumu sniedzējiem SPSIL 1. panta 27. punkta "a" apakšpunkta izpratnē,</w:t>
      </w:r>
      <w:r w:rsidRPr="00250B42">
        <w:rPr>
          <w:rFonts w:ascii="Times New Roman" w:hAnsi="Times New Roman" w:cs="Times New Roman"/>
          <w:sz w:val="24"/>
          <w:szCs w:val="24"/>
        </w:rPr>
        <w:t xml:space="preserve"> kuri tiek finansēti no publiskajiem naudas līdzekļiem. </w:t>
      </w:r>
      <w:r w:rsidR="00250B42" w:rsidRPr="00250B42">
        <w:rPr>
          <w:rFonts w:ascii="Times New Roman" w:hAnsi="Times New Roman" w:cs="Times New Roman"/>
          <w:sz w:val="24"/>
          <w:szCs w:val="24"/>
        </w:rPr>
        <w:t>Proti, izšķirošais apsvērums centralizētai zaudējumu atlīdzināšanai būtu apstāklis, ka iepirkums ir finansēts no publiskajiem naudas līdzekļiem, nevis pasūtītāja tiesiskais statuss, jo valstij ir būtiski, lai finansējuma saņēmējs efektīvi izmantotu tam piešķirtos naudas līdzekļus, kā arī tas ir ne tikai jākontrolē, bet arī jāveic visas nepieciešamās darbības, lai šos nepamatoti izmaksātos publiskos līdzekļus atgūtu. Visas sabiedrības interesēs ir atbalstāma un sagaidāma aktīva rīcība, lai konkurences tiesību pārkāpuma rezultātā radītos zaudējumus atgūtu.</w:t>
      </w:r>
    </w:p>
    <w:p w14:paraId="28FC4372"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Šajā sakarā norādāms, ka, piemēram, arī prokuratūru finansē no valsts budžeta un valsts nodrošina prokuratūru ar dienesta telpām, sakaru līdzekļiem un atbilstošu materiāltehnisko bāzi</w:t>
      </w:r>
      <w:r w:rsidRPr="00250B42">
        <w:rPr>
          <w:rFonts w:ascii="Times New Roman" w:hAnsi="Times New Roman" w:cs="Times New Roman"/>
          <w:sz w:val="24"/>
          <w:szCs w:val="24"/>
          <w:vertAlign w:val="superscript"/>
        </w:rPr>
        <w:footnoteReference w:id="39"/>
      </w:r>
      <w:r w:rsidRPr="00250B42">
        <w:rPr>
          <w:rFonts w:ascii="Times New Roman" w:hAnsi="Times New Roman" w:cs="Times New Roman"/>
          <w:sz w:val="24"/>
          <w:szCs w:val="24"/>
        </w:rPr>
        <w:t>, kā arī tiesu sistēmu finansē no valsts budžeta un valsts nodrošina tiesas ar atbilstošu materiāltehnisko nodrošinājumu tiesas funkciju veikšanai</w:t>
      </w:r>
      <w:r w:rsidRPr="00250B42">
        <w:rPr>
          <w:rFonts w:ascii="Times New Roman" w:hAnsi="Times New Roman" w:cs="Times New Roman"/>
          <w:sz w:val="24"/>
          <w:szCs w:val="24"/>
          <w:vertAlign w:val="superscript"/>
        </w:rPr>
        <w:footnoteReference w:id="40"/>
      </w:r>
      <w:r w:rsidRPr="00250B42">
        <w:rPr>
          <w:rFonts w:ascii="Times New Roman" w:hAnsi="Times New Roman" w:cs="Times New Roman"/>
          <w:sz w:val="24"/>
          <w:szCs w:val="24"/>
        </w:rPr>
        <w:t>. Tāpat no valsts budžeta tiek finansētas tādas neatkarīgās (autonomās) iestādes kā Valsts kontrole</w:t>
      </w:r>
      <w:r w:rsidRPr="00250B42">
        <w:rPr>
          <w:rFonts w:ascii="Times New Roman" w:hAnsi="Times New Roman" w:cs="Times New Roman"/>
          <w:sz w:val="24"/>
          <w:szCs w:val="24"/>
          <w:vertAlign w:val="superscript"/>
        </w:rPr>
        <w:footnoteReference w:id="41"/>
      </w:r>
      <w:r w:rsidRPr="00250B42">
        <w:rPr>
          <w:rFonts w:ascii="Times New Roman" w:hAnsi="Times New Roman" w:cs="Times New Roman"/>
          <w:sz w:val="24"/>
          <w:szCs w:val="24"/>
        </w:rPr>
        <w:t>, Datu valsts inspekcija</w:t>
      </w:r>
      <w:r w:rsidRPr="00250B42">
        <w:rPr>
          <w:rFonts w:ascii="Times New Roman" w:hAnsi="Times New Roman" w:cs="Times New Roman"/>
          <w:sz w:val="24"/>
          <w:szCs w:val="24"/>
          <w:vertAlign w:val="superscript"/>
        </w:rPr>
        <w:footnoteReference w:id="42"/>
      </w:r>
      <w:r w:rsidRPr="00250B42">
        <w:rPr>
          <w:rFonts w:ascii="Times New Roman" w:hAnsi="Times New Roman" w:cs="Times New Roman"/>
          <w:sz w:val="24"/>
          <w:szCs w:val="24"/>
        </w:rPr>
        <w:t xml:space="preserve">, </w:t>
      </w:r>
      <w:proofErr w:type="spellStart"/>
      <w:r w:rsidRPr="00250B42">
        <w:rPr>
          <w:rFonts w:ascii="Times New Roman" w:hAnsi="Times New Roman" w:cs="Times New Roman"/>
          <w:sz w:val="24"/>
          <w:szCs w:val="24"/>
        </w:rPr>
        <w:t>Tiesībsarga</w:t>
      </w:r>
      <w:proofErr w:type="spellEnd"/>
      <w:r w:rsidRPr="00250B42">
        <w:rPr>
          <w:rFonts w:ascii="Times New Roman" w:hAnsi="Times New Roman" w:cs="Times New Roman"/>
          <w:sz w:val="24"/>
          <w:szCs w:val="24"/>
        </w:rPr>
        <w:t xml:space="preserve"> birojs</w:t>
      </w:r>
      <w:r w:rsidRPr="00250B42">
        <w:rPr>
          <w:rFonts w:ascii="Times New Roman" w:hAnsi="Times New Roman" w:cs="Times New Roman"/>
          <w:sz w:val="24"/>
          <w:szCs w:val="24"/>
          <w:vertAlign w:val="superscript"/>
        </w:rPr>
        <w:footnoteReference w:id="43"/>
      </w:r>
      <w:r w:rsidRPr="00250B42">
        <w:rPr>
          <w:rFonts w:ascii="Times New Roman" w:hAnsi="Times New Roman" w:cs="Times New Roman"/>
          <w:sz w:val="24"/>
          <w:szCs w:val="24"/>
        </w:rPr>
        <w:t>, Centrālā vēlēšanu komisija</w:t>
      </w:r>
      <w:r w:rsidRPr="00250B42">
        <w:rPr>
          <w:rFonts w:ascii="Times New Roman" w:hAnsi="Times New Roman" w:cs="Times New Roman"/>
          <w:sz w:val="24"/>
          <w:szCs w:val="24"/>
          <w:vertAlign w:val="superscript"/>
        </w:rPr>
        <w:footnoteReference w:id="44"/>
      </w:r>
      <w:r w:rsidRPr="00250B42">
        <w:rPr>
          <w:rFonts w:ascii="Times New Roman" w:hAnsi="Times New Roman" w:cs="Times New Roman"/>
          <w:sz w:val="24"/>
          <w:szCs w:val="24"/>
        </w:rPr>
        <w:t>, Centrālā zemes komisija</w:t>
      </w:r>
      <w:r w:rsidRPr="00250B42">
        <w:rPr>
          <w:rFonts w:ascii="Times New Roman" w:hAnsi="Times New Roman" w:cs="Times New Roman"/>
          <w:sz w:val="24"/>
          <w:szCs w:val="24"/>
          <w:vertAlign w:val="superscript"/>
        </w:rPr>
        <w:footnoteReference w:id="45"/>
      </w:r>
      <w:r w:rsidRPr="00250B42">
        <w:rPr>
          <w:rFonts w:ascii="Times New Roman" w:hAnsi="Times New Roman" w:cs="Times New Roman"/>
          <w:sz w:val="24"/>
          <w:szCs w:val="24"/>
        </w:rPr>
        <w:t>. Arī Nacionālās elektronisko plašsaziņas līdzekļu padomes funkciju veikšanai un aktīvai līdzdalībai Eiropas Audiovizuālo mediju pakalpojumu regulatoru grupas (ERGA) darbā nepieciešamo finansējumu piešķir no valsts budžeta</w:t>
      </w:r>
      <w:r w:rsidRPr="00250B42">
        <w:rPr>
          <w:rFonts w:ascii="Times New Roman" w:hAnsi="Times New Roman" w:cs="Times New Roman"/>
          <w:sz w:val="24"/>
          <w:szCs w:val="24"/>
          <w:vertAlign w:val="superscript"/>
        </w:rPr>
        <w:footnoteReference w:id="46"/>
      </w:r>
      <w:r w:rsidRPr="00250B42">
        <w:rPr>
          <w:rFonts w:ascii="Times New Roman" w:hAnsi="Times New Roman" w:cs="Times New Roman"/>
          <w:sz w:val="24"/>
          <w:szCs w:val="24"/>
        </w:rPr>
        <w:t>.</w:t>
      </w:r>
    </w:p>
    <w:p w14:paraId="70B43145" w14:textId="77777777" w:rsidR="00250B42" w:rsidRPr="00250B42" w:rsidRDefault="00250B42" w:rsidP="00250B42">
      <w:pPr>
        <w:spacing w:before="80" w:after="0" w:line="240" w:lineRule="auto"/>
        <w:ind w:firstLine="720"/>
        <w:jc w:val="both"/>
        <w:rPr>
          <w:rFonts w:ascii="Times New Roman" w:hAnsi="Times New Roman" w:cs="Times New Roman"/>
          <w:sz w:val="24"/>
          <w:szCs w:val="24"/>
        </w:rPr>
      </w:pPr>
      <w:r w:rsidRPr="00250B42">
        <w:rPr>
          <w:rFonts w:ascii="Times New Roman" w:hAnsi="Times New Roman" w:cs="Times New Roman"/>
          <w:sz w:val="24"/>
          <w:szCs w:val="24"/>
        </w:rPr>
        <w:t>Tāpat valsts dibinātas augstskolas (izņemot Latvijas Nacionālo aizsardzības akadēmiju) ir atvasinātas publiskas personas</w:t>
      </w:r>
      <w:r w:rsidRPr="00250B42">
        <w:rPr>
          <w:rFonts w:ascii="Times New Roman" w:hAnsi="Times New Roman" w:cs="Times New Roman"/>
          <w:sz w:val="24"/>
          <w:szCs w:val="24"/>
          <w:vertAlign w:val="superscript"/>
        </w:rPr>
        <w:footnoteReference w:id="47"/>
      </w:r>
      <w:r w:rsidRPr="00250B42">
        <w:rPr>
          <w:rFonts w:ascii="Times New Roman" w:hAnsi="Times New Roman" w:cs="Times New Roman"/>
          <w:sz w:val="24"/>
          <w:szCs w:val="24"/>
        </w:rPr>
        <w:t xml:space="preserve"> un kārtību, kādā augstskolas tiek finansētas no valsts budžeta līdzekļiem nosaka Ministru kabineta noteikumi</w:t>
      </w:r>
      <w:r w:rsidRPr="00250B42">
        <w:rPr>
          <w:rFonts w:ascii="Times New Roman" w:hAnsi="Times New Roman" w:cs="Times New Roman"/>
          <w:sz w:val="24"/>
          <w:szCs w:val="24"/>
          <w:vertAlign w:val="superscript"/>
        </w:rPr>
        <w:footnoteReference w:id="48"/>
      </w:r>
      <w:r w:rsidRPr="00250B42">
        <w:rPr>
          <w:rFonts w:ascii="Times New Roman" w:hAnsi="Times New Roman" w:cs="Times New Roman"/>
          <w:sz w:val="24"/>
          <w:szCs w:val="24"/>
        </w:rPr>
        <w:t>. Arī publisku personu kapitālsabiedrības savas darbības nodrošināšanai saņem valsts un pašvaldību finansējumu, par kura izlietojumu tai ir jāinformē arī sabiedrība</w:t>
      </w:r>
      <w:r w:rsidRPr="00250B42">
        <w:rPr>
          <w:rFonts w:ascii="Times New Roman" w:hAnsi="Times New Roman" w:cs="Times New Roman"/>
          <w:sz w:val="24"/>
          <w:szCs w:val="24"/>
          <w:vertAlign w:val="superscript"/>
        </w:rPr>
        <w:footnoteReference w:id="49"/>
      </w:r>
      <w:r w:rsidRPr="00250B42">
        <w:rPr>
          <w:rFonts w:ascii="Times New Roman" w:hAnsi="Times New Roman" w:cs="Times New Roman"/>
          <w:sz w:val="24"/>
          <w:szCs w:val="24"/>
        </w:rPr>
        <w:t xml:space="preserve">. </w:t>
      </w:r>
    </w:p>
    <w:p w14:paraId="3D89A8CF" w14:textId="651DF426" w:rsidR="004D0386" w:rsidRPr="004D0386" w:rsidRDefault="004D0386" w:rsidP="00BC48A3">
      <w:pPr>
        <w:spacing w:after="0" w:line="240" w:lineRule="auto"/>
        <w:rPr>
          <w:rFonts w:ascii="Times New Roman" w:hAnsi="Times New Roman" w:cs="Times New Roman"/>
          <w:sz w:val="24"/>
          <w:szCs w:val="24"/>
        </w:rPr>
      </w:pPr>
    </w:p>
    <w:p w14:paraId="492C45AC" w14:textId="4279B897" w:rsidR="004D0386" w:rsidRPr="004D0386" w:rsidRDefault="004D0386" w:rsidP="004D0386">
      <w:pPr>
        <w:spacing w:after="0" w:line="240" w:lineRule="auto"/>
        <w:rPr>
          <w:rFonts w:ascii="Times New Roman" w:hAnsi="Times New Roman" w:cs="Times New Roman"/>
          <w:sz w:val="24"/>
          <w:szCs w:val="24"/>
        </w:rPr>
      </w:pPr>
    </w:p>
    <w:p w14:paraId="52AB6247" w14:textId="77777777" w:rsidR="004D0386" w:rsidRPr="004D0386" w:rsidRDefault="004D0386" w:rsidP="004D0386">
      <w:pPr>
        <w:spacing w:after="0" w:line="240" w:lineRule="auto"/>
        <w:rPr>
          <w:rFonts w:ascii="Times New Roman" w:hAnsi="Times New Roman" w:cs="Times New Roman"/>
          <w:sz w:val="24"/>
          <w:szCs w:val="24"/>
        </w:rPr>
      </w:pPr>
    </w:p>
    <w:sectPr w:rsidR="004D0386" w:rsidRPr="004D0386" w:rsidSect="00474699">
      <w:footerReference w:type="default" r:id="rId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6FCFE" w14:textId="77777777" w:rsidR="00F30C79" w:rsidRDefault="00F30C79" w:rsidP="00DC15A4">
      <w:pPr>
        <w:spacing w:after="0" w:line="240" w:lineRule="auto"/>
      </w:pPr>
      <w:r>
        <w:separator/>
      </w:r>
    </w:p>
  </w:endnote>
  <w:endnote w:type="continuationSeparator" w:id="0">
    <w:p w14:paraId="267AC509" w14:textId="77777777" w:rsidR="00F30C79" w:rsidRDefault="00F30C79" w:rsidP="00DC1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682815622"/>
      <w:docPartObj>
        <w:docPartGallery w:val="Page Numbers (Bottom of Page)"/>
        <w:docPartUnique/>
      </w:docPartObj>
    </w:sdtPr>
    <w:sdtEndPr/>
    <w:sdtContent>
      <w:p w14:paraId="028E670E" w14:textId="388FD432" w:rsidR="0034579C" w:rsidRPr="0034579C" w:rsidRDefault="0034579C">
        <w:pPr>
          <w:pStyle w:val="Footer"/>
          <w:jc w:val="center"/>
          <w:rPr>
            <w:rFonts w:ascii="Times New Roman" w:hAnsi="Times New Roman" w:cs="Times New Roman"/>
            <w:sz w:val="20"/>
            <w:szCs w:val="20"/>
          </w:rPr>
        </w:pPr>
        <w:r w:rsidRPr="0034579C">
          <w:rPr>
            <w:rFonts w:ascii="Times New Roman" w:hAnsi="Times New Roman" w:cs="Times New Roman"/>
            <w:sz w:val="20"/>
            <w:szCs w:val="20"/>
          </w:rPr>
          <w:fldChar w:fldCharType="begin"/>
        </w:r>
        <w:r w:rsidRPr="0034579C">
          <w:rPr>
            <w:rFonts w:ascii="Times New Roman" w:hAnsi="Times New Roman" w:cs="Times New Roman"/>
            <w:sz w:val="20"/>
            <w:szCs w:val="20"/>
          </w:rPr>
          <w:instrText>PAGE   \* MERGEFORMAT</w:instrText>
        </w:r>
        <w:r w:rsidRPr="0034579C">
          <w:rPr>
            <w:rFonts w:ascii="Times New Roman" w:hAnsi="Times New Roman" w:cs="Times New Roman"/>
            <w:sz w:val="20"/>
            <w:szCs w:val="20"/>
          </w:rPr>
          <w:fldChar w:fldCharType="separate"/>
        </w:r>
        <w:r w:rsidRPr="0034579C">
          <w:rPr>
            <w:rFonts w:ascii="Times New Roman" w:hAnsi="Times New Roman" w:cs="Times New Roman"/>
            <w:sz w:val="20"/>
            <w:szCs w:val="20"/>
          </w:rPr>
          <w:t>2</w:t>
        </w:r>
        <w:r w:rsidRPr="0034579C">
          <w:rPr>
            <w:rFonts w:ascii="Times New Roman" w:hAnsi="Times New Roman" w:cs="Times New Roman"/>
            <w:sz w:val="20"/>
            <w:szCs w:val="20"/>
          </w:rPr>
          <w:fldChar w:fldCharType="end"/>
        </w:r>
      </w:p>
    </w:sdtContent>
  </w:sdt>
  <w:p w14:paraId="0C63E5F5" w14:textId="77777777" w:rsidR="0034579C" w:rsidRPr="0034579C" w:rsidRDefault="0034579C">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F28A7" w14:textId="77777777" w:rsidR="00F30C79" w:rsidRDefault="00F30C79" w:rsidP="00DC15A4">
      <w:pPr>
        <w:spacing w:after="0" w:line="240" w:lineRule="auto"/>
      </w:pPr>
      <w:r>
        <w:separator/>
      </w:r>
    </w:p>
  </w:footnote>
  <w:footnote w:type="continuationSeparator" w:id="0">
    <w:p w14:paraId="5F8CA4EF" w14:textId="77777777" w:rsidR="00F30C79" w:rsidRDefault="00F30C79" w:rsidP="00DC15A4">
      <w:pPr>
        <w:spacing w:after="0" w:line="240" w:lineRule="auto"/>
      </w:pPr>
      <w:r>
        <w:continuationSeparator/>
      </w:r>
    </w:p>
  </w:footnote>
  <w:footnote w:id="1">
    <w:p w14:paraId="2E0969F2" w14:textId="77777777" w:rsidR="00DC15A4" w:rsidRPr="00477C8B" w:rsidRDefault="00DC15A4" w:rsidP="00DC15A4">
      <w:pPr>
        <w:pStyle w:val="FootnoteText"/>
        <w:ind w:left="142" w:hanging="142"/>
      </w:pPr>
      <w:r w:rsidRPr="00477C8B">
        <w:rPr>
          <w:rStyle w:val="FootnoteReference"/>
        </w:rPr>
        <w:footnoteRef/>
      </w:r>
      <w:r w:rsidRPr="00477C8B">
        <w:t xml:space="preserve"> EST 20.09.2001. spriedums lietā Nr. C-453/99, </w:t>
      </w:r>
      <w:proofErr w:type="spellStart"/>
      <w:r w:rsidRPr="00477C8B">
        <w:rPr>
          <w:i/>
          <w:iCs/>
        </w:rPr>
        <w:t>Courage</w:t>
      </w:r>
      <w:proofErr w:type="spellEnd"/>
      <w:r w:rsidRPr="00477C8B">
        <w:rPr>
          <w:i/>
          <w:iCs/>
        </w:rPr>
        <w:t xml:space="preserve"> </w:t>
      </w:r>
      <w:proofErr w:type="spellStart"/>
      <w:r w:rsidRPr="00477C8B">
        <w:rPr>
          <w:i/>
          <w:iCs/>
        </w:rPr>
        <w:t>Ltd</w:t>
      </w:r>
      <w:proofErr w:type="spellEnd"/>
      <w:r w:rsidRPr="00477C8B">
        <w:t xml:space="preserve">, 27. punkts. Pieejams: </w:t>
      </w:r>
      <w:hyperlink r:id="rId1" w:history="1">
        <w:r w:rsidRPr="00477C8B">
          <w:rPr>
            <w:rStyle w:val="Hyperlink"/>
          </w:rPr>
          <w:t>https://eur-lex.europa.eu/legal-content/LV/TXT/HTML/?uri=CELEX:61999CJ0453&amp;from=LV</w:t>
        </w:r>
      </w:hyperlink>
      <w:r w:rsidRPr="00477C8B">
        <w:t xml:space="preserve">; 13.07.2006. spriedums apvienotajās lietās Nr. C-295/04 līdz C-298/04, </w:t>
      </w:r>
      <w:r w:rsidRPr="00477C8B">
        <w:rPr>
          <w:i/>
          <w:iCs/>
        </w:rPr>
        <w:t>Manfredi</w:t>
      </w:r>
      <w:r w:rsidRPr="00477C8B">
        <w:t xml:space="preserve">, 91. punkts. Pieejams: </w:t>
      </w:r>
      <w:hyperlink r:id="rId2" w:history="1">
        <w:r w:rsidRPr="00477C8B">
          <w:rPr>
            <w:rStyle w:val="Hyperlink"/>
          </w:rPr>
          <w:t>https://eur-lex.europa.eu/legal-content/LV/TXT/HTML/?uri=CELEX:62004CJ0295&amp;from=LV</w:t>
        </w:r>
      </w:hyperlink>
      <w:r w:rsidRPr="00477C8B">
        <w:t xml:space="preserve">. </w:t>
      </w:r>
    </w:p>
  </w:footnote>
  <w:footnote w:id="2">
    <w:p w14:paraId="3A3241C8" w14:textId="77777777" w:rsidR="00DC15A4" w:rsidRPr="00477C8B" w:rsidRDefault="00DC15A4" w:rsidP="00DC15A4">
      <w:pPr>
        <w:pStyle w:val="FootnoteText"/>
        <w:ind w:left="142" w:hanging="142"/>
      </w:pPr>
      <w:r w:rsidRPr="00477C8B">
        <w:rPr>
          <w:rStyle w:val="FootnoteReference"/>
        </w:rPr>
        <w:footnoteRef/>
      </w:r>
      <w:r w:rsidRPr="00477C8B">
        <w:t xml:space="preserve"> </w:t>
      </w:r>
      <w:r w:rsidRPr="00477C8B">
        <w:t xml:space="preserve">Senāta Administratīvo lietu departamenta 29.05.2015. spriedums lietā Nr. SKA-122/2015, 7. punkts. Pieejams: </w:t>
      </w:r>
      <w:hyperlink r:id="rId3" w:history="1">
        <w:r w:rsidRPr="00477C8B">
          <w:rPr>
            <w:rStyle w:val="Hyperlink"/>
          </w:rPr>
          <w:t>https://tiesas.lv/nolemumi/pdf/217670.pdf</w:t>
        </w:r>
      </w:hyperlink>
      <w:r w:rsidRPr="00477C8B">
        <w:t xml:space="preserve">. </w:t>
      </w:r>
    </w:p>
  </w:footnote>
  <w:footnote w:id="3">
    <w:p w14:paraId="35125978" w14:textId="77777777" w:rsidR="00DC15A4" w:rsidRPr="00477C8B" w:rsidRDefault="00DC15A4" w:rsidP="00DC15A4">
      <w:pPr>
        <w:pStyle w:val="FootnoteText"/>
        <w:ind w:left="142" w:hanging="142"/>
      </w:pPr>
      <w:r w:rsidRPr="00477C8B">
        <w:rPr>
          <w:rStyle w:val="FootnoteReference"/>
        </w:rPr>
        <w:footnoteRef/>
      </w:r>
      <w:r w:rsidRPr="00477C8B">
        <w:t xml:space="preserve"> </w:t>
      </w:r>
      <w:r w:rsidRPr="00477C8B">
        <w:t xml:space="preserve">Senāta Administratīvo lietu departamenta 11.01.2013. spriedums lietā Nr. SKA-58/2013, 7. punkts. Pieejams: </w:t>
      </w:r>
      <w:hyperlink r:id="rId4" w:history="1">
        <w:r w:rsidRPr="00477C8B">
          <w:rPr>
            <w:rStyle w:val="Hyperlink"/>
          </w:rPr>
          <w:t>https://www.tiesas.lv/nolemumi/pdf/126132.pdf</w:t>
        </w:r>
      </w:hyperlink>
      <w:r w:rsidRPr="00477C8B">
        <w:t xml:space="preserve">. </w:t>
      </w:r>
    </w:p>
  </w:footnote>
  <w:footnote w:id="4">
    <w:p w14:paraId="5F408D02" w14:textId="77777777" w:rsidR="005F1519" w:rsidRPr="00477C8B" w:rsidRDefault="005F1519" w:rsidP="005F1519">
      <w:pPr>
        <w:pStyle w:val="FootnoteText"/>
      </w:pPr>
      <w:r w:rsidRPr="00477C8B">
        <w:rPr>
          <w:rStyle w:val="FootnoteReference"/>
        </w:rPr>
        <w:footnoteRef/>
      </w:r>
      <w:r w:rsidRPr="00477C8B">
        <w:t xml:space="preserve"> </w:t>
      </w:r>
      <w:r w:rsidRPr="00477C8B">
        <w:t>VK reglamenta 10.7. apakšpunkts; Ministru kabineta 20.05.2003. noteikumi Nr. 263 “Valsts kancelejas nolikums” 3.12. apakšpunkts.</w:t>
      </w:r>
    </w:p>
  </w:footnote>
  <w:footnote w:id="5">
    <w:p w14:paraId="4A6E5EBE" w14:textId="77777777" w:rsidR="005F1519" w:rsidRPr="00477C8B" w:rsidRDefault="005F1519" w:rsidP="005F1519">
      <w:pPr>
        <w:pStyle w:val="FootnoteText"/>
      </w:pPr>
      <w:r w:rsidRPr="00477C8B">
        <w:rPr>
          <w:rStyle w:val="FootnoteReference"/>
        </w:rPr>
        <w:footnoteRef/>
      </w:r>
      <w:r w:rsidRPr="00477C8B">
        <w:t xml:space="preserve"> </w:t>
      </w:r>
      <w:r w:rsidRPr="00477C8B">
        <w:t>Ministru kabineta 03.05.2017. noteikumu Nr. 228 “Pārstāvības nodrošināšanas kārtība starptautisko ieguldījumu strīdu izskatīšanā” 2. punkts.</w:t>
      </w:r>
    </w:p>
  </w:footnote>
  <w:footnote w:id="6">
    <w:p w14:paraId="073570C6" w14:textId="77777777" w:rsidR="005F1519" w:rsidRPr="00477C8B" w:rsidRDefault="005F1519" w:rsidP="005F1519">
      <w:pPr>
        <w:pStyle w:val="FootnoteText"/>
        <w:ind w:left="142" w:hanging="142"/>
      </w:pPr>
      <w:r w:rsidRPr="00477C8B">
        <w:rPr>
          <w:rStyle w:val="FootnoteReference"/>
        </w:rPr>
        <w:footnoteRef/>
      </w:r>
      <w:r w:rsidRPr="00477C8B">
        <w:t xml:space="preserve"> </w:t>
      </w:r>
      <w:r w:rsidRPr="00477C8B">
        <w:t>Valsts kontroles likuma 57.</w:t>
      </w:r>
      <w:r w:rsidRPr="00477C8B">
        <w:rPr>
          <w:vertAlign w:val="superscript"/>
        </w:rPr>
        <w:t>1</w:t>
      </w:r>
      <w:r w:rsidRPr="00477C8B">
        <w:t> panta, XIV nodaļa; Publiskas personas finanšu līdzekļu un mantas izšķērdēšanas novēršanas likuma 15. pants.</w:t>
      </w:r>
    </w:p>
  </w:footnote>
  <w:footnote w:id="7">
    <w:p w14:paraId="283415ED" w14:textId="77777777" w:rsidR="005F1519" w:rsidRPr="00477C8B" w:rsidRDefault="005F1519" w:rsidP="005F1519">
      <w:pPr>
        <w:pStyle w:val="FootnoteText"/>
      </w:pPr>
      <w:r w:rsidRPr="00477C8B">
        <w:rPr>
          <w:rStyle w:val="FootnoteReference"/>
        </w:rPr>
        <w:footnoteRef/>
      </w:r>
      <w:r w:rsidRPr="00477C8B">
        <w:t xml:space="preserve"> </w:t>
      </w:r>
      <w:r w:rsidRPr="00477C8B">
        <w:t>Saskaņā ar Ministru kabineta 07.03.2017. noteikumiem Nr. 121 “Pārstāvības kārtība starptautiskajās cilvēktiesību institūcijās”.</w:t>
      </w:r>
    </w:p>
  </w:footnote>
  <w:footnote w:id="8">
    <w:p w14:paraId="7139EF33" w14:textId="77777777" w:rsidR="005F1519" w:rsidRPr="00477C8B" w:rsidRDefault="005F1519" w:rsidP="005F1519">
      <w:pPr>
        <w:pStyle w:val="FootnoteText"/>
      </w:pPr>
      <w:r w:rsidRPr="00477C8B">
        <w:rPr>
          <w:rStyle w:val="FootnoteReference"/>
        </w:rPr>
        <w:footnoteRef/>
      </w:r>
      <w:r w:rsidRPr="00477C8B">
        <w:t xml:space="preserve"> </w:t>
      </w:r>
      <w:r w:rsidRPr="00477C8B">
        <w:t>Saskaņā ar Ministru kabineta 02.12.2008. noteikumiem Nr. 995 “Kārtība, kādā sagatavo un apstiprina Latvijas Republikas nostājas projektu un nodrošina Latvijas Republikas pārstāvību Eiropas Savienības Tiesā un Eiropas Brīvās tirdzniecības asociācijas tiesā”; TM  reglamenta 27.</w:t>
      </w:r>
      <w:r w:rsidRPr="00477C8B">
        <w:rPr>
          <w:vertAlign w:val="superscript"/>
        </w:rPr>
        <w:t>1</w:t>
      </w:r>
      <w:r w:rsidRPr="00477C8B">
        <w:t> punkts un tā apakšpunkti.</w:t>
      </w:r>
    </w:p>
  </w:footnote>
  <w:footnote w:id="9">
    <w:p w14:paraId="569A6A04" w14:textId="77777777" w:rsidR="005F1519" w:rsidRPr="00477C8B" w:rsidRDefault="005F1519" w:rsidP="004E45AD">
      <w:pPr>
        <w:pStyle w:val="FootnoteText"/>
      </w:pPr>
      <w:r w:rsidRPr="00477C8B">
        <w:rPr>
          <w:rStyle w:val="FootnoteReference"/>
        </w:rPr>
        <w:footnoteRef/>
      </w:r>
      <w:r w:rsidRPr="00477C8B">
        <w:t xml:space="preserve"> </w:t>
      </w:r>
      <w:r w:rsidRPr="00477C8B">
        <w:t>Saskaņā ar Ministru kabineta 08.09.2015. noteikumu Nr. 517 “Kārtība, kādā ziņo par konstatētajām neatbilstībām un atgūst neatbilstoši veiktos izdevumus Eiropas Savienības struktūrfondu un Kohēzijas fonda ieviešanā 2014. – 2020. gada plānošanas periodā”.</w:t>
      </w:r>
    </w:p>
  </w:footnote>
  <w:footnote w:id="10">
    <w:p w14:paraId="621361D9" w14:textId="77777777" w:rsidR="004E45AD" w:rsidRPr="00477C8B" w:rsidRDefault="004E45AD" w:rsidP="004E45AD">
      <w:pPr>
        <w:pStyle w:val="FootnoteText"/>
        <w:ind w:left="142" w:hanging="142"/>
      </w:pPr>
      <w:r w:rsidRPr="00477C8B">
        <w:rPr>
          <w:rStyle w:val="FootnoteReference"/>
        </w:rPr>
        <w:footnoteRef/>
      </w:r>
      <w:r w:rsidRPr="00477C8B">
        <w:t xml:space="preserve"> </w:t>
      </w:r>
      <w:r w:rsidRPr="00477C8B">
        <w:t>Skatīt, piemēram, Konkurences likuma VI nodaļu un Civilprocesa likuma 30.</w:t>
      </w:r>
      <w:r w:rsidRPr="00477C8B">
        <w:rPr>
          <w:vertAlign w:val="superscript"/>
        </w:rPr>
        <w:t>6</w:t>
      </w:r>
      <w:r w:rsidRPr="00477C8B">
        <w:t xml:space="preserve"> nodaļu.</w:t>
      </w:r>
    </w:p>
  </w:footnote>
  <w:footnote w:id="11">
    <w:p w14:paraId="1C9DAA96"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w:t>
      </w:r>
      <w:proofErr w:type="spellStart"/>
      <w:r w:rsidRPr="00477C8B">
        <w:rPr>
          <w:lang w:val="en-US"/>
        </w:rPr>
        <w:t>Stöhr</w:t>
      </w:r>
      <w:proofErr w:type="spellEnd"/>
      <w:r w:rsidRPr="00477C8B">
        <w:rPr>
          <w:lang w:val="en-US"/>
        </w:rPr>
        <w:t xml:space="preserve"> A, The Implementation of Collective Redress – A Comparative Approach. Cambridge University Press. German Law Journal, 2020, No. 21, pp. 1606-1624.</w:t>
      </w:r>
    </w:p>
  </w:footnote>
  <w:footnote w:id="12">
    <w:p w14:paraId="67A5ED6B"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USA. Federal Rules of Civil Procedure. Rule 23. Class Actions. Available: </w:t>
      </w:r>
      <w:hyperlink r:id="rId5" w:history="1">
        <w:r w:rsidRPr="00477C8B">
          <w:rPr>
            <w:rStyle w:val="Hyperlink"/>
            <w:lang w:val="en-US"/>
          </w:rPr>
          <w:t>https://www.law.cornell.edu/rules/frcp/rule_23</w:t>
        </w:r>
      </w:hyperlink>
      <w:r w:rsidRPr="00477C8B">
        <w:rPr>
          <w:lang w:val="en-US"/>
        </w:rPr>
        <w:t xml:space="preserve"> </w:t>
      </w:r>
    </w:p>
  </w:footnote>
  <w:footnote w:id="13">
    <w:p w14:paraId="63921329"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Swedish Group Proceedings Act (</w:t>
      </w:r>
      <w:proofErr w:type="spellStart"/>
      <w:r w:rsidRPr="00477C8B">
        <w:rPr>
          <w:lang w:val="en-US"/>
        </w:rPr>
        <w:t>Svensk</w:t>
      </w:r>
      <w:proofErr w:type="spellEnd"/>
      <w:r w:rsidRPr="00477C8B">
        <w:rPr>
          <w:lang w:val="en-US"/>
        </w:rPr>
        <w:t xml:space="preserve"> </w:t>
      </w:r>
      <w:proofErr w:type="spellStart"/>
      <w:r w:rsidRPr="00477C8B">
        <w:rPr>
          <w:lang w:val="en-US"/>
        </w:rPr>
        <w:t>författningssamling</w:t>
      </w:r>
      <w:proofErr w:type="spellEnd"/>
      <w:r w:rsidRPr="00477C8B">
        <w:rPr>
          <w:lang w:val="en-US"/>
        </w:rPr>
        <w:t xml:space="preserve"> [SFS] 2002:599). Available: </w:t>
      </w:r>
      <w:hyperlink r:id="rId6" w:history="1">
        <w:r w:rsidRPr="00477C8B">
          <w:rPr>
            <w:rStyle w:val="Hyperlink"/>
            <w:lang w:val="en-US"/>
          </w:rPr>
          <w:t>https://www.government.se/49d550/contentassets/ee615abb083742e88b9fd4fac8f82183/group-proceedings-act-2002_599.pdf</w:t>
        </w:r>
      </w:hyperlink>
      <w:r w:rsidRPr="00477C8B">
        <w:rPr>
          <w:lang w:val="en-US"/>
        </w:rPr>
        <w:t xml:space="preserve">. See also: Collective Redress. Sweden. Available: </w:t>
      </w:r>
      <w:hyperlink r:id="rId7" w:history="1">
        <w:r w:rsidRPr="00477C8B">
          <w:rPr>
            <w:rStyle w:val="Hyperlink"/>
            <w:lang w:val="en-US"/>
          </w:rPr>
          <w:t>https://www.collectiveredress.org/collective-redress/reports/sweden/overview</w:t>
        </w:r>
      </w:hyperlink>
      <w:r w:rsidRPr="00477C8B">
        <w:rPr>
          <w:lang w:val="en-US"/>
        </w:rPr>
        <w:t xml:space="preserve"> </w:t>
      </w:r>
    </w:p>
  </w:footnote>
  <w:footnote w:id="14">
    <w:p w14:paraId="75F5FE4F" w14:textId="77777777" w:rsidR="004E45AD" w:rsidRPr="00477C8B" w:rsidRDefault="004E45AD" w:rsidP="004E45AD">
      <w:pPr>
        <w:pStyle w:val="FootnoteText"/>
        <w:ind w:left="142" w:hanging="142"/>
      </w:pPr>
      <w:r w:rsidRPr="00477C8B">
        <w:rPr>
          <w:rStyle w:val="FootnoteReference"/>
          <w:lang w:val="en-US"/>
        </w:rPr>
        <w:footnoteRef/>
      </w:r>
      <w:r w:rsidRPr="00477C8B">
        <w:rPr>
          <w:lang w:val="en-US"/>
        </w:rPr>
        <w:t xml:space="preserve"> Finnish Class Action Act (</w:t>
      </w:r>
      <w:proofErr w:type="spellStart"/>
      <w:r w:rsidRPr="00477C8B">
        <w:t>Ryhmäkannelaki</w:t>
      </w:r>
      <w:proofErr w:type="spellEnd"/>
      <w:r w:rsidRPr="00477C8B">
        <w:t xml:space="preserve">) </w:t>
      </w:r>
      <w:r w:rsidRPr="00477C8B">
        <w:rPr>
          <w:lang w:val="en-US"/>
        </w:rPr>
        <w:t>444/2007</w:t>
      </w:r>
      <w:r w:rsidRPr="00477C8B">
        <w:t xml:space="preserve">. </w:t>
      </w:r>
      <w:proofErr w:type="spellStart"/>
      <w:r w:rsidRPr="00477C8B">
        <w:t>Available</w:t>
      </w:r>
      <w:proofErr w:type="spellEnd"/>
      <w:r w:rsidRPr="00477C8B">
        <w:t xml:space="preserve">: </w:t>
      </w:r>
      <w:hyperlink r:id="rId8" w:history="1">
        <w:r w:rsidRPr="00477C8B">
          <w:rPr>
            <w:rStyle w:val="Hyperlink"/>
          </w:rPr>
          <w:t>https://www.finlex.fi/en/laki/kaannokset/2007/en20070444.pdf</w:t>
        </w:r>
      </w:hyperlink>
      <w:r w:rsidRPr="00477C8B">
        <w:t xml:space="preserve"> </w:t>
      </w:r>
    </w:p>
  </w:footnote>
  <w:footnote w:id="15">
    <w:p w14:paraId="792A048C" w14:textId="77777777" w:rsidR="004E45AD" w:rsidRPr="00477C8B" w:rsidRDefault="004E45AD" w:rsidP="004E45AD">
      <w:pPr>
        <w:pStyle w:val="FootnoteText"/>
        <w:ind w:left="142" w:hanging="142"/>
        <w:rPr>
          <w:lang w:val="en-US"/>
        </w:rPr>
      </w:pPr>
      <w:r w:rsidRPr="00477C8B">
        <w:rPr>
          <w:rStyle w:val="FootnoteReference"/>
        </w:rPr>
        <w:footnoteRef/>
      </w:r>
      <w:r w:rsidRPr="00477C8B">
        <w:t xml:space="preserve"> </w:t>
      </w:r>
      <w:r w:rsidRPr="00477C8B">
        <w:rPr>
          <w:lang w:val="en-US"/>
        </w:rPr>
        <w:t>Danish Administration of Justice Act. Sec. 254a-k.</w:t>
      </w:r>
    </w:p>
  </w:footnote>
  <w:footnote w:id="16">
    <w:p w14:paraId="5BFD65C5"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Norwegian Act relating to Mediation and Procedure in Civil Disputes. Chapter 35. Available: </w:t>
      </w:r>
      <w:hyperlink r:id="rId9" w:anchor="&amp;" w:history="1">
        <w:r w:rsidRPr="00477C8B">
          <w:rPr>
            <w:rStyle w:val="Hyperlink"/>
            <w:lang w:val="en-US"/>
          </w:rPr>
          <w:t>https://lovdata.no/dokument/NLE/lov/2005-06-17-90/*#&amp;#x2a</w:t>
        </w:r>
      </w:hyperlink>
      <w:r w:rsidRPr="00477C8B">
        <w:rPr>
          <w:lang w:val="en-US"/>
        </w:rPr>
        <w:t xml:space="preserve">; </w:t>
      </w:r>
    </w:p>
  </w:footnote>
  <w:footnote w:id="17">
    <w:p w14:paraId="23361A99"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Italian Class Action Suit (Azione di </w:t>
      </w:r>
      <w:proofErr w:type="spellStart"/>
      <w:r w:rsidRPr="00477C8B">
        <w:rPr>
          <w:lang w:val="en-US"/>
        </w:rPr>
        <w:t>Classe</w:t>
      </w:r>
      <w:proofErr w:type="spellEnd"/>
      <w:r w:rsidRPr="00477C8B">
        <w:rPr>
          <w:lang w:val="en-US"/>
        </w:rPr>
        <w:t>): Art. 140-bis Consumer Code.</w:t>
      </w:r>
    </w:p>
  </w:footnote>
  <w:footnote w:id="18">
    <w:p w14:paraId="6DA725DD"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Polish Act on Pursuing Claims in Group Proceedings.</w:t>
      </w:r>
    </w:p>
  </w:footnote>
  <w:footnote w:id="19">
    <w:p w14:paraId="406477A9"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British Consumer Rights Act. Available: </w:t>
      </w:r>
      <w:hyperlink r:id="rId10" w:history="1">
        <w:r w:rsidRPr="00477C8B">
          <w:rPr>
            <w:rStyle w:val="Hyperlink"/>
            <w:lang w:val="en-US"/>
          </w:rPr>
          <w:t>https://www.legislation.gov.uk/ukpga/2015/15/contents/enacted</w:t>
        </w:r>
      </w:hyperlink>
    </w:p>
  </w:footnote>
  <w:footnote w:id="20">
    <w:p w14:paraId="694F6948"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French Consumer Code “Class Actions” (Art. L 423-1 to L.423-32 and R.623-1 to R.623-33).</w:t>
      </w:r>
    </w:p>
  </w:footnote>
  <w:footnote w:id="21">
    <w:p w14:paraId="2686D5A9"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Belgian Action </w:t>
      </w:r>
      <w:proofErr w:type="gramStart"/>
      <w:r w:rsidRPr="00477C8B">
        <w:rPr>
          <w:lang w:val="en-US"/>
        </w:rPr>
        <w:t>For</w:t>
      </w:r>
      <w:proofErr w:type="gramEnd"/>
      <w:r w:rsidRPr="00477C8B">
        <w:rPr>
          <w:lang w:val="en-US"/>
        </w:rPr>
        <w:t xml:space="preserve"> Collective Reparation Act.</w:t>
      </w:r>
    </w:p>
  </w:footnote>
  <w:footnote w:id="22">
    <w:p w14:paraId="1DBF7A74"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Lithuanian Code of Civil Procedure (Art.441-1 to 441-17).</w:t>
      </w:r>
    </w:p>
  </w:footnote>
  <w:footnote w:id="23">
    <w:p w14:paraId="55C9879C"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Hungarian Civil Procedure Code (Part 8 Chapter XLII).</w:t>
      </w:r>
    </w:p>
  </w:footnote>
  <w:footnote w:id="24">
    <w:p w14:paraId="2F6452D9"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Slovenian Law on Collective Actions.</w:t>
      </w:r>
    </w:p>
  </w:footnote>
  <w:footnote w:id="25">
    <w:p w14:paraId="36CB2D3E"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w:t>
      </w:r>
      <w:proofErr w:type="spellStart"/>
      <w:r w:rsidRPr="00477C8B">
        <w:rPr>
          <w:lang w:val="en-US"/>
        </w:rPr>
        <w:t>Gesetz</w:t>
      </w:r>
      <w:proofErr w:type="spellEnd"/>
      <w:r w:rsidRPr="00477C8B">
        <w:rPr>
          <w:lang w:val="en-US"/>
        </w:rPr>
        <w:t xml:space="preserve"> </w:t>
      </w:r>
      <w:proofErr w:type="spellStart"/>
      <w:r w:rsidRPr="00477C8B">
        <w:rPr>
          <w:lang w:val="en-US"/>
        </w:rPr>
        <w:t>über</w:t>
      </w:r>
      <w:proofErr w:type="spellEnd"/>
      <w:r w:rsidRPr="00477C8B">
        <w:rPr>
          <w:lang w:val="en-US"/>
        </w:rPr>
        <w:t xml:space="preserve"> </w:t>
      </w:r>
      <w:proofErr w:type="spellStart"/>
      <w:r w:rsidRPr="00477C8B">
        <w:rPr>
          <w:lang w:val="en-US"/>
        </w:rPr>
        <w:t>Unterlassungsklagen</w:t>
      </w:r>
      <w:proofErr w:type="spellEnd"/>
      <w:r w:rsidRPr="00477C8B">
        <w:rPr>
          <w:lang w:val="en-US"/>
        </w:rPr>
        <w:t xml:space="preserve"> </w:t>
      </w:r>
      <w:proofErr w:type="spellStart"/>
      <w:r w:rsidRPr="00477C8B">
        <w:rPr>
          <w:lang w:val="en-US"/>
        </w:rPr>
        <w:t>bei</w:t>
      </w:r>
      <w:proofErr w:type="spellEnd"/>
      <w:r w:rsidRPr="00477C8B">
        <w:rPr>
          <w:lang w:val="en-US"/>
        </w:rPr>
        <w:t xml:space="preserve"> </w:t>
      </w:r>
      <w:proofErr w:type="spellStart"/>
      <w:r w:rsidRPr="00477C8B">
        <w:rPr>
          <w:lang w:val="en-US"/>
        </w:rPr>
        <w:t>Verbraucherrechts</w:t>
      </w:r>
      <w:proofErr w:type="spellEnd"/>
      <w:r w:rsidRPr="00477C8B">
        <w:rPr>
          <w:lang w:val="en-US"/>
        </w:rPr>
        <w:t xml:space="preserve">- und </w:t>
      </w:r>
      <w:proofErr w:type="spellStart"/>
      <w:r w:rsidRPr="00477C8B">
        <w:rPr>
          <w:lang w:val="en-US"/>
        </w:rPr>
        <w:t>anderen</w:t>
      </w:r>
      <w:proofErr w:type="spellEnd"/>
      <w:r w:rsidRPr="00477C8B">
        <w:rPr>
          <w:lang w:val="en-US"/>
        </w:rPr>
        <w:t xml:space="preserve"> </w:t>
      </w:r>
      <w:proofErr w:type="spellStart"/>
      <w:r w:rsidRPr="00477C8B">
        <w:rPr>
          <w:lang w:val="en-US"/>
        </w:rPr>
        <w:t>Verstößen</w:t>
      </w:r>
      <w:proofErr w:type="spellEnd"/>
      <w:r w:rsidRPr="00477C8B">
        <w:rPr>
          <w:lang w:val="en-US"/>
        </w:rPr>
        <w:t xml:space="preserve">. </w:t>
      </w:r>
      <w:proofErr w:type="spellStart"/>
      <w:r w:rsidRPr="00477C8B">
        <w:rPr>
          <w:lang w:val="en-US"/>
        </w:rPr>
        <w:t>Verfügbar</w:t>
      </w:r>
      <w:proofErr w:type="spellEnd"/>
      <w:r w:rsidRPr="00477C8B">
        <w:rPr>
          <w:lang w:val="en-US"/>
        </w:rPr>
        <w:t xml:space="preserve">: </w:t>
      </w:r>
      <w:hyperlink r:id="rId11" w:history="1">
        <w:r w:rsidRPr="00477C8B">
          <w:rPr>
            <w:rStyle w:val="Hyperlink"/>
            <w:lang w:val="en-US"/>
          </w:rPr>
          <w:t>http://www.gesetze-im-internet.de/uklag/</w:t>
        </w:r>
      </w:hyperlink>
    </w:p>
  </w:footnote>
  <w:footnote w:id="26">
    <w:p w14:paraId="2B937845" w14:textId="77777777" w:rsidR="004E45AD" w:rsidRPr="00477C8B" w:rsidRDefault="004E45AD" w:rsidP="004E45AD">
      <w:pPr>
        <w:pStyle w:val="FootnoteText"/>
        <w:ind w:left="142" w:hanging="142"/>
        <w:rPr>
          <w:lang w:val="en-US"/>
        </w:rPr>
      </w:pPr>
      <w:r w:rsidRPr="00477C8B">
        <w:rPr>
          <w:rStyle w:val="FootnoteReference"/>
          <w:lang w:val="en-US"/>
        </w:rPr>
        <w:footnoteRef/>
      </w:r>
      <w:r w:rsidRPr="00477C8B">
        <w:rPr>
          <w:lang w:val="en-US"/>
        </w:rPr>
        <w:t xml:space="preserve"> </w:t>
      </w:r>
      <w:proofErr w:type="spellStart"/>
      <w:r w:rsidRPr="00477C8B">
        <w:rPr>
          <w:lang w:val="en-US"/>
        </w:rPr>
        <w:t>Eiropas</w:t>
      </w:r>
      <w:proofErr w:type="spellEnd"/>
      <w:r w:rsidRPr="00477C8B">
        <w:rPr>
          <w:lang w:val="en-US"/>
        </w:rPr>
        <w:t xml:space="preserve"> </w:t>
      </w:r>
      <w:proofErr w:type="spellStart"/>
      <w:r w:rsidRPr="00477C8B">
        <w:rPr>
          <w:lang w:val="en-US"/>
        </w:rPr>
        <w:t>Parlamenta</w:t>
      </w:r>
      <w:proofErr w:type="spellEnd"/>
      <w:r w:rsidRPr="00477C8B">
        <w:rPr>
          <w:lang w:val="en-US"/>
        </w:rPr>
        <w:t xml:space="preserve"> un </w:t>
      </w:r>
      <w:proofErr w:type="spellStart"/>
      <w:r w:rsidRPr="00477C8B">
        <w:rPr>
          <w:lang w:val="en-US"/>
        </w:rPr>
        <w:t>Padomes</w:t>
      </w:r>
      <w:proofErr w:type="spellEnd"/>
      <w:r w:rsidRPr="00477C8B">
        <w:rPr>
          <w:lang w:val="en-US"/>
        </w:rPr>
        <w:t xml:space="preserve"> </w:t>
      </w:r>
      <w:proofErr w:type="spellStart"/>
      <w:r w:rsidRPr="00477C8B">
        <w:rPr>
          <w:lang w:val="en-US"/>
        </w:rPr>
        <w:t>Direktīva</w:t>
      </w:r>
      <w:proofErr w:type="spellEnd"/>
      <w:r w:rsidRPr="00477C8B">
        <w:rPr>
          <w:lang w:val="en-US"/>
        </w:rPr>
        <w:t xml:space="preserve"> Nr. 9223/20 par </w:t>
      </w:r>
      <w:proofErr w:type="spellStart"/>
      <w:r w:rsidRPr="00477C8B">
        <w:rPr>
          <w:lang w:val="en-US"/>
        </w:rPr>
        <w:t>pārstāvības</w:t>
      </w:r>
      <w:proofErr w:type="spellEnd"/>
      <w:r w:rsidRPr="00477C8B">
        <w:rPr>
          <w:lang w:val="en-US"/>
        </w:rPr>
        <w:t xml:space="preserve"> </w:t>
      </w:r>
      <w:proofErr w:type="spellStart"/>
      <w:r w:rsidRPr="00477C8B">
        <w:rPr>
          <w:lang w:val="en-US"/>
        </w:rPr>
        <w:t>prasībām</w:t>
      </w:r>
      <w:proofErr w:type="spellEnd"/>
      <w:r w:rsidRPr="00477C8B">
        <w:rPr>
          <w:lang w:val="en-US"/>
        </w:rPr>
        <w:t xml:space="preserve"> </w:t>
      </w:r>
      <w:proofErr w:type="spellStart"/>
      <w:r w:rsidRPr="00477C8B">
        <w:rPr>
          <w:lang w:val="en-US"/>
        </w:rPr>
        <w:t>patērētāju</w:t>
      </w:r>
      <w:proofErr w:type="spellEnd"/>
      <w:r w:rsidRPr="00477C8B">
        <w:rPr>
          <w:lang w:val="en-US"/>
        </w:rPr>
        <w:t xml:space="preserve"> </w:t>
      </w:r>
      <w:proofErr w:type="spellStart"/>
      <w:r w:rsidRPr="00477C8B">
        <w:rPr>
          <w:lang w:val="en-US"/>
        </w:rPr>
        <w:t>kolektīvo</w:t>
      </w:r>
      <w:proofErr w:type="spellEnd"/>
      <w:r w:rsidRPr="00477C8B">
        <w:rPr>
          <w:lang w:val="en-US"/>
        </w:rPr>
        <w:t xml:space="preserve"> </w:t>
      </w:r>
      <w:proofErr w:type="spellStart"/>
      <w:r w:rsidRPr="00477C8B">
        <w:rPr>
          <w:lang w:val="en-US"/>
        </w:rPr>
        <w:t>interešu</w:t>
      </w:r>
      <w:proofErr w:type="spellEnd"/>
      <w:r w:rsidRPr="00477C8B">
        <w:rPr>
          <w:lang w:val="en-US"/>
        </w:rPr>
        <w:t xml:space="preserve"> </w:t>
      </w:r>
      <w:proofErr w:type="spellStart"/>
      <w:r w:rsidRPr="00477C8B">
        <w:rPr>
          <w:lang w:val="en-US"/>
        </w:rPr>
        <w:t>aizsardzībai</w:t>
      </w:r>
      <w:proofErr w:type="spellEnd"/>
      <w:r w:rsidRPr="00477C8B">
        <w:rPr>
          <w:lang w:val="en-US"/>
        </w:rPr>
        <w:t xml:space="preserve"> un par </w:t>
      </w:r>
      <w:proofErr w:type="spellStart"/>
      <w:r w:rsidRPr="00477C8B">
        <w:rPr>
          <w:lang w:val="en-US"/>
        </w:rPr>
        <w:t>Direktīvas</w:t>
      </w:r>
      <w:proofErr w:type="spellEnd"/>
      <w:r w:rsidRPr="00477C8B">
        <w:rPr>
          <w:lang w:val="en-US"/>
        </w:rPr>
        <w:t xml:space="preserve"> 2009/22/EC </w:t>
      </w:r>
      <w:proofErr w:type="spellStart"/>
      <w:r w:rsidRPr="00477C8B">
        <w:rPr>
          <w:lang w:val="en-US"/>
        </w:rPr>
        <w:t>atcelšanu</w:t>
      </w:r>
      <w:proofErr w:type="spellEnd"/>
      <w:r w:rsidRPr="00477C8B">
        <w:rPr>
          <w:lang w:val="en-US"/>
        </w:rPr>
        <w:t>.</w:t>
      </w:r>
    </w:p>
  </w:footnote>
  <w:footnote w:id="27">
    <w:p w14:paraId="5379B340" w14:textId="77777777" w:rsidR="004E45AD" w:rsidRPr="00477C8B" w:rsidRDefault="004E45AD" w:rsidP="004E45AD">
      <w:pPr>
        <w:pStyle w:val="FootnoteText"/>
        <w:ind w:left="142" w:hanging="142"/>
      </w:pPr>
      <w:r w:rsidRPr="00477C8B">
        <w:rPr>
          <w:rStyle w:val="FootnoteReference"/>
        </w:rPr>
        <w:footnoteRef/>
      </w:r>
      <w:r w:rsidRPr="00477C8B">
        <w:t xml:space="preserve"> </w:t>
      </w:r>
      <w:r w:rsidRPr="00477C8B">
        <w:t xml:space="preserve">Komisijas Rekomendācijas 2013/396/ES (2013. gada 11. jūnijs) par kopējiem principiem attiecībā uz dalībvalstu aizlieguma un atlīdzināšanas kolektīvās tiesiskās aizsardzības mehānismiem saistībā ar Savienības tiesību aktos paredzēto tiesību pārkāpumiem 1. un 2. punkts. </w:t>
      </w:r>
      <w:proofErr w:type="spellStart"/>
      <w:r w:rsidRPr="00477C8B">
        <w:rPr>
          <w:lang w:val="en-US"/>
        </w:rPr>
        <w:t>Stöhr</w:t>
      </w:r>
      <w:proofErr w:type="spellEnd"/>
      <w:r w:rsidRPr="00477C8B">
        <w:rPr>
          <w:lang w:val="en-US"/>
        </w:rPr>
        <w:t xml:space="preserve"> A, The Implementation of Collective Redress – A Comparative Approach. Cambridge University Press. German Law Journal, 2020, No. 21, pp. 1606-1624.</w:t>
      </w:r>
    </w:p>
  </w:footnote>
  <w:footnote w:id="28">
    <w:p w14:paraId="7EDE8353" w14:textId="77777777" w:rsidR="004E45AD" w:rsidRPr="00477C8B" w:rsidRDefault="004E45AD" w:rsidP="004E45AD">
      <w:pPr>
        <w:pStyle w:val="FootnoteText"/>
        <w:ind w:left="142" w:hanging="142"/>
      </w:pPr>
      <w:r w:rsidRPr="00477C8B">
        <w:rPr>
          <w:rStyle w:val="FootnoteReference"/>
          <w:lang w:val="en-US"/>
        </w:rPr>
        <w:footnoteRef/>
      </w:r>
      <w:r w:rsidRPr="00477C8B">
        <w:rPr>
          <w:lang w:val="en-US"/>
        </w:rPr>
        <w:t xml:space="preserve"> See also: British Institute of International Law and Comparative Law. Collective Redress. Country Reports. Available: </w:t>
      </w:r>
      <w:hyperlink r:id="rId12" w:history="1">
        <w:r w:rsidRPr="00477C8B">
          <w:rPr>
            <w:rStyle w:val="Hyperlink"/>
            <w:lang w:val="en-US"/>
          </w:rPr>
          <w:t>https://www.collectiveredress.org/collective-redress/member-states</w:t>
        </w:r>
      </w:hyperlink>
      <w:r w:rsidRPr="00477C8B">
        <w:t xml:space="preserve"> </w:t>
      </w:r>
    </w:p>
  </w:footnote>
  <w:footnote w:id="29">
    <w:p w14:paraId="396108A1" w14:textId="77777777" w:rsidR="004E45AD" w:rsidRPr="00477C8B" w:rsidRDefault="004E45AD" w:rsidP="004E45AD">
      <w:pPr>
        <w:pStyle w:val="FootnoteText"/>
        <w:ind w:left="142" w:hanging="142"/>
      </w:pPr>
      <w:r w:rsidRPr="00477C8B">
        <w:rPr>
          <w:rStyle w:val="FootnoteReference"/>
        </w:rPr>
        <w:footnoteRef/>
      </w:r>
      <w:r w:rsidRPr="00477C8B">
        <w:t> </w:t>
      </w:r>
      <w:r w:rsidRPr="00477C8B">
        <w:t>Atbilstoši Slovēnijas konkurences iestādes sniegtajai informācijai uz LKP 20.04.2020. Informācijas pieprasījumu. Slovēnijas Valsts advokatūras likuma 12. pants. Pieejams: </w:t>
      </w:r>
      <w:hyperlink r:id="rId13" w:history="1">
        <w:r w:rsidRPr="00477C8B">
          <w:rPr>
            <w:rStyle w:val="Hyperlink"/>
            <w:bCs/>
          </w:rPr>
          <w:t>http://www.pisrs.si/Pis.web/pregledPredpisa?id=ZAKO6923</w:t>
        </w:r>
      </w:hyperlink>
    </w:p>
  </w:footnote>
  <w:footnote w:id="30">
    <w:p w14:paraId="38B669D6"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 xml:space="preserve">Latvijas Republikas Satversmes IV nodaļas komentāri. 58. pants. Pieejams: </w:t>
      </w:r>
      <w:hyperlink r:id="rId14" w:history="1">
        <w:r w:rsidRPr="00477C8B">
          <w:rPr>
            <w:rStyle w:val="Hyperlink"/>
          </w:rPr>
          <w:t>http://tzpi.lu.lv/files/2019/06/58_panta_komentars.pdf</w:t>
        </w:r>
      </w:hyperlink>
      <w:r w:rsidRPr="00477C8B">
        <w:t xml:space="preserve">. </w:t>
      </w:r>
    </w:p>
  </w:footnote>
  <w:footnote w:id="31">
    <w:p w14:paraId="49071560"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VPIL 1. panta 3. punkts.</w:t>
      </w:r>
    </w:p>
  </w:footnote>
  <w:footnote w:id="32">
    <w:p w14:paraId="2FCBED86" w14:textId="77777777" w:rsidR="00250B42" w:rsidRPr="00477C8B" w:rsidRDefault="00250B42" w:rsidP="00250B42">
      <w:pPr>
        <w:pStyle w:val="FootnoteText"/>
        <w:ind w:left="142" w:hanging="142"/>
      </w:pPr>
      <w:r w:rsidRPr="00477C8B">
        <w:rPr>
          <w:rStyle w:val="FootnoteReference"/>
        </w:rPr>
        <w:footnoteRef/>
      </w:r>
      <w:r w:rsidRPr="00477C8B">
        <w:t xml:space="preserve"> </w:t>
      </w:r>
      <w:proofErr w:type="spellStart"/>
      <w:r w:rsidRPr="00477C8B">
        <w:t>Danovskis</w:t>
      </w:r>
      <w:proofErr w:type="spellEnd"/>
      <w:r w:rsidRPr="00477C8B">
        <w:t xml:space="preserve"> E., Briede J. Publisko tiesību subjektu civiltiesiskais statuss. Jurista Vārds. 2012. 14. februāris Nr. 7 (706), 6.-11. lpp.</w:t>
      </w:r>
    </w:p>
  </w:footnote>
  <w:footnote w:id="33">
    <w:p w14:paraId="3D640BDD"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 xml:space="preserve">Satversmes tiesas 20.12.2006. spriedums lietā Nr. 2006-12-01, 14. punkts. Pieejams: </w:t>
      </w:r>
      <w:hyperlink r:id="rId15" w:history="1">
        <w:r w:rsidRPr="00477C8B">
          <w:rPr>
            <w:rStyle w:val="Hyperlink"/>
          </w:rPr>
          <w:t>https://likumi.lv/ta/id/150599-par-prokuraturas-likuma-1-panta-pirmas-dalas-4-panta-pirmas-dalas-6-panta-tresas-dalas-22-panta-un-50-panta-atbilstibu-latvijas-republikas-satversmes-1-58-82-86-un-90-pantam</w:t>
        </w:r>
      </w:hyperlink>
      <w:r w:rsidRPr="00477C8B">
        <w:rPr>
          <w:rStyle w:val="Hyperlink"/>
        </w:rPr>
        <w:t>.</w:t>
      </w:r>
      <w:r w:rsidRPr="00477C8B">
        <w:t xml:space="preserve"> </w:t>
      </w:r>
    </w:p>
  </w:footnote>
  <w:footnote w:id="34">
    <w:p w14:paraId="535015A1" w14:textId="77777777" w:rsidR="009322CF" w:rsidRPr="00477C8B" w:rsidRDefault="009322CF" w:rsidP="009322CF">
      <w:pPr>
        <w:pStyle w:val="FootnoteText"/>
        <w:ind w:left="142" w:hanging="142"/>
      </w:pPr>
      <w:r>
        <w:rPr>
          <w:rStyle w:val="FootnoteReference"/>
        </w:rPr>
        <w:footnoteRef/>
      </w:r>
      <w:r w:rsidRPr="00477C8B">
        <w:t xml:space="preserve"> </w:t>
      </w:r>
      <w:r w:rsidRPr="00477C8B">
        <w:t>PIL 1. panta 19. punkts; SPSIL 1. panta 19. punkts.</w:t>
      </w:r>
    </w:p>
  </w:footnote>
  <w:footnote w:id="35">
    <w:p w14:paraId="141AA2F6"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Aizsardzības un drošības jomas iepirkumu likuma 1. panta 12. punkts.</w:t>
      </w:r>
    </w:p>
  </w:footnote>
  <w:footnote w:id="36">
    <w:p w14:paraId="5CEA74F5"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Publiskās un privātās partnerības likuma 1. panta 15. un 16. punkts.</w:t>
      </w:r>
    </w:p>
  </w:footnote>
  <w:footnote w:id="37">
    <w:p w14:paraId="720D3A46" w14:textId="77777777" w:rsidR="009322CF" w:rsidRDefault="009322CF" w:rsidP="009322CF">
      <w:pPr>
        <w:pStyle w:val="FootnoteText"/>
      </w:pPr>
      <w:r>
        <w:rPr>
          <w:rStyle w:val="FootnoteReference"/>
        </w:rPr>
        <w:footnoteRef/>
      </w:r>
      <w:r>
        <w:t xml:space="preserve"> </w:t>
      </w:r>
      <w:r>
        <w:t xml:space="preserve">SPSIL </w:t>
      </w:r>
      <w:r w:rsidRPr="000367D6">
        <w:t>1. panta 27. punkt</w:t>
      </w:r>
      <w:r>
        <w:t>s.</w:t>
      </w:r>
    </w:p>
  </w:footnote>
  <w:footnote w:id="38">
    <w:p w14:paraId="0081793C" w14:textId="77777777" w:rsidR="009322CF" w:rsidRDefault="009322CF" w:rsidP="009322CF">
      <w:pPr>
        <w:pStyle w:val="FootnoteText"/>
      </w:pPr>
      <w:r>
        <w:rPr>
          <w:rStyle w:val="FootnoteReference"/>
        </w:rPr>
        <w:footnoteRef/>
      </w:r>
      <w:r>
        <w:t xml:space="preserve"> </w:t>
      </w:r>
      <w:r>
        <w:t xml:space="preserve">SPSIL </w:t>
      </w:r>
      <w:r w:rsidRPr="000367D6">
        <w:t>1. panta 27. punkta "a" apakšpunkt</w:t>
      </w:r>
      <w:r>
        <w:t>s, 19. un 20. punkts.</w:t>
      </w:r>
    </w:p>
  </w:footnote>
  <w:footnote w:id="39">
    <w:p w14:paraId="2995C0AF"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Prokuratūras likuma 50. un 51. pants.</w:t>
      </w:r>
    </w:p>
  </w:footnote>
  <w:footnote w:id="40">
    <w:p w14:paraId="710DBFB4"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Likuma “Par tiesu varu” 50.</w:t>
      </w:r>
      <w:r w:rsidRPr="00477C8B">
        <w:rPr>
          <w:vertAlign w:val="superscript"/>
        </w:rPr>
        <w:t>2</w:t>
      </w:r>
      <w:r w:rsidRPr="00477C8B">
        <w:t xml:space="preserve"> un 50.</w:t>
      </w:r>
      <w:r w:rsidRPr="00477C8B">
        <w:rPr>
          <w:vertAlign w:val="superscript"/>
        </w:rPr>
        <w:t>3</w:t>
      </w:r>
      <w:r w:rsidRPr="00477C8B">
        <w:t> pants.</w:t>
      </w:r>
    </w:p>
  </w:footnote>
  <w:footnote w:id="41">
    <w:p w14:paraId="37805D31"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Valsts kontroles likuma 44. panta pirmā daļa.</w:t>
      </w:r>
    </w:p>
  </w:footnote>
  <w:footnote w:id="42">
    <w:p w14:paraId="528403EE"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Fizisko personu datu apstrādes likuma 3. panta sestā daļa.</w:t>
      </w:r>
    </w:p>
  </w:footnote>
  <w:footnote w:id="43">
    <w:p w14:paraId="2D97A737" w14:textId="77777777" w:rsidR="00250B42" w:rsidRPr="00477C8B" w:rsidRDefault="00250B42" w:rsidP="00250B42">
      <w:pPr>
        <w:pStyle w:val="FootnoteText"/>
        <w:ind w:left="142" w:hanging="142"/>
      </w:pPr>
      <w:r w:rsidRPr="00477C8B">
        <w:rPr>
          <w:rStyle w:val="FootnoteReference"/>
        </w:rPr>
        <w:footnoteRef/>
      </w:r>
      <w:r w:rsidRPr="00477C8B">
        <w:t xml:space="preserve"> </w:t>
      </w:r>
      <w:proofErr w:type="spellStart"/>
      <w:r w:rsidRPr="00477C8B">
        <w:t>Tiesībsarga</w:t>
      </w:r>
      <w:proofErr w:type="spellEnd"/>
      <w:r w:rsidRPr="00477C8B">
        <w:t xml:space="preserve"> likuma 19. panta pirmā daļa.</w:t>
      </w:r>
    </w:p>
  </w:footnote>
  <w:footnote w:id="44">
    <w:p w14:paraId="2DF6B615"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Likuma “Par centrālo vēlēšanu komisiju” 6. panta pirmā daļa.</w:t>
      </w:r>
    </w:p>
  </w:footnote>
  <w:footnote w:id="45">
    <w:p w14:paraId="6CB419F2"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Likuma “Par zemes komisijām” 9. pants.</w:t>
      </w:r>
    </w:p>
  </w:footnote>
  <w:footnote w:id="46">
    <w:p w14:paraId="54543C58"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Elektronisko plašsaziņas līdzekļu likuma 57. panta trešā daļa.</w:t>
      </w:r>
    </w:p>
  </w:footnote>
  <w:footnote w:id="47">
    <w:p w14:paraId="3E9BD74F"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Augstskolu likuma 7. panta pirmā daļa.</w:t>
      </w:r>
    </w:p>
  </w:footnote>
  <w:footnote w:id="48">
    <w:p w14:paraId="7B9FB548"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Augstskolu likuma 51. pants.</w:t>
      </w:r>
    </w:p>
  </w:footnote>
  <w:footnote w:id="49">
    <w:p w14:paraId="38FA8537" w14:textId="77777777" w:rsidR="00250B42" w:rsidRPr="00477C8B" w:rsidRDefault="00250B42" w:rsidP="00250B42">
      <w:pPr>
        <w:pStyle w:val="FootnoteText"/>
        <w:ind w:left="142" w:hanging="142"/>
      </w:pPr>
      <w:r w:rsidRPr="00477C8B">
        <w:rPr>
          <w:rStyle w:val="FootnoteReference"/>
        </w:rPr>
        <w:footnoteRef/>
      </w:r>
      <w:r w:rsidRPr="00477C8B">
        <w:t xml:space="preserve"> </w:t>
      </w:r>
      <w:r w:rsidRPr="00477C8B">
        <w:t>Publiskas personas kapitāla daļu un kapitālsabiedrību pārvaldības likuma 58. panta pirmās daļas 1. punkta c) apakšpunkts.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07826"/>
    <w:multiLevelType w:val="hybridMultilevel"/>
    <w:tmpl w:val="3CBE9A6C"/>
    <w:lvl w:ilvl="0" w:tplc="F8AC7CFE">
      <w:start w:val="1"/>
      <w:numFmt w:val="decimal"/>
      <w:lvlText w:val="%1"/>
      <w:lvlJc w:val="left"/>
      <w:pPr>
        <w:ind w:left="720" w:hanging="360"/>
      </w:pPr>
      <w:rPr>
        <w:rFonts w:hint="default"/>
      </w:rPr>
    </w:lvl>
    <w:lvl w:ilvl="1" w:tplc="96E091E2">
      <w:start w:val="1"/>
      <w:numFmt w:val="decimal"/>
      <w:lvlText w:val="%2)"/>
      <w:lvlJc w:val="left"/>
      <w:pPr>
        <w:ind w:left="567" w:hanging="567"/>
      </w:pPr>
      <w:rPr>
        <w:rFonts w:hint="default"/>
      </w:rPr>
    </w:lvl>
    <w:lvl w:ilvl="2" w:tplc="2A14A8CC">
      <w:start w:val="1"/>
      <w:numFmt w:val="lowerRoman"/>
      <w:lvlText w:val="%3."/>
      <w:lvlJc w:val="right"/>
      <w:pPr>
        <w:ind w:left="2160" w:hanging="180"/>
      </w:pPr>
      <w:rPr>
        <w:rFonts w:hint="default"/>
      </w:rPr>
    </w:lvl>
    <w:lvl w:ilvl="3" w:tplc="427E6204">
      <w:start w:val="1"/>
      <w:numFmt w:val="decimal"/>
      <w:lvlText w:val="%4."/>
      <w:lvlJc w:val="left"/>
      <w:pPr>
        <w:ind w:left="2880" w:hanging="360"/>
      </w:pPr>
      <w:rPr>
        <w:rFonts w:hint="default"/>
      </w:rPr>
    </w:lvl>
    <w:lvl w:ilvl="4" w:tplc="8C1EC6BA">
      <w:start w:val="1"/>
      <w:numFmt w:val="lowerLetter"/>
      <w:lvlText w:val="%5."/>
      <w:lvlJc w:val="left"/>
      <w:pPr>
        <w:ind w:left="3600" w:hanging="360"/>
      </w:pPr>
      <w:rPr>
        <w:rFonts w:hint="default"/>
      </w:rPr>
    </w:lvl>
    <w:lvl w:ilvl="5" w:tplc="44F4958E">
      <w:start w:val="1"/>
      <w:numFmt w:val="lowerRoman"/>
      <w:lvlText w:val="%6."/>
      <w:lvlJc w:val="right"/>
      <w:pPr>
        <w:ind w:left="4320" w:hanging="180"/>
      </w:pPr>
      <w:rPr>
        <w:rFonts w:hint="default"/>
      </w:rPr>
    </w:lvl>
    <w:lvl w:ilvl="6" w:tplc="CC28CB4C">
      <w:start w:val="1"/>
      <w:numFmt w:val="decimal"/>
      <w:lvlText w:val="%7."/>
      <w:lvlJc w:val="left"/>
      <w:pPr>
        <w:ind w:left="5040" w:hanging="360"/>
      </w:pPr>
      <w:rPr>
        <w:rFonts w:hint="default"/>
      </w:rPr>
    </w:lvl>
    <w:lvl w:ilvl="7" w:tplc="BD420618">
      <w:start w:val="1"/>
      <w:numFmt w:val="lowerLetter"/>
      <w:lvlText w:val="%8."/>
      <w:lvlJc w:val="left"/>
      <w:pPr>
        <w:ind w:left="5760" w:hanging="360"/>
      </w:pPr>
      <w:rPr>
        <w:rFonts w:hint="default"/>
      </w:rPr>
    </w:lvl>
    <w:lvl w:ilvl="8" w:tplc="0052855A">
      <w:start w:val="1"/>
      <w:numFmt w:val="lowerRoman"/>
      <w:lvlText w:val="%9."/>
      <w:lvlJc w:val="right"/>
      <w:pPr>
        <w:ind w:left="6480" w:hanging="180"/>
      </w:pPr>
      <w:rPr>
        <w:rFonts w:hint="default"/>
      </w:rPr>
    </w:lvl>
  </w:abstractNum>
  <w:abstractNum w:abstractNumId="1" w15:restartNumberingAfterBreak="0">
    <w:nsid w:val="2D3035D3"/>
    <w:multiLevelType w:val="hybridMultilevel"/>
    <w:tmpl w:val="49E2DA6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54B85DC3"/>
    <w:multiLevelType w:val="multilevel"/>
    <w:tmpl w:val="154ED64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519655939">
    <w:abstractNumId w:val="0"/>
  </w:num>
  <w:num w:numId="2" w16cid:durableId="1323504655">
    <w:abstractNumId w:val="1"/>
  </w:num>
  <w:num w:numId="3" w16cid:durableId="54818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86"/>
    <w:rsid w:val="00070C59"/>
    <w:rsid w:val="001874AB"/>
    <w:rsid w:val="001A6241"/>
    <w:rsid w:val="001F41D2"/>
    <w:rsid w:val="002157C6"/>
    <w:rsid w:val="00250B42"/>
    <w:rsid w:val="002A6565"/>
    <w:rsid w:val="0034579C"/>
    <w:rsid w:val="00474699"/>
    <w:rsid w:val="004824F7"/>
    <w:rsid w:val="004827C4"/>
    <w:rsid w:val="004D0386"/>
    <w:rsid w:val="004E45AD"/>
    <w:rsid w:val="00575D7B"/>
    <w:rsid w:val="005F1519"/>
    <w:rsid w:val="008D7A16"/>
    <w:rsid w:val="009322CF"/>
    <w:rsid w:val="009561B2"/>
    <w:rsid w:val="00BA6A59"/>
    <w:rsid w:val="00BC48A3"/>
    <w:rsid w:val="00D9515D"/>
    <w:rsid w:val="00DC15A4"/>
    <w:rsid w:val="00E02EBD"/>
    <w:rsid w:val="00F30C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1FDB"/>
  <w15:chartTrackingRefBased/>
  <w15:docId w15:val="{BB94472C-609F-4EDF-B60A-D086955E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8A3"/>
    <w:pPr>
      <w:keepNext/>
      <w:keepLines/>
      <w:numPr>
        <w:numId w:val="3"/>
      </w:numPr>
      <w:spacing w:before="360" w:after="120"/>
      <w:jc w:val="both"/>
      <w:outlineLvl w:val="0"/>
    </w:pPr>
    <w:rPr>
      <w:rFonts w:ascii="Times New Roman" w:eastAsiaTheme="majorEastAsia" w:hAnsi="Times New Roman"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BC48A3"/>
    <w:pPr>
      <w:keepNext/>
      <w:keepLines/>
      <w:numPr>
        <w:ilvl w:val="1"/>
        <w:numId w:val="3"/>
      </w:numPr>
      <w:spacing w:before="160" w:after="120"/>
      <w:jc w:val="both"/>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BC48A3"/>
    <w:pPr>
      <w:keepNext/>
      <w:keepLines/>
      <w:numPr>
        <w:ilvl w:val="2"/>
        <w:numId w:val="3"/>
      </w:numPr>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C48A3"/>
    <w:pPr>
      <w:keepNext/>
      <w:keepLines/>
      <w:numPr>
        <w:ilvl w:val="3"/>
        <w:numId w:val="3"/>
      </w:numPr>
      <w:spacing w:before="40" w:after="0"/>
      <w:jc w:val="both"/>
      <w:outlineLvl w:val="3"/>
    </w:pPr>
    <w:rPr>
      <w:rFonts w:asciiTheme="majorHAnsi" w:eastAsiaTheme="majorEastAsia" w:hAnsiTheme="maj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BC48A3"/>
    <w:pPr>
      <w:keepNext/>
      <w:keepLines/>
      <w:numPr>
        <w:ilvl w:val="4"/>
        <w:numId w:val="3"/>
      </w:numPr>
      <w:spacing w:before="40" w:after="0"/>
      <w:jc w:val="both"/>
      <w:outlineLvl w:val="4"/>
    </w:pPr>
    <w:rPr>
      <w:rFonts w:asciiTheme="majorHAnsi" w:eastAsiaTheme="majorEastAsia" w:hAnsiTheme="maj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BC48A3"/>
    <w:pPr>
      <w:keepNext/>
      <w:keepLines/>
      <w:numPr>
        <w:ilvl w:val="5"/>
        <w:numId w:val="3"/>
      </w:numPr>
      <w:spacing w:before="40" w:after="0"/>
      <w:jc w:val="both"/>
      <w:outlineLvl w:val="5"/>
    </w:pPr>
    <w:rPr>
      <w:rFonts w:asciiTheme="majorHAnsi" w:eastAsiaTheme="majorEastAsia" w:hAnsiTheme="majorHAnsi" w:cstheme="majorBidi"/>
      <w:color w:val="1F3763" w:themeColor="accent1" w:themeShade="7F"/>
      <w:sz w:val="24"/>
    </w:rPr>
  </w:style>
  <w:style w:type="paragraph" w:styleId="Heading7">
    <w:name w:val="heading 7"/>
    <w:basedOn w:val="Normal"/>
    <w:next w:val="Normal"/>
    <w:link w:val="Heading7Char"/>
    <w:uiPriority w:val="9"/>
    <w:semiHidden/>
    <w:unhideWhenUsed/>
    <w:qFormat/>
    <w:rsid w:val="00BC48A3"/>
    <w:pPr>
      <w:keepNext/>
      <w:keepLines/>
      <w:numPr>
        <w:ilvl w:val="6"/>
        <w:numId w:val="3"/>
      </w:numPr>
      <w:spacing w:before="40" w:after="0"/>
      <w:jc w:val="both"/>
      <w:outlineLvl w:val="6"/>
    </w:pPr>
    <w:rPr>
      <w:rFonts w:asciiTheme="majorHAnsi" w:eastAsiaTheme="majorEastAsia" w:hAnsiTheme="majorHAnsi" w:cstheme="majorBidi"/>
      <w:i/>
      <w:iCs/>
      <w:color w:val="1F3763" w:themeColor="accent1" w:themeShade="7F"/>
      <w:sz w:val="24"/>
    </w:rPr>
  </w:style>
  <w:style w:type="paragraph" w:styleId="Heading8">
    <w:name w:val="heading 8"/>
    <w:basedOn w:val="Normal"/>
    <w:next w:val="Normal"/>
    <w:link w:val="Heading8Char"/>
    <w:uiPriority w:val="9"/>
    <w:semiHidden/>
    <w:unhideWhenUsed/>
    <w:qFormat/>
    <w:rsid w:val="00BC48A3"/>
    <w:pPr>
      <w:keepNext/>
      <w:keepLines/>
      <w:numPr>
        <w:ilvl w:val="7"/>
        <w:numId w:val="3"/>
      </w:numPr>
      <w:spacing w:before="40" w:after="0"/>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48A3"/>
    <w:pPr>
      <w:keepNext/>
      <w:keepLines/>
      <w:numPr>
        <w:ilvl w:val="8"/>
        <w:numId w:val="3"/>
      </w:numPr>
      <w:spacing w:before="40" w:after="0"/>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qFormat/>
    <w:rsid w:val="00DC15A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DC15A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qFormat/>
    <w:rsid w:val="00DC15A4"/>
    <w:rPr>
      <w:vertAlign w:val="superscript"/>
    </w:rPr>
  </w:style>
  <w:style w:type="paragraph" w:customStyle="1" w:styleId="CharCharCharChar">
    <w:name w:val="Char Char Char Char"/>
    <w:aliases w:val="Char2"/>
    <w:basedOn w:val="Normal"/>
    <w:next w:val="Normal"/>
    <w:link w:val="FootnoteReference"/>
    <w:uiPriority w:val="99"/>
    <w:qFormat/>
    <w:rsid w:val="00DC15A4"/>
    <w:pPr>
      <w:spacing w:line="240" w:lineRule="exact"/>
      <w:ind w:left="567" w:hanging="499"/>
      <w:jc w:val="both"/>
    </w:pPr>
    <w:rPr>
      <w:vertAlign w:val="superscript"/>
    </w:rPr>
  </w:style>
  <w:style w:type="character" w:styleId="Hyperlink">
    <w:name w:val="Hyperlink"/>
    <w:basedOn w:val="DefaultParagraphFont"/>
    <w:uiPriority w:val="99"/>
    <w:unhideWhenUsed/>
    <w:rsid w:val="00DC15A4"/>
    <w:rPr>
      <w:color w:val="0563C1" w:themeColor="hyperlink"/>
      <w:u w:val="single"/>
    </w:rPr>
  </w:style>
  <w:style w:type="character" w:styleId="CommentReference">
    <w:name w:val="annotation reference"/>
    <w:basedOn w:val="DefaultParagraphFont"/>
    <w:uiPriority w:val="99"/>
    <w:semiHidden/>
    <w:unhideWhenUsed/>
    <w:rsid w:val="00DC15A4"/>
    <w:rPr>
      <w:sz w:val="16"/>
      <w:szCs w:val="16"/>
    </w:rPr>
  </w:style>
  <w:style w:type="paragraph" w:styleId="CommentText">
    <w:name w:val="annotation text"/>
    <w:basedOn w:val="Normal"/>
    <w:link w:val="CommentTextChar"/>
    <w:uiPriority w:val="99"/>
    <w:unhideWhenUsed/>
    <w:rsid w:val="00DC15A4"/>
    <w:pPr>
      <w:spacing w:after="4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DC15A4"/>
    <w:rPr>
      <w:rFonts w:ascii="Times New Roman" w:hAnsi="Times New Roman"/>
      <w:sz w:val="20"/>
      <w:szCs w:val="20"/>
    </w:rPr>
  </w:style>
  <w:style w:type="character" w:customStyle="1" w:styleId="Heading1Char">
    <w:name w:val="Heading 1 Char"/>
    <w:basedOn w:val="DefaultParagraphFont"/>
    <w:link w:val="Heading1"/>
    <w:uiPriority w:val="9"/>
    <w:rsid w:val="00BC48A3"/>
    <w:rPr>
      <w:rFonts w:ascii="Times New Roman" w:eastAsiaTheme="majorEastAsia" w:hAnsi="Times New Roman" w:cstheme="majorBidi"/>
      <w:b/>
      <w:color w:val="2F5496" w:themeColor="accent1" w:themeShade="BF"/>
      <w:sz w:val="32"/>
      <w:szCs w:val="32"/>
    </w:rPr>
  </w:style>
  <w:style w:type="character" w:customStyle="1" w:styleId="Heading2Char">
    <w:name w:val="Heading 2 Char"/>
    <w:basedOn w:val="DefaultParagraphFont"/>
    <w:link w:val="Heading2"/>
    <w:uiPriority w:val="9"/>
    <w:rsid w:val="00BC48A3"/>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BC48A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C48A3"/>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BC48A3"/>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BC48A3"/>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BC48A3"/>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BC48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C48A3"/>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1F41D2"/>
    <w:pPr>
      <w:spacing w:after="0" w:line="240" w:lineRule="auto"/>
    </w:pPr>
  </w:style>
  <w:style w:type="paragraph" w:styleId="Header">
    <w:name w:val="header"/>
    <w:basedOn w:val="Normal"/>
    <w:link w:val="HeaderChar"/>
    <w:uiPriority w:val="99"/>
    <w:unhideWhenUsed/>
    <w:rsid w:val="004746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4699"/>
  </w:style>
  <w:style w:type="paragraph" w:styleId="Footer">
    <w:name w:val="footer"/>
    <w:basedOn w:val="Normal"/>
    <w:link w:val="FooterChar"/>
    <w:uiPriority w:val="99"/>
    <w:unhideWhenUsed/>
    <w:rsid w:val="004746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finlex.fi/en/laki/kaannokset/2007/en20070444.pdf" TargetMode="External"/><Relationship Id="rId13" Type="http://schemas.openxmlformats.org/officeDocument/2006/relationships/hyperlink" Target="http://www.pisrs.si/Pis.web/pregledPredpisa?id=ZAKO6923" TargetMode="External"/><Relationship Id="rId3" Type="http://schemas.openxmlformats.org/officeDocument/2006/relationships/hyperlink" Target="https://tiesas.lv/nolemumi/pdf/217670.pdf" TargetMode="External"/><Relationship Id="rId7" Type="http://schemas.openxmlformats.org/officeDocument/2006/relationships/hyperlink" Target="https://www.collectiveredress.org/collective-redress/reports/sweden/overview" TargetMode="External"/><Relationship Id="rId12" Type="http://schemas.openxmlformats.org/officeDocument/2006/relationships/hyperlink" Target="https://www.collectiveredress.org/collective-redress/member-states" TargetMode="External"/><Relationship Id="rId2" Type="http://schemas.openxmlformats.org/officeDocument/2006/relationships/hyperlink" Target="https://eur-lex.europa.eu/legal-content/LV/TXT/HTML/?uri=CELEX:62004CJ0295&amp;from=LV" TargetMode="External"/><Relationship Id="rId1" Type="http://schemas.openxmlformats.org/officeDocument/2006/relationships/hyperlink" Target="https://eur-lex.europa.eu/legal-content/LV/TXT/HTML/?uri=CELEX:61999CJ0453&amp;from=LV" TargetMode="External"/><Relationship Id="rId6" Type="http://schemas.openxmlformats.org/officeDocument/2006/relationships/hyperlink" Target="https://www.government.se/49d550/contentassets/ee615abb083742e88b9fd4fac8f82183/group-proceedings-act-2002_599.pdf" TargetMode="External"/><Relationship Id="rId11" Type="http://schemas.openxmlformats.org/officeDocument/2006/relationships/hyperlink" Target="http://www.gesetze-im-internet.de/uklag/" TargetMode="External"/><Relationship Id="rId5" Type="http://schemas.openxmlformats.org/officeDocument/2006/relationships/hyperlink" Target="https://www.law.cornell.edu/rules/frcp/rule_23" TargetMode="External"/><Relationship Id="rId15" Type="http://schemas.openxmlformats.org/officeDocument/2006/relationships/hyperlink" Target="https://likumi.lv/ta/id/150599-par-prokuraturas-likuma-1-panta-pirmas-dalas-4-panta-pirmas-dalas-6-panta-tresas-dalas-22-panta-un-50-panta-atbilstibu-latvijas-republikas-satversmes-1-58-82-86-un-90-pantam" TargetMode="External"/><Relationship Id="rId10" Type="http://schemas.openxmlformats.org/officeDocument/2006/relationships/hyperlink" Target="https://www.legislation.gov.uk/ukpga/2015/15/contents/enacted" TargetMode="External"/><Relationship Id="rId4" Type="http://schemas.openxmlformats.org/officeDocument/2006/relationships/hyperlink" Target="https://www.tiesas.lv/nolemumi/pdf/126132.pdf" TargetMode="External"/><Relationship Id="rId9" Type="http://schemas.openxmlformats.org/officeDocument/2006/relationships/hyperlink" Target="https://lovdata.no/dokument/NLE/lov/2005-06-17-90/*" TargetMode="External"/><Relationship Id="rId14" Type="http://schemas.openxmlformats.org/officeDocument/2006/relationships/hyperlink" Target="http://tzpi.lu.lv/files/2019/06/58_panta_komenta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17593</Words>
  <Characters>10029</Characters>
  <Application>Microsoft Office Word</Application>
  <DocSecurity>0</DocSecurity>
  <Lines>83</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Intars Eglītis</dc:creator>
  <cp:keywords/>
  <dc:description/>
  <cp:lastModifiedBy>Intars Eglītis</cp:lastModifiedBy>
  <cp:revision>6</cp:revision>
  <dcterms:created xsi:type="dcterms:W3CDTF">2023-11-28T12:12:00Z</dcterms:created>
  <dcterms:modified xsi:type="dcterms:W3CDTF">2023-11-28T12:45:00Z</dcterms:modified>
</cp:coreProperties>
</file>