
<file path=[Content_Types].xml><?xml version="1.0" encoding="utf-8"?>
<Types xmlns="http://schemas.openxmlformats.org/package/2006/content-types">
  <Default Extension="rels" ContentType="application/vnd.openxmlformats-package.relationships+xml"/>
  <Default Extension="xml" ContentType="applicat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 Target="docProps/custom.xml" Type="http://schemas.openxmlformats.org/officeDocument/2006/relationships/custom-properties" Id="rId4"/>
</Relationships>

</file>

<file path=word/document.xml><?xml version="1.0" encoding="utf-8"?>
<w:document xmlns:w="http://schemas.openxmlformats.org/wordprocessingml/2006/main" xmlns:w14="http://schemas.microsoft.com/office/word/2010/wordml" xmlns:r="http://schemas.openxmlformats.org/officeDocument/2006/relationships" xmlns:m="http://schemas.openxmlformats.org/officeDocument/2006/math" xmlns:w15="http://schemas.microsoft.com/office/word/2012/wordml" xmlns:ns27="http://schemas.openxmlformats.org/schemaLibrary/2006/main" xmlns:mc="http://schemas.openxmlformats.org/markup-compatibility/2006" xmlns:wp="http://schemas.openxmlformats.org/drawingml/2006/wordprocessingDrawing" xmlns:a="http://schemas.openxmlformats.org/drawingml/2006/main" mc:Ignorable="w14 w15">
  <w:body>
    <w:tbl>
      <w:tblPr>
        <w:tblW w:w="8507" w:type="dxa"/>
        <w:tblLayout w:type="fixed"/>
        <w:tblLook w:firstRow="0" w:lastRow="0" w:firstColumn="0" w:lastColumn="0" w:noHBand="0" w:noVBand="0" w:val="0000"/>
      </w:tblPr>
      <w:tblGrid>
        <w:gridCol w:w="1418"/>
        <w:gridCol w:w="130"/>
        <w:gridCol w:w="2280"/>
        <w:gridCol w:w="675"/>
        <w:gridCol w:w="4004"/>
      </w:tblGrid>
      <w:tr w:rsidRPr="00DB5A0B" w:rsidR="003B6B18" w:rsidTr="00EF4DE0" w14:paraId="4E86F1F7" w14:textId="77777777">
        <w:tc>
          <w:tcPr>
            <w:tcW w:w="1548" w:type="dxa"/>
            <w:gridSpan w:val="2"/>
          </w:tcPr>
          <w:p w:rsidRPr="00DB5A0B" w:rsidR="003B6B18" w:rsidP="00EF4DE0" w:rsidRDefault="003B6B18" w14:paraId="637E8B54" w14:textId="77777777">
            <w:pPr>
              <w:snapToGrid w:val="false"/>
              <w:rPr>
                <w:lang w:val="lv-LV"/>
              </w:rPr>
            </w:pPr>
            <w:r w:rsidRPr="00DB5A0B">
              <w:rPr>
                <w:lang w:val="lv-LV"/>
              </w:rPr>
              <w:t xml:space="preserve">Atbildīgais </w:t>
            </w:r>
          </w:p>
        </w:tc>
        <w:tc>
          <w:tcPr>
            <w:tcW w:w="2280" w:type="dxa"/>
            <w:tcBorders>
              <w:top w:val="nil"/>
              <w:left w:val="nil"/>
              <w:bottom w:val="single" w:color="000000" w:sz="4" w:space="0"/>
              <w:right w:val="nil"/>
            </w:tcBorders>
          </w:tcPr>
          <w:p w:rsidRPr="00DB5A0B" w:rsidR="003B6B18" w:rsidP="00EF4DE0" w:rsidRDefault="003B6B18" w14:paraId="08B40D7B" w14:textId="77777777">
            <w:pPr>
              <w:snapToGrid w:val="false"/>
              <w:rPr>
                <w:lang w:val="lv-LV"/>
              </w:rPr>
            </w:pPr>
            <w:r w:rsidRPr="00DB5A0B">
              <w:rPr>
                <w:lang w:val="lv-LV"/>
              </w:rPr>
              <w:t>Satiksmes ministrs</w:t>
            </w:r>
          </w:p>
        </w:tc>
        <w:tc>
          <w:tcPr>
            <w:tcW w:w="675" w:type="dxa"/>
          </w:tcPr>
          <w:p w:rsidRPr="00DB5A0B" w:rsidR="003B6B18" w:rsidP="00EF4DE0" w:rsidRDefault="003B6B18" w14:paraId="7E75D3BD" w14:textId="77777777">
            <w:pPr>
              <w:snapToGrid w:val="false"/>
              <w:rPr>
                <w:lang w:val="lv-LV"/>
              </w:rPr>
            </w:pPr>
          </w:p>
        </w:tc>
        <w:tc>
          <w:tcPr>
            <w:tcW w:w="4004" w:type="dxa"/>
            <w:tcBorders>
              <w:top w:val="nil"/>
              <w:left w:val="nil"/>
              <w:bottom w:val="single" w:color="000000" w:sz="4" w:space="0"/>
              <w:right w:val="nil"/>
            </w:tcBorders>
          </w:tcPr>
          <w:p w:rsidRPr="00DB5A0B" w:rsidR="003B6B18" w:rsidP="00EF4DE0" w:rsidRDefault="003B6B18" w14:paraId="0948F260" w14:textId="77777777">
            <w:pPr>
              <w:snapToGrid w:val="false"/>
              <w:jc w:val="center"/>
              <w:rPr>
                <w:lang w:val="lv-LV"/>
              </w:rPr>
            </w:pPr>
            <w:r w:rsidRPr="00DB5A0B">
              <w:rPr>
                <w:lang w:val="lv-LV"/>
              </w:rPr>
              <w:t xml:space="preserve">A. </w:t>
            </w:r>
            <w:proofErr w:type="spellStart"/>
            <w:r w:rsidRPr="00DB5A0B">
              <w:rPr>
                <w:lang w:val="lv-LV"/>
              </w:rPr>
              <w:t>Švinka</w:t>
            </w:r>
            <w:proofErr w:type="spellEnd"/>
          </w:p>
        </w:tc>
      </w:tr>
      <w:tr w:rsidRPr="00DB5A0B" w:rsidR="003B6B18" w:rsidTr="00EF4DE0" w14:paraId="7F133249" w14:textId="77777777">
        <w:tc>
          <w:tcPr>
            <w:tcW w:w="1548" w:type="dxa"/>
            <w:gridSpan w:val="2"/>
          </w:tcPr>
          <w:p w:rsidRPr="00DB5A0B" w:rsidR="003B6B18" w:rsidP="00EF4DE0" w:rsidRDefault="003B6B18" w14:paraId="29FD6733" w14:textId="77777777">
            <w:pPr>
              <w:snapToGrid w:val="false"/>
              <w:rPr>
                <w:lang w:val="lv-LV"/>
              </w:rPr>
            </w:pPr>
          </w:p>
        </w:tc>
        <w:tc>
          <w:tcPr>
            <w:tcW w:w="2280" w:type="dxa"/>
            <w:tcBorders>
              <w:top w:val="single" w:color="000000" w:sz="4" w:space="0"/>
              <w:left w:val="nil"/>
              <w:bottom w:val="nil"/>
              <w:right w:val="nil"/>
            </w:tcBorders>
          </w:tcPr>
          <w:p w:rsidRPr="00DB5A0B" w:rsidR="003B6B18" w:rsidP="00EF4DE0" w:rsidRDefault="003B6B18" w14:paraId="796CDA87" w14:textId="77777777">
            <w:pPr>
              <w:snapToGrid w:val="false"/>
              <w:rPr>
                <w:lang w:val="lv-LV"/>
              </w:rPr>
            </w:pPr>
          </w:p>
        </w:tc>
        <w:tc>
          <w:tcPr>
            <w:tcW w:w="675" w:type="dxa"/>
          </w:tcPr>
          <w:p w:rsidRPr="00DB5A0B" w:rsidR="003B6B18" w:rsidP="00EF4DE0" w:rsidRDefault="003B6B18" w14:paraId="6008666D" w14:textId="77777777">
            <w:pPr>
              <w:snapToGrid w:val="false"/>
              <w:jc w:val="center"/>
              <w:rPr>
                <w:lang w:val="lv-LV"/>
              </w:rPr>
            </w:pPr>
          </w:p>
        </w:tc>
        <w:tc>
          <w:tcPr>
            <w:tcW w:w="4004" w:type="dxa"/>
            <w:tcBorders>
              <w:top w:val="single" w:color="000000" w:sz="4" w:space="0"/>
              <w:left w:val="nil"/>
              <w:bottom w:val="nil"/>
              <w:right w:val="nil"/>
            </w:tcBorders>
          </w:tcPr>
          <w:p w:rsidRPr="00DB5A0B" w:rsidR="003B6B18" w:rsidP="00EF4DE0" w:rsidRDefault="003B6B18" w14:paraId="3D4E4754" w14:textId="77777777">
            <w:pPr>
              <w:snapToGrid w:val="false"/>
              <w:jc w:val="center"/>
              <w:rPr>
                <w:lang w:val="lv-LV"/>
              </w:rPr>
            </w:pPr>
            <w:r w:rsidRPr="00DB5A0B">
              <w:rPr>
                <w:lang w:val="lv-LV"/>
              </w:rPr>
              <w:t>(vārds, uzvārds)</w:t>
            </w:r>
          </w:p>
        </w:tc>
      </w:tr>
      <w:tr w:rsidRPr="00DB5A0B" w:rsidR="003B6B18" w:rsidTr="00EF4DE0" w14:paraId="78DE73B6" w14:textId="77777777">
        <w:trPr>
          <w:cantSplit/>
        </w:trPr>
        <w:tc>
          <w:tcPr>
            <w:tcW w:w="1418" w:type="dxa"/>
          </w:tcPr>
          <w:p w:rsidRPr="00DB5A0B" w:rsidR="003B6B18" w:rsidP="00EF4DE0" w:rsidRDefault="003B6B18" w14:paraId="1E7D1362" w14:textId="77777777">
            <w:pPr>
              <w:pStyle w:val="Heading3"/>
              <w:snapToGrid w:val="false"/>
              <w:rPr>
                <w:rFonts w:ascii="Times New Roman" w:hAnsi="Times New Roman" w:cs="Times New Roman"/>
                <w:sz w:val="24"/>
              </w:rPr>
            </w:pPr>
            <w:r w:rsidRPr="00DB5A0B">
              <w:rPr>
                <w:rFonts w:ascii="Times New Roman" w:hAnsi="Times New Roman" w:cs="Times New Roman"/>
                <w:color w:val="auto"/>
                <w:sz w:val="24"/>
              </w:rPr>
              <w:t>Datums</w:t>
            </w:r>
          </w:p>
        </w:tc>
        <w:tc>
          <w:tcPr>
            <w:tcW w:w="7087" w:type="dxa"/>
            <w:gridSpan w:val="4"/>
            <w:tcBorders>
              <w:top w:val="nil"/>
              <w:left w:val="nil"/>
              <w:bottom w:val="single" w:color="000000" w:sz="4" w:space="0"/>
              <w:right w:val="nil"/>
            </w:tcBorders>
          </w:tcPr>
          <w:p w:rsidRPr="00DB5A0B" w:rsidR="003B6B18" w:rsidP="00EF4DE0" w:rsidRDefault="00382B60" w14:paraId="3F5D49A1" w14:textId="1C184E65">
            <w:pPr>
              <w:snapToGrid w:val="false"/>
              <w:rPr>
                <w:lang w:val="lv-LV"/>
              </w:rPr>
            </w:pPr>
            <w:r>
              <w:rPr>
                <w:lang w:val="lv-LV"/>
              </w:rPr>
              <w:br/>
              <w:t>24.02.2026.</w:t>
            </w:r>
          </w:p>
        </w:tc>
      </w:tr>
    </w:tbl>
    <w:p w:rsidRPr="00DB5A0B" w:rsidR="003B6B18" w:rsidP="003B6B18" w:rsidRDefault="003B6B18" w14:paraId="0909FF3D" w14:textId="77777777">
      <w:pPr>
        <w15:collapsed w:val="false"/>
        <w:rPr>
          <w:lang w:val="lv-LV"/>
        </w:rPr>
      </w:pPr>
    </w:p>
    <w:tbl>
      <w:tblPr>
        <w:tblW w:w="9287" w:type="dxa"/>
        <w:tblLayout w:type="fixed"/>
        <w:tblLook w:firstRow="0" w:lastRow="0" w:firstColumn="0" w:lastColumn="0" w:noHBand="0" w:noVBand="0" w:val="0000"/>
      </w:tblPr>
      <w:tblGrid>
        <w:gridCol w:w="1418"/>
        <w:gridCol w:w="2977"/>
        <w:gridCol w:w="1084"/>
        <w:gridCol w:w="989"/>
        <w:gridCol w:w="2819"/>
      </w:tblGrid>
      <w:tr w:rsidRPr="00DB5A0B" w:rsidR="003B6B18" w:rsidTr="00EF4DE0" w14:paraId="3553537A" w14:textId="77777777">
        <w:trPr>
          <w:gridAfter w:val="2"/>
          <w:wAfter w:w="3808" w:type="dxa"/>
        </w:trPr>
        <w:tc>
          <w:tcPr>
            <w:tcW w:w="1418" w:type="dxa"/>
          </w:tcPr>
          <w:p w:rsidRPr="00DB5A0B" w:rsidR="003B6B18" w:rsidP="00EF4DE0" w:rsidRDefault="003B6B18" w14:paraId="5F916CD9" w14:textId="77777777">
            <w:pPr>
              <w:snapToGrid w:val="false"/>
              <w:rPr>
                <w:lang w:val="lv-LV"/>
              </w:rPr>
            </w:pPr>
            <w:r w:rsidRPr="00DB5A0B">
              <w:rPr>
                <w:lang w:val="lv-LV"/>
              </w:rPr>
              <w:t>Autors</w:t>
            </w:r>
          </w:p>
        </w:tc>
        <w:tc>
          <w:tcPr>
            <w:tcW w:w="2977" w:type="dxa"/>
          </w:tcPr>
          <w:p w:rsidRPr="00DB5A0B" w:rsidR="003B6B18" w:rsidP="00EF4DE0" w:rsidRDefault="003B6B18" w14:paraId="6909A8AE" w14:textId="77777777">
            <w:pPr>
              <w:snapToGrid w:val="false"/>
              <w:rPr>
                <w:lang w:val="lv-LV"/>
              </w:rPr>
            </w:pPr>
            <w:r w:rsidRPr="00DB5A0B">
              <w:rPr>
                <w:lang w:val="lv-LV"/>
              </w:rPr>
              <w:t>Satiksmes ministrija</w:t>
            </w:r>
          </w:p>
        </w:tc>
        <w:tc>
          <w:tcPr>
            <w:tcW w:w="1084" w:type="dxa"/>
          </w:tcPr>
          <w:p w:rsidRPr="00DB5A0B" w:rsidR="003B6B18" w:rsidP="00EF4DE0" w:rsidRDefault="003B6B18" w14:paraId="329911F9" w14:textId="77777777">
            <w:pPr>
              <w:snapToGrid w:val="false"/>
              <w:rPr>
                <w:lang w:val="lv-LV"/>
              </w:rPr>
            </w:pPr>
          </w:p>
        </w:tc>
      </w:tr>
      <w:tr w:rsidRPr="00DB5A0B" w:rsidR="003B6B18" w:rsidTr="00EF4DE0" w14:paraId="0EF33FEE" w14:textId="77777777">
        <w:tc>
          <w:tcPr>
            <w:tcW w:w="1418" w:type="dxa"/>
          </w:tcPr>
          <w:p w:rsidRPr="00DB5A0B" w:rsidR="003B6B18" w:rsidP="00EF4DE0" w:rsidRDefault="003B6B18" w14:paraId="58B636E0" w14:textId="77777777">
            <w:pPr>
              <w:snapToGrid w:val="false"/>
              <w:rPr>
                <w:lang w:val="lv-LV"/>
              </w:rPr>
            </w:pPr>
          </w:p>
        </w:tc>
        <w:tc>
          <w:tcPr>
            <w:tcW w:w="5050" w:type="dxa"/>
            <w:gridSpan w:val="3"/>
            <w:tcBorders>
              <w:top w:val="nil"/>
              <w:left w:val="nil"/>
              <w:bottom w:val="single" w:color="000000" w:sz="4" w:space="0"/>
              <w:right w:val="nil"/>
            </w:tcBorders>
          </w:tcPr>
          <w:p w:rsidRPr="00DB5A0B" w:rsidR="003B6B18" w:rsidP="00EF4DE0" w:rsidRDefault="003B6B18" w14:paraId="61641B1F" w14:textId="77777777">
            <w:pPr>
              <w:snapToGrid w:val="false"/>
              <w:rPr>
                <w:lang w:val="lv-LV"/>
              </w:rPr>
            </w:pPr>
          </w:p>
        </w:tc>
        <w:tc>
          <w:tcPr>
            <w:tcW w:w="2819" w:type="dxa"/>
          </w:tcPr>
          <w:p w:rsidRPr="00DB5A0B" w:rsidR="003B6B18" w:rsidP="00EF4DE0" w:rsidRDefault="003B6B18" w14:paraId="587155BE" w14:textId="77777777">
            <w:pPr>
              <w:snapToGrid w:val="false"/>
              <w:rPr>
                <w:lang w:val="lv-LV"/>
              </w:rPr>
            </w:pPr>
          </w:p>
        </w:tc>
      </w:tr>
    </w:tbl>
    <w:p w:rsidRPr="00DB5A0B" w:rsidR="003B6B18" w:rsidP="003B6B18" w:rsidRDefault="003B6B18" w14:paraId="24E84223" w14:textId="77777777">
      <w:pPr>
        <w:rPr>
          <w:lang w:val="lv-LV"/>
        </w:rPr>
      </w:pPr>
    </w:p>
    <w:tbl>
      <w:tblPr>
        <w:tblW w:w="0" w:type="auto"/>
        <w:tblLayout w:type="fixed"/>
        <w:tblLook w:firstRow="0" w:lastRow="0" w:firstColumn="0" w:lastColumn="0" w:noHBand="0" w:noVBand="0" w:val="0000"/>
      </w:tblPr>
      <w:tblGrid>
        <w:gridCol w:w="2988"/>
        <w:gridCol w:w="6360"/>
      </w:tblGrid>
      <w:tr w:rsidRPr="00DB5A0B" w:rsidR="003B6B18" w:rsidTr="00EF4DE0" w14:paraId="1FDAEB97" w14:textId="77777777">
        <w:trPr>
          <w:cantSplit/>
        </w:trPr>
        <w:tc>
          <w:tcPr>
            <w:tcW w:w="2988" w:type="dxa"/>
          </w:tcPr>
          <w:p w:rsidRPr="00DB5A0B" w:rsidR="003B6B18" w:rsidP="00EF4DE0" w:rsidRDefault="003B6B18" w14:paraId="7D3E06C9" w14:textId="77777777">
            <w:pPr>
              <w:snapToGrid w:val="false"/>
              <w:rPr>
                <w:lang w:val="lv-LV"/>
              </w:rPr>
            </w:pPr>
            <w:r w:rsidRPr="00DB5A0B">
              <w:rPr>
                <w:lang w:val="lv-LV"/>
              </w:rPr>
              <w:t>Atbildīgā amatpersona</w:t>
            </w:r>
          </w:p>
        </w:tc>
        <w:tc>
          <w:tcPr>
            <w:tcW w:w="6360" w:type="dxa"/>
            <w:tcBorders>
              <w:top w:val="nil"/>
              <w:left w:val="nil"/>
              <w:bottom w:val="single" w:color="000000" w:sz="4" w:space="0"/>
              <w:right w:val="nil"/>
            </w:tcBorders>
          </w:tcPr>
          <w:p w:rsidRPr="00DB5A0B" w:rsidR="003B6B18" w:rsidP="00EF4DE0" w:rsidRDefault="00DB5A0B" w14:paraId="7C07039A" w14:textId="355B6663">
            <w:pPr>
              <w:jc w:val="both"/>
              <w:rPr>
                <w:lang w:val="lv-LV"/>
              </w:rPr>
            </w:pPr>
            <w:r w:rsidRPr="00DB5A0B">
              <w:rPr>
                <w:lang w:val="lv-LV"/>
              </w:rPr>
              <w:t>Autosatiksmes</w:t>
            </w:r>
            <w:r w:rsidRPr="00DB5A0B" w:rsidR="003B6B18">
              <w:rPr>
                <w:lang w:val="lv-LV"/>
              </w:rPr>
              <w:t xml:space="preserve"> departamenta</w:t>
            </w:r>
            <w:r w:rsidRPr="00DB5A0B">
              <w:rPr>
                <w:lang w:val="lv-LV"/>
              </w:rPr>
              <w:t xml:space="preserve"> </w:t>
            </w:r>
            <w:r w:rsidRPr="0019110D">
              <w:rPr>
                <w:lang w:val="lv-LV"/>
              </w:rPr>
              <w:t>Autotransporta un satiksmes drošības nodaļa</w:t>
            </w:r>
            <w:r w:rsidRPr="00DB5A0B">
              <w:rPr>
                <w:lang w:val="lv-LV"/>
              </w:rPr>
              <w:t>s</w:t>
            </w:r>
            <w:r w:rsidRPr="00DB5A0B" w:rsidR="003B6B18">
              <w:rPr>
                <w:lang w:val="lv-LV"/>
              </w:rPr>
              <w:t xml:space="preserve"> vecākā referente Zane Siliņa</w:t>
            </w:r>
            <w:r w:rsidRPr="00DB5A0B">
              <w:rPr>
                <w:lang w:val="lv-LV"/>
              </w:rPr>
              <w:t>;</w:t>
            </w:r>
          </w:p>
          <w:p w:rsidRPr="00DB5A0B" w:rsidR="003B6B18" w:rsidP="00EF4DE0" w:rsidRDefault="003B6B18" w14:paraId="34223869" w14:textId="77777777">
            <w:pPr>
              <w:jc w:val="both"/>
              <w:rPr>
                <w:lang w:val="lv-LV"/>
              </w:rPr>
            </w:pPr>
            <w:r w:rsidRPr="00DB5A0B">
              <w:rPr>
                <w:lang w:val="lv-LV"/>
              </w:rPr>
              <w:t>Eiropas Savienības lietu koordinācijas departamenta direktore Laima Rituma</w:t>
            </w:r>
          </w:p>
        </w:tc>
      </w:tr>
      <w:tr w:rsidRPr="00DB5A0B" w:rsidR="003B6B18" w:rsidTr="00EF4DE0" w14:paraId="0C8ABB09" w14:textId="77777777">
        <w:trPr>
          <w:cantSplit/>
        </w:trPr>
        <w:tc>
          <w:tcPr>
            <w:tcW w:w="2988" w:type="dxa"/>
          </w:tcPr>
          <w:p w:rsidRPr="00DB5A0B" w:rsidR="003B6B18" w:rsidP="00EF4DE0" w:rsidRDefault="003B6B18" w14:paraId="2C8CB25C" w14:textId="77777777">
            <w:pPr>
              <w:snapToGrid w:val="false"/>
              <w:rPr>
                <w:lang w:val="lv-LV"/>
              </w:rPr>
            </w:pPr>
          </w:p>
        </w:tc>
        <w:tc>
          <w:tcPr>
            <w:tcW w:w="6360" w:type="dxa"/>
            <w:tcBorders>
              <w:top w:val="single" w:color="000000" w:sz="4" w:space="0"/>
              <w:left w:val="nil"/>
              <w:bottom w:val="nil"/>
              <w:right w:val="nil"/>
            </w:tcBorders>
          </w:tcPr>
          <w:p w:rsidRPr="00DB5A0B" w:rsidR="003B6B18" w:rsidP="00EF4DE0" w:rsidRDefault="003B6B18" w14:paraId="2CA3373C" w14:textId="77777777">
            <w:pPr>
              <w:snapToGrid w:val="false"/>
              <w:jc w:val="center"/>
              <w:rPr>
                <w:lang w:val="lv-LV"/>
              </w:rPr>
            </w:pPr>
            <w:r w:rsidRPr="00DB5A0B">
              <w:rPr>
                <w:lang w:val="lv-LV"/>
              </w:rPr>
              <w:t>(amats, vārds, uzvārds)</w:t>
            </w:r>
          </w:p>
        </w:tc>
      </w:tr>
    </w:tbl>
    <w:p w:rsidRPr="00DB5A0B" w:rsidR="003B6B18" w:rsidP="003B6B18" w:rsidRDefault="003B6B18" w14:paraId="413611A0" w14:textId="77777777">
      <w:pPr>
        <w:rPr>
          <w:lang w:val="lv-LV"/>
        </w:rPr>
      </w:pPr>
    </w:p>
    <w:tbl>
      <w:tblPr>
        <w:tblW w:w="0" w:type="auto"/>
        <w:tblLayout w:type="fixed"/>
        <w:tblLook w:firstRow="0" w:lastRow="0" w:firstColumn="0" w:lastColumn="0" w:noHBand="0" w:noVBand="0" w:val="0000"/>
      </w:tblPr>
      <w:tblGrid>
        <w:gridCol w:w="2028"/>
        <w:gridCol w:w="120"/>
        <w:gridCol w:w="4301"/>
        <w:gridCol w:w="2899"/>
      </w:tblGrid>
      <w:tr w:rsidRPr="00273ABF" w:rsidR="003B6B18" w:rsidTr="00EF4DE0" w14:paraId="488CDADF" w14:textId="77777777">
        <w:tc>
          <w:tcPr>
            <w:tcW w:w="2028" w:type="dxa"/>
          </w:tcPr>
          <w:p w:rsidRPr="00DB5A0B" w:rsidR="003B6B18" w:rsidP="00EF4DE0" w:rsidRDefault="003B6B18" w14:paraId="524EFA4B" w14:textId="77777777">
            <w:pPr>
              <w:snapToGrid w:val="false"/>
              <w:rPr>
                <w:lang w:val="lv-LV"/>
              </w:rPr>
            </w:pPr>
            <w:r w:rsidRPr="00DB5A0B">
              <w:rPr>
                <w:lang w:val="lv-LV"/>
              </w:rPr>
              <w:t>E-pasta adrese</w:t>
            </w:r>
          </w:p>
        </w:tc>
        <w:tc>
          <w:tcPr>
            <w:tcW w:w="4421" w:type="dxa"/>
            <w:gridSpan w:val="2"/>
            <w:tcBorders>
              <w:top w:val="nil"/>
              <w:left w:val="nil"/>
              <w:bottom w:val="single" w:color="000000" w:sz="4" w:space="0"/>
              <w:right w:val="nil"/>
            </w:tcBorders>
          </w:tcPr>
          <w:p w:rsidRPr="00DB5A0B" w:rsidR="003B6B18" w:rsidP="00EF4DE0" w:rsidRDefault="003B6B18" w14:paraId="7E60D989" w14:textId="77777777">
            <w:pPr>
              <w:rPr>
                <w:lang w:val="lv-LV"/>
              </w:rPr>
            </w:pPr>
            <w:r w:rsidRPr="00DB5A0B">
              <w:rPr>
                <w:lang w:val="lv-LV"/>
              </w:rPr>
              <w:t xml:space="preserve">Zane.Silina@sam.gov.lv </w:t>
            </w:r>
          </w:p>
          <w:p w:rsidRPr="00DB5A0B" w:rsidR="003B6B18" w:rsidP="00EF4DE0" w:rsidRDefault="003B6B18" w14:paraId="64865660" w14:textId="77777777">
            <w:pPr>
              <w:rPr>
                <w:lang w:val="lv-LV"/>
              </w:rPr>
            </w:pPr>
            <w:r w:rsidRPr="00DB5A0B">
              <w:rPr>
                <w:lang w:val="lv-LV"/>
              </w:rPr>
              <w:t>Laima.Rituma@sam.gov.lv</w:t>
            </w:r>
          </w:p>
        </w:tc>
        <w:tc>
          <w:tcPr>
            <w:tcW w:w="2899" w:type="dxa"/>
          </w:tcPr>
          <w:p w:rsidRPr="00DB5A0B" w:rsidR="003B6B18" w:rsidP="00EF4DE0" w:rsidRDefault="003B6B18" w14:paraId="10AC9996" w14:textId="77777777">
            <w:pPr>
              <w:snapToGrid w:val="false"/>
              <w:rPr>
                <w:lang w:val="lv-LV"/>
              </w:rPr>
            </w:pPr>
          </w:p>
        </w:tc>
      </w:tr>
      <w:tr w:rsidRPr="00DB5A0B" w:rsidR="003B6B18" w:rsidTr="00EF4DE0" w14:paraId="5B1DA1F3" w14:textId="77777777">
        <w:tc>
          <w:tcPr>
            <w:tcW w:w="2148" w:type="dxa"/>
            <w:gridSpan w:val="2"/>
          </w:tcPr>
          <w:p w:rsidRPr="00DB5A0B" w:rsidR="003B6B18" w:rsidP="00EF4DE0" w:rsidRDefault="003B6B18" w14:paraId="5EB56C82" w14:textId="77777777">
            <w:pPr>
              <w:snapToGrid w:val="false"/>
              <w:rPr>
                <w:lang w:val="lv-LV"/>
              </w:rPr>
            </w:pPr>
            <w:r w:rsidRPr="00DB5A0B">
              <w:rPr>
                <w:lang w:val="lv-LV"/>
              </w:rPr>
              <w:t>Tālruņa numurs</w:t>
            </w:r>
          </w:p>
        </w:tc>
        <w:tc>
          <w:tcPr>
            <w:tcW w:w="4301" w:type="dxa"/>
            <w:tcBorders>
              <w:top w:val="nil"/>
              <w:left w:val="nil"/>
              <w:bottom w:val="single" w:color="000000" w:sz="4" w:space="0"/>
              <w:right w:val="nil"/>
            </w:tcBorders>
          </w:tcPr>
          <w:p w:rsidRPr="00DB5A0B" w:rsidR="003B6B18" w:rsidP="00EF4DE0" w:rsidRDefault="003B6B18" w14:paraId="7110ACB6" w14:textId="77777777">
            <w:pPr>
              <w:snapToGrid w:val="false"/>
              <w:rPr>
                <w:lang w:val="lv-LV"/>
              </w:rPr>
            </w:pPr>
            <w:r w:rsidRPr="00DB5A0B">
              <w:rPr>
                <w:lang w:val="lv-LV"/>
              </w:rPr>
              <w:t>67025824; 67028198; 67028359</w:t>
            </w:r>
          </w:p>
        </w:tc>
        <w:tc>
          <w:tcPr>
            <w:tcW w:w="2899" w:type="dxa"/>
          </w:tcPr>
          <w:p w:rsidRPr="00DB5A0B" w:rsidR="003B6B18" w:rsidP="00EF4DE0" w:rsidRDefault="003B6B18" w14:paraId="27BEBB21" w14:textId="77777777">
            <w:pPr>
              <w:snapToGrid w:val="false"/>
              <w:rPr>
                <w:lang w:val="lv-LV"/>
              </w:rPr>
            </w:pPr>
          </w:p>
        </w:tc>
      </w:tr>
    </w:tbl>
    <w:p w:rsidRPr="00DB5A0B" w:rsidR="003B6B18" w:rsidP="003B6B18" w:rsidRDefault="003B6B18" w14:paraId="1ADAD3A0" w14:textId="77777777">
      <w:pPr>
        <w:pStyle w:val="Heading4"/>
      </w:pPr>
    </w:p>
    <w:p w:rsidRPr="00DB5A0B" w:rsidR="003B6B18" w:rsidP="003B6B18" w:rsidRDefault="003B6B18" w14:paraId="57F56DA0" w14:textId="77777777">
      <w:pPr>
        <w:jc w:val="center"/>
        <w:rPr>
          <w:b/>
          <w:lang w:val="lv-LV"/>
        </w:rPr>
      </w:pPr>
      <w:r w:rsidRPr="00DB5A0B">
        <w:rPr>
          <w:b/>
          <w:lang w:val="lv-LV"/>
        </w:rPr>
        <w:t>Pozīcija</w:t>
      </w:r>
    </w:p>
    <w:p w:rsidRPr="00DB5A0B" w:rsidR="003B6B18" w:rsidP="003B6B18" w:rsidRDefault="003B6B18" w14:paraId="7D7B7E6B" w14:textId="77777777">
      <w:pPr>
        <w:jc w:val="center"/>
        <w:rPr>
          <w:b/>
          <w:lang w:val="lv-LV"/>
        </w:rPr>
      </w:pPr>
      <w:r w:rsidRPr="00DB5A0B">
        <w:rPr>
          <w:b/>
          <w:lang w:val="lv-LV"/>
        </w:rPr>
        <w:t>Nr. 1</w:t>
      </w:r>
    </w:p>
    <w:p w:rsidRPr="00DB5A0B" w:rsidR="003B6B18" w:rsidP="00300042" w:rsidRDefault="00300042" w14:paraId="788ED667" w14:textId="20BF0912">
      <w:pPr>
        <w:jc w:val="center"/>
        <w:rPr>
          <w:rFonts w:eastAsiaTheme="minorHAnsi" w:cstheme="minorBidi"/>
          <w:b/>
          <w:bCs/>
          <w:color w:val="000000"/>
          <w:kern w:val="2"/>
          <w:lang w:val="lv-LV" w:eastAsia="en-US"/>
        </w:rPr>
      </w:pPr>
      <w:r w:rsidRPr="00DB5A0B">
        <w:rPr>
          <w:rFonts w:eastAsiaTheme="minorHAnsi" w:cstheme="minorBidi"/>
          <w:b/>
          <w:bCs/>
          <w:color w:val="000000"/>
          <w:kern w:val="2"/>
          <w:lang w:val="lv-LV" w:eastAsia="en-US"/>
        </w:rPr>
        <w:t>Priekšlikums Eiropas Parlamenta un Padomes Regulai, ar ko groza Eiropas Parlamenta un Padomes Regulas (EK) Nr. 561/2006, (ES) 2018/858, (ES) 2019/2144 un (ES) 2024/1257 attiecībā uz mehānisko transportlīdzekļu tehnisko prasību un testēšanas procedūru vienkāršošanu un atceļ Padomes Direktīvu 70/157/EEK un Eiropas Parlamenta un Padomes Regulu (ES) Nr. 540/2014 (Mehānisko transportlīdzekļu tehnisko prasību un testēšanas procedūru vienkāršošana)</w:t>
      </w:r>
    </w:p>
    <w:p w:rsidRPr="00DB5A0B" w:rsidR="00300042" w:rsidP="00300042" w:rsidRDefault="00300042" w14:paraId="39E7F3A1" w14:textId="77777777">
      <w:pPr>
        <w:jc w:val="center"/>
        <w:rPr>
          <w:i/>
          <w:lang w:val="lv-LV"/>
        </w:rPr>
      </w:pPr>
    </w:p>
    <w:p w:rsidRPr="0019110D" w:rsidR="003B6B18" w:rsidP="003B6B18" w:rsidRDefault="003B6B18" w14:paraId="0ECCEBA9" w14:textId="625D858B">
      <w:pPr>
        <w:jc w:val="center"/>
        <w:rPr>
          <w:i/>
        </w:rPr>
      </w:pPr>
      <w:r w:rsidRPr="0019110D">
        <w:rPr>
          <w:i/>
        </w:rPr>
        <w:t>Proposal for a</w:t>
      </w:r>
      <w:r w:rsidRPr="0019110D" w:rsidR="00DB5A0B">
        <w:rPr>
          <w:i/>
        </w:rPr>
        <w:t xml:space="preserve"> </w:t>
      </w:r>
      <w:r w:rsidRPr="0019110D" w:rsidR="00300042">
        <w:rPr>
          <w:i/>
        </w:rPr>
        <w:t xml:space="preserve"> Regulation of the European Parliament and of the Council amending Regulations (EC) No 561/2006, (EU) 2018/858, (EU) 2019/2144 and (EU) 2024/1257 of the European Parliament and of the Council as regards the simplification of technical requirements and testing procedures for motor vehicles and repealing Council Directive 70/157/EEC and Regulation No 540/2014 of the European Parliament and of the Council (Simplification of technical requirements and testing procedures for motor vehicles)</w:t>
      </w:r>
    </w:p>
    <w:p w:rsidRPr="00DB5A0B" w:rsidR="00DB5A0B" w:rsidP="003B6B18" w:rsidRDefault="00DB5A0B" w14:paraId="43DD5848" w14:textId="77777777">
      <w:pPr>
        <w:jc w:val="center"/>
        <w:rPr>
          <w:lang w:val="lv-LV"/>
        </w:rPr>
      </w:pPr>
    </w:p>
    <w:tbl>
      <w:tblPr>
        <w:tblpPr w:leftFromText="180" w:rightFromText="180" w:vertAnchor="text" w:tblpX="-10" w:tblpY="1"/>
        <w:tblOverlap w:val="never"/>
        <w:tblW w:w="9298" w:type="dxa"/>
        <w:tblLayout w:type="fixed"/>
        <w:tblLook w:firstRow="0" w:lastRow="0" w:firstColumn="0" w:lastColumn="0" w:noHBand="0" w:noVBand="0" w:val="0000"/>
      </w:tblPr>
      <w:tblGrid>
        <w:gridCol w:w="10"/>
        <w:gridCol w:w="1052"/>
        <w:gridCol w:w="8236"/>
      </w:tblGrid>
      <w:tr w:rsidRPr="00DB5A0B" w:rsidR="003B6B18" w:rsidTr="5C0120C0" w14:paraId="28741F32" w14:textId="77777777">
        <w:trPr>
          <w:gridBefore w:val="1"/>
          <w:wBefore w:w="10" w:type="dxa"/>
          <w:trHeight w:val="284"/>
        </w:trPr>
        <w:tc>
          <w:tcPr>
            <w:tcW w:w="1052" w:type="dxa"/>
          </w:tcPr>
          <w:p w:rsidRPr="00DB5A0B" w:rsidR="003B6B18" w:rsidP="00EF4DE0" w:rsidRDefault="003B6B18" w14:paraId="66795CCD" w14:textId="77777777">
            <w:pPr>
              <w:snapToGrid w:val="false"/>
              <w:jc w:val="both"/>
              <w:rPr>
                <w:lang w:val="lv-LV"/>
              </w:rPr>
            </w:pPr>
            <w:r w:rsidRPr="00DB5A0B">
              <w:rPr>
                <w:lang w:val="lv-LV"/>
              </w:rPr>
              <w:t>Stadija</w:t>
            </w:r>
          </w:p>
        </w:tc>
        <w:tc>
          <w:tcPr>
            <w:tcW w:w="8236" w:type="dxa"/>
            <w:tcBorders>
              <w:top w:val="nil"/>
              <w:left w:val="nil"/>
              <w:bottom w:val="single" w:color="000000" w:themeColor="text1" w:sz="4" w:space="0"/>
              <w:right w:val="nil"/>
            </w:tcBorders>
          </w:tcPr>
          <w:p w:rsidRPr="00DB5A0B" w:rsidR="003B6B18" w:rsidP="00EF4DE0" w:rsidRDefault="003B6B18" w14:paraId="58EA1D55" w14:textId="77777777">
            <w:pPr>
              <w:snapToGrid w:val="false"/>
              <w:jc w:val="both"/>
              <w:rPr>
                <w:lang w:val="lv-LV"/>
              </w:rPr>
            </w:pPr>
            <w:r w:rsidRPr="00DB5A0B">
              <w:rPr>
                <w:lang w:val="lv-LV"/>
              </w:rPr>
              <w:t>Sākotnējā pozīcija</w:t>
            </w:r>
          </w:p>
        </w:tc>
      </w:tr>
      <w:tr w:rsidRPr="00273ABF" w:rsidR="003B6B18" w:rsidTr="5C0120C0" w14:paraId="06CB68C7" w14:textId="77777777">
        <w:trPr>
          <w:gridBefore w:val="1"/>
          <w:wBefore w:w="10" w:type="dxa"/>
        </w:trPr>
        <w:tc>
          <w:tcPr>
            <w:tcW w:w="9288" w:type="dxa"/>
            <w:gridSpan w:val="2"/>
          </w:tcPr>
          <w:p w:rsidRPr="00DB5A0B" w:rsidR="003B6B18" w:rsidP="00EF4DE0" w:rsidRDefault="003B6B18" w14:paraId="09DD886D" w14:textId="72FAD4F4">
            <w:pPr>
              <w:jc w:val="both"/>
              <w:rPr>
                <w:rFonts w:ascii="TimesNewRoman" w:hAnsi="TimesNewRoman" w:cs="TimesNewRoman"/>
                <w:lang w:val="lv-LV" w:eastAsia="lv-LV"/>
              </w:rPr>
            </w:pPr>
            <w:r w:rsidRPr="00DB5A0B">
              <w:rPr>
                <w:lang w:val="lv-LV"/>
              </w:rPr>
              <w:t>Atsauces uz ES dokumentiem</w:t>
            </w:r>
            <w:r w:rsidRPr="00DB5A0B">
              <w:rPr>
                <w:rFonts w:ascii="TimesNewRoman" w:hAnsi="TimesNewRoman" w:cs="TimesNewRoman"/>
                <w:lang w:val="lv-LV" w:eastAsia="lv-LV"/>
              </w:rPr>
              <w:t xml:space="preserve"> COM(2025) </w:t>
            </w:r>
            <w:r w:rsidRPr="00DB5A0B" w:rsidR="00300042">
              <w:rPr>
                <w:rFonts w:ascii="TimesNewRoman" w:hAnsi="TimesNewRoman" w:cs="TimesNewRoman"/>
                <w:lang w:val="lv-LV" w:eastAsia="lv-LV"/>
              </w:rPr>
              <w:t>993</w:t>
            </w:r>
          </w:p>
          <w:p w:rsidRPr="00DB5A0B" w:rsidR="003B6B18" w:rsidP="00EF4DE0" w:rsidRDefault="003B6B18" w14:paraId="12C7671C" w14:textId="77777777">
            <w:pPr>
              <w:jc w:val="both"/>
              <w:rPr>
                <w:lang w:val="lv-LV"/>
              </w:rPr>
            </w:pPr>
          </w:p>
        </w:tc>
      </w:tr>
      <w:tr w:rsidRPr="00273ABF" w:rsidR="003B6B18" w:rsidTr="5C0120C0" w14:paraId="646C9E00" w14:textId="77777777">
        <w:tc>
          <w:tcPr>
            <w:tcW w:w="9298" w:type="dxa"/>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DB5A0B" w:rsidR="003B6B18" w:rsidP="00EF4DE0" w:rsidRDefault="003B6B18" w14:paraId="447F5855" w14:textId="77777777">
            <w:pPr>
              <w:snapToGrid w:val="false"/>
              <w:rPr>
                <w:lang w:val="lv-LV"/>
              </w:rPr>
            </w:pPr>
            <w:r w:rsidRPr="00DB5A0B">
              <w:rPr>
                <w:lang w:val="lv-LV"/>
              </w:rPr>
              <w:t xml:space="preserve">1. </w:t>
            </w:r>
            <w:r w:rsidRPr="00DB5A0B">
              <w:rPr>
                <w:b/>
                <w:lang w:val="lv-LV"/>
              </w:rPr>
              <w:t xml:space="preserve"> ES tiesību akta projekta/izskatāmā jautājuma īss apraksts </w:t>
            </w:r>
          </w:p>
        </w:tc>
      </w:tr>
      <w:tr w:rsidRPr="00273ABF" w:rsidR="003B6B18" w:rsidTr="5C0120C0" w14:paraId="30CB8238" w14:textId="77777777">
        <w:trPr>
          <w:trHeight w:val="38"/>
        </w:trPr>
        <w:tc>
          <w:tcPr>
            <w:tcW w:w="9298" w:type="dxa"/>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rsidR="00DB5A0B" w:rsidP="00FB77DE" w:rsidRDefault="00DB5A0B" w14:paraId="0419000C" w14:textId="588256DF">
            <w:pPr>
              <w:jc w:val="both"/>
              <w:rPr>
                <w:noProof/>
                <w:lang w:val="lv-LV"/>
              </w:rPr>
            </w:pPr>
            <w:r>
              <w:rPr>
                <w:noProof/>
                <w:lang w:val="lv-LV"/>
              </w:rPr>
              <w:t>Eiropas Komisija (turpmāk – Komisija) ir nākusi klajā ar priekšlikumu</w:t>
            </w:r>
            <w:r w:rsidRPr="0019110D">
              <w:rPr>
                <w:lang w:val="lv-LV"/>
              </w:rPr>
              <w:t xml:space="preserve"> </w:t>
            </w:r>
            <w:r w:rsidRPr="00DB5A0B">
              <w:rPr>
                <w:noProof/>
                <w:lang w:val="lv-LV"/>
              </w:rPr>
              <w:t>Eiropas Parlamenta un Padomes Regulai, ar ko groza Eiropas Parlamenta un Padomes Regulas (EK) Nr. 561/2006, (ES) 2018/858, (ES) 2019/2144 un (ES) 2024/1257 attiecībā uz mehānisko transportlīdzekļu tehnisko prasību un testēšanas procedūru vienkāršošanu un atceļ Padomes Direktīvu 70/157/EEK un Eiropas Parlamenta un Padomes Regulu (ES) Nr. 540/2014 (Mehānisko transportlīdzekļu tehnisko prasību un testēšanas procedūru vienkāršošana</w:t>
            </w:r>
            <w:r w:rsidR="00F251F8">
              <w:rPr>
                <w:noProof/>
                <w:lang w:val="lv-LV"/>
              </w:rPr>
              <w:t>, turpmāk – priekšlikums</w:t>
            </w:r>
            <w:r w:rsidRPr="00DB5A0B">
              <w:rPr>
                <w:noProof/>
                <w:lang w:val="lv-LV"/>
              </w:rPr>
              <w:t>)</w:t>
            </w:r>
            <w:r>
              <w:rPr>
                <w:noProof/>
                <w:lang w:val="lv-LV"/>
              </w:rPr>
              <w:t>.</w:t>
            </w:r>
          </w:p>
          <w:p w:rsidR="00DB5A0B" w:rsidP="00FB77DE" w:rsidRDefault="00DB5A0B" w14:paraId="2E7567B7" w14:textId="77777777">
            <w:pPr>
              <w:jc w:val="both"/>
              <w:rPr>
                <w:noProof/>
                <w:lang w:val="lv-LV"/>
              </w:rPr>
            </w:pPr>
          </w:p>
          <w:p w:rsidRPr="0019110D" w:rsidR="00FB77DE" w:rsidP="0019110D" w:rsidRDefault="00DB5A0B" w14:paraId="323007D0" w14:textId="319E8223">
            <w:pPr>
              <w:spacing w:after="240"/>
              <w:jc w:val="both"/>
              <w:rPr>
                <w:noProof/>
                <w:u w:val="single"/>
                <w:lang w:val="lv-LV"/>
              </w:rPr>
            </w:pPr>
            <w:r w:rsidRPr="0019110D">
              <w:rPr>
                <w:b/>
                <w:bCs/>
                <w:noProof/>
                <w:u w:val="single"/>
                <w:lang w:val="lv-LV"/>
              </w:rPr>
              <w:lastRenderedPageBreak/>
              <w:t>Priekšlikumā i</w:t>
            </w:r>
            <w:r w:rsidRPr="0019110D" w:rsidR="00FB77DE">
              <w:rPr>
                <w:b/>
                <w:bCs/>
                <w:noProof/>
                <w:u w:val="single"/>
                <w:lang w:val="lv-LV"/>
              </w:rPr>
              <w:t xml:space="preserve">erosinātie grozījumi </w:t>
            </w:r>
            <w:r w:rsidRPr="0019110D">
              <w:rPr>
                <w:b/>
                <w:bCs/>
                <w:i/>
                <w:iCs/>
                <w:noProof/>
                <w:u w:val="single"/>
                <w:lang w:val="lv-LV"/>
              </w:rPr>
              <w:t xml:space="preserve">Eiropas Parlamenta un Padomes Regulā (EK) Nr. 561/2006 (2006. gada 15. marts), ar ko paredz dažu sociālās jomas tiesību aktu saskaņošanu saistībā ar autotransportu, groza Padomes Regulu (EEK) Nr. 3821/85 un Padomes Regulu (EK) Nr. 2135/98 un atceļ Padomes Regulu (EEK) Nr. 3820/85 </w:t>
            </w:r>
            <w:r w:rsidRPr="0019110D">
              <w:rPr>
                <w:b/>
                <w:bCs/>
                <w:noProof/>
                <w:u w:val="single"/>
                <w:lang w:val="lv-LV"/>
              </w:rPr>
              <w:t xml:space="preserve">(turpmāk – Regula </w:t>
            </w:r>
            <w:r w:rsidRPr="0019110D" w:rsidR="00FB77DE">
              <w:rPr>
                <w:b/>
                <w:bCs/>
                <w:noProof/>
                <w:u w:val="single"/>
                <w:lang w:val="lv-LV"/>
              </w:rPr>
              <w:t>(EK) Nr. 561/2006</w:t>
            </w:r>
            <w:r w:rsidRPr="0019110D" w:rsidR="00EC0CA6">
              <w:rPr>
                <w:rStyle w:val="FootnoteReference"/>
                <w:b/>
                <w:bCs/>
                <w:noProof/>
                <w:lang w:val="lv-LV"/>
              </w:rPr>
              <w:footnoteReference w:id="1"/>
            </w:r>
            <w:r w:rsidRPr="0019110D">
              <w:rPr>
                <w:b/>
                <w:bCs/>
                <w:noProof/>
                <w:u w:val="single"/>
                <w:lang w:val="lv-LV"/>
              </w:rPr>
              <w:t>)</w:t>
            </w:r>
            <w:r w:rsidRPr="0019110D" w:rsidR="00FB77DE">
              <w:rPr>
                <w:b/>
                <w:bCs/>
                <w:noProof/>
                <w:lang w:val="lv-LV"/>
              </w:rPr>
              <w:t>:</w:t>
            </w:r>
            <w:r w:rsidRPr="0019110D" w:rsidR="00FB77DE">
              <w:rPr>
                <w:noProof/>
                <w:lang w:val="lv-LV"/>
              </w:rPr>
              <w:t xml:space="preserve"> pirmais ierosinātais grozījums paredz ļaut dalībvalstīm atbrīvot N2  elektrofurgonus, kuru maksimālā atļautā masa pārsniedz 3,5 tonnas, bet nepārsniedz 4,25 tonnas, kas </w:t>
            </w:r>
            <w:r w:rsidR="002E5238">
              <w:rPr>
                <w:noProof/>
                <w:lang w:val="lv-LV"/>
              </w:rPr>
              <w:t>veic</w:t>
            </w:r>
            <w:r w:rsidRPr="0019110D" w:rsidR="002E5238">
              <w:rPr>
                <w:noProof/>
                <w:lang w:val="lv-LV"/>
              </w:rPr>
              <w:t xml:space="preserve"> </w:t>
            </w:r>
            <w:r w:rsidRPr="0019110D" w:rsidR="00FB77DE">
              <w:rPr>
                <w:noProof/>
                <w:lang w:val="lv-LV"/>
              </w:rPr>
              <w:t xml:space="preserve">tikai iekšzemes </w:t>
            </w:r>
            <w:r w:rsidR="002E5238">
              <w:rPr>
                <w:noProof/>
                <w:lang w:val="lv-LV"/>
              </w:rPr>
              <w:t>pārvadājumus</w:t>
            </w:r>
            <w:r w:rsidRPr="0019110D" w:rsidR="00FB77DE">
              <w:rPr>
                <w:noProof/>
                <w:lang w:val="lv-LV"/>
              </w:rPr>
              <w:t>, no pienākuma uzstādīt viedos tahogrāfus, lai tie būtu vienādi ar fosilā kurināmā ekvivalentu,  N1 dīzeļdegvielas furgoni</w:t>
            </w:r>
            <w:r w:rsidR="002E5238">
              <w:rPr>
                <w:noProof/>
                <w:lang w:val="lv-LV"/>
              </w:rPr>
              <w:t>em</w:t>
            </w:r>
            <w:r w:rsidRPr="0019110D" w:rsidR="00FB77DE">
              <w:rPr>
                <w:noProof/>
                <w:lang w:val="lv-LV"/>
              </w:rPr>
              <w:t>.</w:t>
            </w:r>
          </w:p>
          <w:p w:rsidRPr="0019110D" w:rsidR="00FB77DE" w:rsidP="00DB5A0B" w:rsidRDefault="00FB77DE" w14:paraId="77A88575" w14:textId="3245DF31">
            <w:pPr>
              <w:spacing w:after="240"/>
              <w:jc w:val="both"/>
              <w:rPr>
                <w:noProof/>
                <w:lang w:val="lv-LV"/>
              </w:rPr>
            </w:pPr>
            <w:r w:rsidRPr="0019110D">
              <w:rPr>
                <w:noProof/>
                <w:lang w:val="lv-LV"/>
              </w:rPr>
              <w:t xml:space="preserve">Ierosinātā pasākuma galvenā paredzamā ietekme ir samazinātas izmaksas uzņēmumiem, jo īpaši </w:t>
            </w:r>
            <w:r w:rsidR="00F251F8">
              <w:rPr>
                <w:noProof/>
                <w:lang w:val="lv-LV"/>
              </w:rPr>
              <w:t xml:space="preserve">maziem un vidējiem uzņēmumiem (turpmāk – </w:t>
            </w:r>
            <w:r w:rsidRPr="0019110D">
              <w:rPr>
                <w:noProof/>
                <w:lang w:val="lv-LV"/>
              </w:rPr>
              <w:t>MVU</w:t>
            </w:r>
            <w:r w:rsidR="00F251F8">
              <w:rPr>
                <w:noProof/>
                <w:lang w:val="lv-LV"/>
              </w:rPr>
              <w:t>)</w:t>
            </w:r>
            <w:r w:rsidRPr="0019110D">
              <w:rPr>
                <w:noProof/>
                <w:lang w:val="lv-LV"/>
              </w:rPr>
              <w:t xml:space="preserve">, kas ir šādu furgonu galvenie lietotāji/pircēji, kuriem vairs nebūs jāuzstāda viedie tahogrāfi konkrētajam e-furgonu tipam. Turklāt tahogrāfa atcelšana arī samazinās administratīvo slogu/izmaksas uzņēmumiem/autovadītājiem, kuriem vairs nebūs jālejupielādē tahogrāfa dati (2 līdz 4 stundas mēnesī). Turklāt vienlīdzīgu konkurences apstākļu nodrošināšana starp N1 dīzeļdegvielas furgoniem un N2 elektrofurgoniem, samazinot cenas pēdējiem, palīdzēs veicināt šādu elektrofurgonu ieviešanu. </w:t>
            </w:r>
          </w:p>
          <w:p w:rsidRPr="0019110D" w:rsidR="00FB77DE" w:rsidP="00DB5A0B" w:rsidRDefault="00452852" w14:paraId="177A94B6" w14:textId="3BEB8E45">
            <w:pPr>
              <w:spacing w:after="240"/>
              <w:jc w:val="both"/>
              <w:rPr>
                <w:noProof/>
                <w:lang w:val="lv-LV"/>
              </w:rPr>
            </w:pPr>
            <w:r w:rsidRPr="00452852">
              <w:rPr>
                <w:noProof/>
                <w:lang w:val="lv-LV"/>
              </w:rPr>
              <w:t>Noteikumi par transportlīdzekļa vadīšanas laiku un atpūtas laiku, kā arī par tahogrāfa uzstādīšanu un izmantošanu attiecas arī uz dzīvojamiem mehāniskajiem transportlīdzekļiem vai dzīvojamo mehānisko transportlīdzekļu sastāviem, kuru masa pārsniedz 7,5 tonnas.</w:t>
            </w:r>
            <w:r w:rsidRPr="00452852" w:rsidDel="00452852">
              <w:rPr>
                <w:noProof/>
                <w:lang w:val="lv-LV"/>
              </w:rPr>
              <w:t xml:space="preserve"> </w:t>
            </w:r>
            <w:r w:rsidRPr="0019110D" w:rsidR="00FB77DE">
              <w:rPr>
                <w:noProof/>
                <w:lang w:val="lv-LV"/>
              </w:rPr>
              <w:t>Eiropas Savienības Tiesā (</w:t>
            </w:r>
            <w:r w:rsidR="00F251F8">
              <w:rPr>
                <w:noProof/>
                <w:lang w:val="lv-LV"/>
              </w:rPr>
              <w:t xml:space="preserve">turpmāk – </w:t>
            </w:r>
            <w:r w:rsidRPr="0019110D" w:rsidR="00FB77DE">
              <w:rPr>
                <w:noProof/>
                <w:lang w:val="lv-LV"/>
              </w:rPr>
              <w:t>EST) izskatāmajā lietā C-666/21 pilsonis apgalvoja, ka Regula (EK) Nr. 561/2006 un</w:t>
            </w:r>
            <w:r w:rsidR="00F251F8">
              <w:rPr>
                <w:noProof/>
                <w:lang w:val="lv-LV"/>
              </w:rPr>
              <w:t xml:space="preserve"> </w:t>
            </w:r>
            <w:r w:rsidR="00F251F8">
              <w:rPr>
                <w:i/>
                <w:iCs/>
                <w:noProof/>
                <w:lang w:val="lv-LV"/>
              </w:rPr>
              <w:t>E</w:t>
            </w:r>
            <w:r w:rsidRPr="0019110D" w:rsidR="00F251F8">
              <w:rPr>
                <w:i/>
                <w:iCs/>
                <w:noProof/>
                <w:lang w:val="lv-LV"/>
              </w:rPr>
              <w:t>iropas Parlamenta un Padomes Regul</w:t>
            </w:r>
            <w:r w:rsidR="00F251F8">
              <w:rPr>
                <w:i/>
                <w:iCs/>
                <w:noProof/>
                <w:lang w:val="lv-LV"/>
              </w:rPr>
              <w:t>a</w:t>
            </w:r>
            <w:r w:rsidRPr="0019110D" w:rsidR="00F251F8">
              <w:rPr>
                <w:i/>
                <w:iCs/>
                <w:noProof/>
                <w:lang w:val="lv-LV"/>
              </w:rPr>
              <w:t xml:space="preserve"> (ES) Nr. 165/2014 ( 2014. gada 4. februāris ) par tahogrāfiem autotransportā, ar kuru atceļ Padomes Regulu (EEK) Nr. 3821/85 par reģistrācijas kontrolierīcēm, ko izmanto autotransportā, un groza Eiropas Parlamenta un Padomes Regulu (EK) Nr. 561/2006, ar ko paredz dažu sociālās jomas tiesību aktu saskaņošanu saistībā ar autotransportu</w:t>
            </w:r>
            <w:r w:rsidRPr="0019110D" w:rsidR="00EC0CA6">
              <w:rPr>
                <w:rStyle w:val="FootnoteReference"/>
                <w:noProof/>
                <w:lang w:val="lv-LV"/>
              </w:rPr>
              <w:footnoteReference w:id="2"/>
            </w:r>
            <w:r w:rsidR="00F251F8">
              <w:rPr>
                <w:noProof/>
                <w:lang w:val="lv-LV"/>
              </w:rPr>
              <w:t xml:space="preserve"> </w:t>
            </w:r>
            <w:r w:rsidRPr="0019110D" w:rsidR="00FB77DE">
              <w:rPr>
                <w:noProof/>
                <w:lang w:val="lv-LV"/>
              </w:rPr>
              <w:t xml:space="preserve">nav paredzētas nekomerciāliem lietotājiem un ka šādi transportlīdzekļi nebūtu jāuzskata par komerciāliem pārvadājumiem. Tomēr </w:t>
            </w:r>
            <w:r w:rsidR="00F251F8">
              <w:rPr>
                <w:noProof/>
                <w:lang w:val="lv-LV"/>
              </w:rPr>
              <w:t>EST</w:t>
            </w:r>
            <w:r w:rsidRPr="0019110D" w:rsidR="00F251F8">
              <w:rPr>
                <w:noProof/>
                <w:lang w:val="lv-LV"/>
              </w:rPr>
              <w:t xml:space="preserve"> </w:t>
            </w:r>
            <w:r w:rsidRPr="0019110D" w:rsidR="00FB77DE">
              <w:rPr>
                <w:noProof/>
                <w:lang w:val="lv-LV"/>
              </w:rPr>
              <w:t xml:space="preserve">nolēma, ka šādi noteikumi var attiekties uz nekomerciāliem lietotājiem, kuru transportlīdzekļi ir lielāki par 7,5 tonnām. Konkrētāk, </w:t>
            </w:r>
            <w:r w:rsidR="00F251F8">
              <w:rPr>
                <w:noProof/>
                <w:lang w:val="lv-LV"/>
              </w:rPr>
              <w:t>EST</w:t>
            </w:r>
            <w:r w:rsidRPr="0019110D" w:rsidR="00F251F8">
              <w:rPr>
                <w:noProof/>
                <w:lang w:val="lv-LV"/>
              </w:rPr>
              <w:t xml:space="preserve"> </w:t>
            </w:r>
            <w:r w:rsidRPr="0019110D" w:rsidR="00FB77DE">
              <w:rPr>
                <w:noProof/>
                <w:lang w:val="lv-LV"/>
              </w:rPr>
              <w:t xml:space="preserve">nolēma, ka "jēdziens "kravu autopārvadājumi" [...] attiecas uz autopārvadājumiem ar transportlīdzekli, kura maksimālā pieļaujamā masa grozītās Regulas Nr. 561/2006 4. panta m) punkta izpratnē pārsniedz 7,5 tonnas, tostarp tad, ja tas ir ierīkots ne tikai kā pagaidu privāta dzīvojamā telpa, bet arī nekomerciālai kravu iekraušanai, un šī transportlīdzekļa kravas ietilpībai vai kategorijai, kurā tas ir iekļauts valsts ceļu satiksmes reģistrā, šajā ziņā nav nekādas sekas." </w:t>
            </w:r>
          </w:p>
          <w:p w:rsidRPr="0019110D" w:rsidR="00FB77DE" w:rsidP="00DB5A0B" w:rsidRDefault="005E0723" w14:paraId="54A7C802" w14:textId="5E5F073F">
            <w:pPr>
              <w:spacing w:after="240"/>
              <w:jc w:val="both"/>
              <w:rPr>
                <w:noProof/>
                <w:lang w:val="lv-LV"/>
              </w:rPr>
            </w:pPr>
            <w:r w:rsidRPr="005E0723">
              <w:rPr>
                <w:noProof/>
                <w:lang w:val="lv-LV"/>
              </w:rPr>
              <w:t>Lai precizētu tiesisko regulējumu, kas attiecas uz konkrēto gadījumu saistībā ar dzīvojamiem mehāniskajiem transportlīdzekļiem, kuru maksimālā pieļaujamā masa pārsniedz 7,5 tonna</w:t>
            </w:r>
            <w:r w:rsidR="004E2BB4">
              <w:rPr>
                <w:noProof/>
                <w:lang w:val="lv-LV"/>
              </w:rPr>
              <w:t>s</w:t>
            </w:r>
            <w:r w:rsidRPr="005E0723" w:rsidDel="005E0723">
              <w:rPr>
                <w:noProof/>
                <w:lang w:val="lv-LV"/>
              </w:rPr>
              <w:t xml:space="preserve"> </w:t>
            </w:r>
            <w:r w:rsidRPr="0019110D" w:rsidR="00FB77DE">
              <w:rPr>
                <w:noProof/>
                <w:lang w:val="lv-LV"/>
              </w:rPr>
              <w:t xml:space="preserve">un kurus izmanto privātiem mērķiem, un lai nodrošinātu juridisko skaidrību šādu transportlīdzekļu ražotājiem un klientiem, otrais ierosinātais grozījums paredz Regulas (EK) Nr. 561/2006 13. pantam pievienot jaunu s) punktu, kas ļaus dalībvalstīm atbrīvot kemperus no noteikumiem par braukšanas laiku un atpūtu periodiem un tahogrāfā. </w:t>
            </w:r>
            <w:r w:rsidR="002E5238">
              <w:rPr>
                <w:noProof/>
                <w:lang w:val="lv-LV"/>
              </w:rPr>
              <w:t>P</w:t>
            </w:r>
            <w:r w:rsidRPr="0019110D" w:rsidR="00FB77DE">
              <w:rPr>
                <w:noProof/>
                <w:lang w:val="lv-LV"/>
              </w:rPr>
              <w:t>lānotais atbrīvojums no tahogrāfa pienākuma attiecībā uz šiem transportlīdzekļiem samazinās izmaksas</w:t>
            </w:r>
            <w:r w:rsidR="00627F34">
              <w:rPr>
                <w:noProof/>
                <w:lang w:val="lv-LV"/>
              </w:rPr>
              <w:t xml:space="preserve"> </w:t>
            </w:r>
            <w:r w:rsidRPr="0019110D" w:rsidR="00FB77DE">
              <w:rPr>
                <w:noProof/>
                <w:lang w:val="lv-LV"/>
              </w:rPr>
              <w:t xml:space="preserve"> </w:t>
            </w:r>
            <w:r w:rsidRPr="00273ABF" w:rsidR="00627F34">
              <w:rPr>
                <w:lang w:val="lv-LV"/>
              </w:rPr>
              <w:t xml:space="preserve"> </w:t>
            </w:r>
            <w:r w:rsidRPr="00627F34" w:rsidR="00627F34">
              <w:rPr>
                <w:noProof/>
                <w:lang w:val="lv-LV"/>
              </w:rPr>
              <w:t>un palielinās pārliecību autovadītājiem, kuri izmanto dzīvojamos mehāniskos transportlīdzekļus tūrismam.</w:t>
            </w:r>
          </w:p>
          <w:p w:rsidRPr="0019110D" w:rsidR="00FB77DE" w:rsidP="00F83555" w:rsidRDefault="00F83555" w14:paraId="71252004" w14:textId="12AD2E62">
            <w:pPr>
              <w:spacing w:after="240"/>
              <w:jc w:val="both"/>
              <w:rPr>
                <w:noProof/>
                <w:lang w:val="lv-LV"/>
              </w:rPr>
            </w:pPr>
            <w:r>
              <w:rPr>
                <w:b/>
                <w:bCs/>
                <w:noProof/>
                <w:u w:val="single"/>
                <w:lang w:val="lv-LV"/>
              </w:rPr>
              <w:lastRenderedPageBreak/>
              <w:t>Priekšlikumā i</w:t>
            </w:r>
            <w:r w:rsidRPr="0019110D" w:rsidR="00FB77DE">
              <w:rPr>
                <w:b/>
                <w:bCs/>
                <w:noProof/>
                <w:u w:val="single"/>
                <w:lang w:val="lv-LV"/>
              </w:rPr>
              <w:t xml:space="preserve">erosinātie grozījumi </w:t>
            </w:r>
            <w:r w:rsidRPr="0019110D">
              <w:rPr>
                <w:b/>
                <w:bCs/>
                <w:i/>
                <w:iCs/>
                <w:noProof/>
                <w:u w:val="single"/>
                <w:lang w:val="lv-LV"/>
              </w:rPr>
              <w:t>Eiropas Parlamenta un Padomes Regulā (ES) 2019/2144 (2019. gada 27. novembris) par prasībām mehānisko transportlīdzekļu un to piekabju un šiem transportlīdzekļiem paredzētu sistēmu, sastāvdaļu un atsevišķu tehnisko vienību tipa apstiprināšanai attiecībā uz to vispārīgo drošību un transportlīdzekļa braucēju un neaizsargāto ceļu satiksmes dalībnieku aizsardzību, ar ko groza Eiropas Parlamenta un Padomes Regulu (ES) 2018/858 un atceļ Eiropas Parlamenta un Padomes Regulas (EK) Nr. 78/2009, (EK) Nr. 79/2009 un (EK) Nr. 661/2009 un Komisijas Regulas (EK) Nr. 631/2009, (ES) Nr. 406/2010, (ES) Nr. 672/2010, (ES) Nr. 1003/2010, (ES) Nr. 1005/2010, (ES) Nr. 1008/2010, (ES) Nr. 1009/2010, (ES) Nr. 19/2011, (ES) Nr. 109/2011, (ES) Nr. 458/2011, (ES) Nr. 65/2012, (ES) Nr. 130/2012, (ES) Nr. 347/2012, (ES) Nr. 351/2012, (ES) Nr. 1230/2012 un (ES) 2015/166</w:t>
            </w:r>
            <w:r w:rsidRPr="0019110D">
              <w:rPr>
                <w:b/>
                <w:bCs/>
                <w:noProof/>
                <w:u w:val="single"/>
                <w:lang w:val="lv-LV"/>
              </w:rPr>
              <w:t xml:space="preserve"> (turpmāk – </w:t>
            </w:r>
            <w:r w:rsidRPr="0019110D" w:rsidR="00FB77DE">
              <w:rPr>
                <w:b/>
                <w:bCs/>
                <w:noProof/>
                <w:u w:val="single"/>
                <w:lang w:val="lv-LV"/>
              </w:rPr>
              <w:t>Regul</w:t>
            </w:r>
            <w:r w:rsidRPr="0019110D">
              <w:rPr>
                <w:b/>
                <w:bCs/>
                <w:noProof/>
                <w:u w:val="single"/>
                <w:lang w:val="lv-LV"/>
              </w:rPr>
              <w:t>a</w:t>
            </w:r>
            <w:r w:rsidRPr="0019110D" w:rsidR="00FB77DE">
              <w:rPr>
                <w:b/>
                <w:bCs/>
                <w:noProof/>
                <w:u w:val="single"/>
                <w:lang w:val="lv-LV"/>
              </w:rPr>
              <w:t xml:space="preserve"> (ES) 2019/2144</w:t>
            </w:r>
            <w:r w:rsidRPr="0019110D" w:rsidR="00EC0CA6">
              <w:rPr>
                <w:rStyle w:val="FootnoteReference"/>
                <w:b/>
                <w:bCs/>
                <w:noProof/>
                <w:u w:val="single"/>
                <w:lang w:val="lv-LV"/>
              </w:rPr>
              <w:footnoteReference w:id="3"/>
            </w:r>
            <w:r w:rsidRPr="0019110D">
              <w:rPr>
                <w:b/>
                <w:bCs/>
                <w:noProof/>
                <w:u w:val="single"/>
                <w:lang w:val="lv-LV"/>
              </w:rPr>
              <w:t>):</w:t>
            </w:r>
            <w:r w:rsidRPr="0019110D" w:rsidR="00EC0CA6">
              <w:rPr>
                <w:b/>
                <w:bCs/>
                <w:noProof/>
                <w:u w:val="single"/>
                <w:lang w:val="lv-LV"/>
              </w:rPr>
              <w:t xml:space="preserve"> </w:t>
            </w:r>
            <w:r w:rsidRPr="0019110D" w:rsidR="00FB77DE">
              <w:rPr>
                <w:noProof/>
                <w:lang w:val="lv-LV"/>
              </w:rPr>
              <w:t xml:space="preserve">ierosinātais grozījums paredz atbrīvot N2 elektrokravas automobiļus, kuru maksimālā pieļaujamā masa pārsniedz 3,5 tonnas un mazāka par 4,25 tonnām, no pienākuma aprīkot ar ātruma ierobežošanas ierīcēm, tādējādi nodrošinot tiem vienādus apstākļus ar fosilā kurināmā ekvivalentu N1 kategorijas dīzeļdegvielas furgoniem. </w:t>
            </w:r>
          </w:p>
          <w:p w:rsidR="00F83555" w:rsidP="00DB5A0B" w:rsidRDefault="00FB77DE" w14:paraId="1D68C409" w14:textId="77777777">
            <w:pPr>
              <w:spacing w:after="240"/>
              <w:jc w:val="both"/>
              <w:rPr>
                <w:noProof/>
                <w:lang w:val="lv-LV"/>
              </w:rPr>
            </w:pPr>
            <w:r w:rsidRPr="0019110D">
              <w:rPr>
                <w:noProof/>
                <w:lang w:val="lv-LV"/>
              </w:rPr>
              <w:t xml:space="preserve">Ierosinātā pasākuma galvenā paredzamā ietekme ir samazinātas izmaksas uzņēmumiem, jo īpaši MVU, kas ir šādu furgonu galvenie lietotāji/pircēji. Izmaksu ietaupījums radīsies ne tikai no neradušajām izmaksām, kas saistītas ar ātruma ierobežošanas ierīces uzstādīšanu, bet arī no lielākas darbības elastības, kas izriet no iespējas braukt ar šiem transportlīdzekļiem ar nedaudz lielāku ātrumu, atrodoties uz šosejas. Turklāt vienlīdzīgu konkurences apstākļu nodrošināšana starp N1 dīzeļdegvielas furgoniem un N2 elektrofurgoniem, samazinot to cenas, palīdzēs veicināt šādu elektrofurgonu ieviešanu. Visbeidzot, ir svarīgi uzsvērt, ka nav sagaidāms, ka šis atbrīvojums negatīvi ietekmēs skarto transportlīdzekļu ekoloģiskos vai drošības rādītājus. </w:t>
            </w:r>
          </w:p>
          <w:p w:rsidRPr="0019110D" w:rsidR="00FB77DE" w:rsidP="00DB5A0B" w:rsidRDefault="00F83555" w14:paraId="384A3BC1" w14:textId="736EAB4B">
            <w:pPr>
              <w:spacing w:after="240"/>
              <w:jc w:val="both"/>
              <w:rPr>
                <w:noProof/>
                <w:lang w:val="lv-LV"/>
              </w:rPr>
            </w:pPr>
            <w:r w:rsidRPr="0019110D">
              <w:rPr>
                <w:b/>
                <w:noProof/>
                <w:u w:val="single"/>
                <w:lang w:val="lv-LV"/>
              </w:rPr>
              <w:t>Priekšlikumā i</w:t>
            </w:r>
            <w:r w:rsidRPr="0019110D" w:rsidR="00FB77DE">
              <w:rPr>
                <w:b/>
                <w:noProof/>
                <w:u w:val="single"/>
                <w:lang w:val="lv-LV"/>
              </w:rPr>
              <w:t xml:space="preserve">erosinātie grozījumi </w:t>
            </w:r>
            <w:r w:rsidRPr="0019110D">
              <w:rPr>
                <w:b/>
                <w:i/>
                <w:iCs/>
                <w:noProof/>
                <w:u w:val="single"/>
                <w:lang w:val="lv-LV"/>
              </w:rPr>
              <w:t>Eiropas Parlamenta un Padomes Regulā (ES) 2024/1257 (2024. gada 24. aprīlis) par mehānisko transportlīdzekļu un motoru, kā arī šādiem transportlīdzekļiem paredzētu sistēmu, sastāvdaļu un atsevišķu tehnisku vienību tipa apstiprināšanu attiecībā uz to emisijām un akumulatoru baterijas ilgizturību (“Euro 7”) un ar ko groza Eiropas Parlamenta un Padomes Regulu (ES) 2018/858 un atceļ Eiropas Parlamenta un Padomes Regulas (EK) Nr. 715/2007 un (EK) Nr. 595/2009, Komisijas Regulu (ES) Nr. 582/2011, Komisijas Regulu (ES) 2017/1151, Komisijas Regulu (ES) 2017/2400 un Komisijas Īstenošanas regulu (ES) 2022/1362</w:t>
            </w:r>
            <w:r w:rsidRPr="00F83555">
              <w:rPr>
                <w:b/>
                <w:noProof/>
                <w:u w:val="single"/>
                <w:lang w:val="lv-LV"/>
              </w:rPr>
              <w:t xml:space="preserve"> </w:t>
            </w:r>
            <w:r w:rsidRPr="0019110D">
              <w:rPr>
                <w:b/>
                <w:noProof/>
                <w:u w:val="single"/>
                <w:lang w:val="lv-LV"/>
              </w:rPr>
              <w:t xml:space="preserve">(turpmāk – </w:t>
            </w:r>
            <w:r w:rsidRPr="0019110D" w:rsidR="00FB77DE">
              <w:rPr>
                <w:b/>
                <w:noProof/>
                <w:u w:val="single"/>
                <w:lang w:val="lv-LV"/>
              </w:rPr>
              <w:t>Regul</w:t>
            </w:r>
            <w:r w:rsidRPr="0019110D">
              <w:rPr>
                <w:b/>
                <w:noProof/>
                <w:u w:val="single"/>
                <w:lang w:val="lv-LV"/>
              </w:rPr>
              <w:t>a</w:t>
            </w:r>
            <w:r w:rsidRPr="0019110D" w:rsidR="00FB77DE">
              <w:rPr>
                <w:b/>
                <w:noProof/>
                <w:u w:val="single"/>
                <w:lang w:val="lv-LV"/>
              </w:rPr>
              <w:t xml:space="preserve"> (E</w:t>
            </w:r>
            <w:r>
              <w:rPr>
                <w:b/>
                <w:noProof/>
                <w:u w:val="single"/>
                <w:lang w:val="lv-LV"/>
              </w:rPr>
              <w:t>S</w:t>
            </w:r>
            <w:r w:rsidRPr="0019110D" w:rsidR="00FB77DE">
              <w:rPr>
                <w:b/>
                <w:noProof/>
                <w:u w:val="single"/>
                <w:lang w:val="lv-LV"/>
              </w:rPr>
              <w:t>) Nr. 2024/1257</w:t>
            </w:r>
            <w:r w:rsidRPr="0019110D" w:rsidR="00EC0CA6">
              <w:rPr>
                <w:rStyle w:val="FootnoteReference"/>
                <w:b/>
                <w:noProof/>
                <w:u w:val="single"/>
                <w:lang w:val="lv-LV"/>
              </w:rPr>
              <w:footnoteReference w:id="4"/>
            </w:r>
            <w:r w:rsidRPr="0019110D">
              <w:rPr>
                <w:b/>
                <w:noProof/>
                <w:u w:val="single"/>
                <w:lang w:val="lv-LV"/>
              </w:rPr>
              <w:t>)</w:t>
            </w:r>
            <w:r w:rsidRPr="0019110D" w:rsidR="00FB77DE">
              <w:rPr>
                <w:noProof/>
                <w:lang w:val="lv-LV"/>
              </w:rPr>
              <w:t xml:space="preserve">: V pielikuma 1. un 2. tabulā minētais "zemas temperatūras emisiju laboratorijas tests" temperatūras apstākļi ir ietverti "gāzveida piesārņotāja un PN testēšanā uz ceļiem RDE" testā tajās pašās tabulās. Lai pierādītu emisiju atbilstību zemas temperatūras apstākļos (-7 °C), ir jāievēro prasības attiecībā uz emisijām reālos braukšanas apstākļos (no -7 °C līdz 38 °C), un tāpēc tiek uzskatīts par pamatotu atcelt īpašo zemas temperatūras laboratorijas (6. tips) testu. </w:t>
            </w:r>
          </w:p>
          <w:p w:rsidRPr="0019110D" w:rsidR="00FB77DE" w:rsidP="00DB5A0B" w:rsidRDefault="00FB77DE" w14:paraId="12E33029" w14:textId="77777777">
            <w:pPr>
              <w:spacing w:after="240"/>
              <w:jc w:val="both"/>
              <w:rPr>
                <w:noProof/>
                <w:lang w:val="lv-LV"/>
              </w:rPr>
            </w:pPr>
            <w:r w:rsidRPr="0019110D">
              <w:rPr>
                <w:noProof/>
                <w:lang w:val="lv-LV"/>
              </w:rPr>
              <w:t>Ierosinātā pasākuma sagaidāmā ietekme galvenokārt ir vērsta uz to, lai saglabātu likumdevēju nodomu ievērot "Euro 6" noteikumus saskaņā ar Regulas (EK) Nr. 2024/1257 14. panta 7. punktu, samazinātu regulatīvo slogu, neradot atbilstības problēmas, un nodrošinātu juridisko noteiktību.</w:t>
            </w:r>
          </w:p>
          <w:p w:rsidRPr="0019110D" w:rsidR="00FB77DE" w:rsidP="00DB5A0B" w:rsidRDefault="00FB77DE" w14:paraId="30BB4E97" w14:textId="5835B757">
            <w:pPr>
              <w:spacing w:after="240"/>
              <w:jc w:val="both"/>
              <w:rPr>
                <w:noProof/>
                <w:lang w:val="lv-LV"/>
              </w:rPr>
            </w:pPr>
            <w:r w:rsidRPr="0019110D">
              <w:rPr>
                <w:noProof/>
                <w:lang w:val="lv-LV"/>
              </w:rPr>
              <w:t xml:space="preserve">Vēl viens ierosinātais pasākums ir atsauce uz "transportlīdzekļu kategorijām", nevis "transportlīdzekļu tipiem" </w:t>
            </w:r>
            <w:r w:rsidR="00F83555">
              <w:rPr>
                <w:noProof/>
                <w:lang w:val="lv-LV"/>
              </w:rPr>
              <w:t>“</w:t>
            </w:r>
            <w:r w:rsidRPr="0019110D">
              <w:rPr>
                <w:noProof/>
                <w:lang w:val="lv-LV"/>
              </w:rPr>
              <w:t>Euro 7</w:t>
            </w:r>
            <w:r w:rsidR="00F83555">
              <w:rPr>
                <w:noProof/>
                <w:lang w:val="lv-LV"/>
              </w:rPr>
              <w:t>”</w:t>
            </w:r>
            <w:r w:rsidRPr="0019110D">
              <w:rPr>
                <w:noProof/>
                <w:lang w:val="lv-LV"/>
              </w:rPr>
              <w:t xml:space="preserve"> motora (atsevišķas tehniskas vienības) tipa apstiprinājumam, t.i., "Nepieciešamie demonstrācijas testi visām degvielām, kurām ir piešķirts </w:t>
            </w:r>
            <w:r w:rsidRPr="0019110D">
              <w:rPr>
                <w:noProof/>
                <w:lang w:val="lv-LV"/>
              </w:rPr>
              <w:lastRenderedPageBreak/>
              <w:t>tipa apstiprinājums katrai transportlīdzekļa tipa kategorijai, un atbilstības deklarācija visām degvielām, visām lietderīgajām kravām un visām piemērojamajām transportlīdzekļu kategorijām attiecīgi 3. tabulā,  Regulas (ES) 2024/1257 V pielikuma 4., 7. un 8. punktu".</w:t>
            </w:r>
          </w:p>
          <w:p w:rsidRPr="0019110D" w:rsidR="00FB77DE" w:rsidP="00DB5A0B" w:rsidRDefault="00FB77DE" w14:paraId="1CC2CB74" w14:textId="77777777">
            <w:pPr>
              <w:spacing w:after="240"/>
              <w:jc w:val="both"/>
              <w:rPr>
                <w:noProof/>
                <w:lang w:val="lv-LV"/>
              </w:rPr>
            </w:pPr>
            <w:r w:rsidRPr="0019110D">
              <w:rPr>
                <w:noProof/>
                <w:lang w:val="lv-LV"/>
              </w:rPr>
              <w:t>Paredzams, ka ierosinātais pasākums būtiski samazinās regulatīvo slogu gan administratīvo, gan testēšanas jomā, neapdraudot vides standartus. Tas ļauj izvairīties no atkārtotas dažādu transportlīdzekļu tipu dzinēju testēšanas, kuros izmanto identiskas tehnoloģijas, un samazina izmaksas, kas saistītas ar vairākiem tipa apstiprinājumiem un testēšanas procesiem. Tas veicina tirgus stabilitāti un potenciāli var samazināt transportlīdzekļu cenas, kas dod labumu operatoriem un patērētājiem.</w:t>
            </w:r>
          </w:p>
          <w:p w:rsidRPr="0019110D" w:rsidR="00FB77DE" w:rsidP="00DB5A0B" w:rsidRDefault="00FB77DE" w14:paraId="7803D763" w14:textId="19D3E355">
            <w:pPr>
              <w:spacing w:after="240"/>
              <w:jc w:val="both"/>
              <w:rPr>
                <w:noProof/>
                <w:lang w:val="lv-LV"/>
              </w:rPr>
            </w:pPr>
            <w:r w:rsidRPr="0019110D">
              <w:rPr>
                <w:noProof/>
                <w:lang w:val="lv-LV"/>
              </w:rPr>
              <w:t>Ar citu ierosināto pasākumu tiks precizēts, ka Komisija ir pilnvarota izstrādāt pasākumus, lai nodrošinātu, ka iebūvētās uzraudzības (</w:t>
            </w:r>
            <w:r w:rsidR="00F83555">
              <w:rPr>
                <w:noProof/>
                <w:lang w:val="lv-LV"/>
              </w:rPr>
              <w:t xml:space="preserve">turpmāk – </w:t>
            </w:r>
            <w:r w:rsidRPr="0019110D">
              <w:rPr>
                <w:noProof/>
                <w:lang w:val="lv-LV"/>
              </w:rPr>
              <w:t>OBM) un iebūvētās degvielas patēriņa uzraudzības (</w:t>
            </w:r>
            <w:r w:rsidR="00F83555">
              <w:rPr>
                <w:noProof/>
                <w:lang w:val="lv-LV"/>
              </w:rPr>
              <w:t xml:space="preserve">turpmāk – </w:t>
            </w:r>
            <w:r w:rsidRPr="0019110D">
              <w:rPr>
                <w:noProof/>
                <w:lang w:val="lv-LV"/>
              </w:rPr>
              <w:t xml:space="preserve">OBFCM) dati tiek saņemti, apkopoti, apstrādāti un efektīvi glabāti saskaņotā veidā, lai uzraudzītu </w:t>
            </w:r>
            <w:r w:rsidR="00F83555">
              <w:rPr>
                <w:noProof/>
                <w:lang w:val="lv-LV"/>
              </w:rPr>
              <w:t>“</w:t>
            </w:r>
            <w:r w:rsidRPr="0019110D">
              <w:rPr>
                <w:noProof/>
                <w:lang w:val="lv-LV"/>
              </w:rPr>
              <w:t>Euro 7</w:t>
            </w:r>
            <w:r w:rsidR="00F83555">
              <w:rPr>
                <w:noProof/>
                <w:lang w:val="lv-LV"/>
              </w:rPr>
              <w:t>”</w:t>
            </w:r>
            <w:r w:rsidRPr="0019110D">
              <w:rPr>
                <w:noProof/>
                <w:lang w:val="lv-LV"/>
              </w:rPr>
              <w:t xml:space="preserve"> transportlīdzekļu tipu veiktspēju reālos apstākļos.</w:t>
            </w:r>
          </w:p>
          <w:p w:rsidRPr="0019110D" w:rsidR="00FB77DE" w:rsidP="00DB5A0B" w:rsidRDefault="00FB77DE" w14:paraId="466ADE49" w14:textId="26B42786">
            <w:pPr>
              <w:spacing w:after="240"/>
              <w:jc w:val="both"/>
              <w:rPr>
                <w:noProof/>
                <w:lang w:val="lv-LV"/>
              </w:rPr>
            </w:pPr>
            <w:r w:rsidRPr="0019110D">
              <w:rPr>
                <w:noProof/>
                <w:lang w:val="lv-LV"/>
              </w:rPr>
              <w:t>Saskaņota E</w:t>
            </w:r>
            <w:r w:rsidR="00F83555">
              <w:rPr>
                <w:noProof/>
                <w:lang w:val="lv-LV"/>
              </w:rPr>
              <w:t xml:space="preserve">iropas </w:t>
            </w:r>
            <w:r w:rsidRPr="0019110D">
              <w:rPr>
                <w:noProof/>
                <w:lang w:val="lv-LV"/>
              </w:rPr>
              <w:t>S</w:t>
            </w:r>
            <w:r w:rsidR="00F83555">
              <w:rPr>
                <w:noProof/>
                <w:lang w:val="lv-LV"/>
              </w:rPr>
              <w:t>avienības (turpmāk – ES)</w:t>
            </w:r>
            <w:r w:rsidRPr="0019110D">
              <w:rPr>
                <w:noProof/>
                <w:lang w:val="lv-LV"/>
              </w:rPr>
              <w:t xml:space="preserve"> līmeņa OBM/OBFCM datu infrastruktūra varētu radīt ievērojamus izmaksu ietaupījumus salīdzinājumā ar to, ka katra dalībvalsts izstrādā un uztur savas sistēmas. Ietaupījumus rada apjomradīti ietaupījumi, samazināta dublēšanās un saskaņoti atbilstības procesi. Tā vietā, lai mijiedarbotos ar vairākām valstu sistēmām, transportlīdzekļu ražotāji varēs vienreiz nosūtīt standartizētus datus, samazinot programmatūras integrācijas un sertifikācijas izmaksas.</w:t>
            </w:r>
          </w:p>
          <w:p w:rsidRPr="0019110D" w:rsidR="00FB77DE" w:rsidP="0019110D" w:rsidRDefault="00FB77DE" w14:paraId="0CDE70F6" w14:textId="67521BD2">
            <w:pPr>
              <w:spacing w:after="240"/>
              <w:jc w:val="both"/>
              <w:rPr>
                <w:i/>
                <w:iCs/>
                <w:noProof/>
                <w:lang w:val="lv-LV"/>
              </w:rPr>
            </w:pPr>
            <w:r w:rsidRPr="0019110D">
              <w:rPr>
                <w:noProof/>
                <w:lang w:val="lv-LV"/>
              </w:rPr>
              <w:t xml:space="preserve">Tā kā </w:t>
            </w:r>
            <w:r w:rsidRPr="0019110D" w:rsidR="00F83555">
              <w:rPr>
                <w:i/>
                <w:iCs/>
                <w:noProof/>
                <w:lang w:val="lv-LV"/>
              </w:rPr>
              <w:t>Eiropas Parlamenta un Padomes Regula (ES) Nr. 540/2014 ( 2014. gada 16. aprīlis ) par mehānisko transportlīdzekļu skaņas līmeni un rezerves trokšņa slāpēšanas sistēmām, un ar ko groza Direktīvu 2007/46/EK un atceļ Direktīvu 70/157/EEK</w:t>
            </w:r>
            <w:r w:rsidRPr="00F83555" w:rsidR="00F83555">
              <w:rPr>
                <w:noProof/>
                <w:lang w:val="lv-LV"/>
              </w:rPr>
              <w:t xml:space="preserve"> </w:t>
            </w:r>
            <w:r w:rsidR="00F83555">
              <w:rPr>
                <w:noProof/>
                <w:lang w:val="lv-LV"/>
              </w:rPr>
              <w:t xml:space="preserve">(turpmāk – </w:t>
            </w:r>
            <w:r w:rsidRPr="0019110D">
              <w:rPr>
                <w:noProof/>
                <w:lang w:val="lv-LV"/>
              </w:rPr>
              <w:t>Regula (EK) Nr. 540/2014</w:t>
            </w:r>
            <w:r w:rsidRPr="006E7871" w:rsidR="00F83555">
              <w:rPr>
                <w:rStyle w:val="FootnoteReference"/>
                <w:noProof/>
                <w:lang w:val="lv-LV"/>
              </w:rPr>
              <w:footnoteReference w:id="5"/>
            </w:r>
            <w:r w:rsidR="00F83555">
              <w:rPr>
                <w:noProof/>
                <w:lang w:val="lv-LV"/>
              </w:rPr>
              <w:t>)</w:t>
            </w:r>
            <w:r w:rsidRPr="0019110D">
              <w:rPr>
                <w:noProof/>
                <w:lang w:val="lv-LV"/>
              </w:rPr>
              <w:t xml:space="preserve">  ir novecojusi, tiek ierosināts regulu atcelt no 2027. gada 1. jūlija. Turklāt saskaņā ar Regulas (ES) Nr. 540/2014 14. pantu </w:t>
            </w:r>
            <w:r w:rsidRPr="0019110D" w:rsidR="00F83555">
              <w:rPr>
                <w:lang w:val="lv-LV"/>
              </w:rPr>
              <w:t xml:space="preserve"> </w:t>
            </w:r>
            <w:r w:rsidRPr="0019110D" w:rsidR="00F83555">
              <w:rPr>
                <w:i/>
                <w:iCs/>
                <w:noProof/>
                <w:lang w:val="lv-LV"/>
              </w:rPr>
              <w:t>Padomes Direktīv</w:t>
            </w:r>
            <w:r w:rsidR="00F83555">
              <w:rPr>
                <w:i/>
                <w:iCs/>
                <w:noProof/>
                <w:lang w:val="lv-LV"/>
              </w:rPr>
              <w:t>u</w:t>
            </w:r>
            <w:r w:rsidRPr="0019110D" w:rsidR="00F83555">
              <w:rPr>
                <w:i/>
                <w:iCs/>
                <w:noProof/>
                <w:lang w:val="lv-LV"/>
              </w:rPr>
              <w:t xml:space="preserve"> </w:t>
            </w:r>
            <w:r w:rsidRPr="006E7871" w:rsidR="00F83555">
              <w:rPr>
                <w:noProof/>
                <w:lang w:val="lv-LV"/>
              </w:rPr>
              <w:t xml:space="preserve">70/157/EEK  </w:t>
            </w:r>
            <w:r w:rsidRPr="0019110D" w:rsidR="00F83555">
              <w:rPr>
                <w:i/>
                <w:iCs/>
                <w:noProof/>
                <w:lang w:val="lv-LV"/>
              </w:rPr>
              <w:t>(1970. gada 6. februāris) par dalībvalstu tiesību aktu tuvināšanu attiecībā uz mehānisko transportlīdzekļu pieļaujamo trokšņu līmeni un izplūdes gāzu sistēmu</w:t>
            </w:r>
            <w:r w:rsidR="00F83555">
              <w:rPr>
                <w:i/>
                <w:iCs/>
                <w:noProof/>
                <w:lang w:val="lv-LV"/>
              </w:rPr>
              <w:t xml:space="preserve"> </w:t>
            </w:r>
            <w:r w:rsidRPr="0019110D">
              <w:rPr>
                <w:noProof/>
                <w:lang w:val="lv-LV"/>
              </w:rPr>
              <w:t xml:space="preserve">atceļ no 2027. gada 1. jūlija. Lai izvairītos no iespējamās juridiskās nenoteiktības, šis priekšlikums apstiprina atcelšanu ar to pašu spēkā stāšanās datumu. </w:t>
            </w:r>
          </w:p>
          <w:p w:rsidRPr="00687700" w:rsidR="00FB77DE" w:rsidP="0019110D" w:rsidRDefault="00FB77DE" w14:paraId="4CA04A0F" w14:textId="1655BAC2">
            <w:pPr>
              <w:spacing w:after="240"/>
              <w:jc w:val="both"/>
              <w:rPr>
                <w:noProof/>
                <w:lang w:val="lv-LV"/>
              </w:rPr>
            </w:pPr>
            <w:r w:rsidRPr="0019110D">
              <w:rPr>
                <w:noProof/>
                <w:lang w:val="lv-LV"/>
              </w:rPr>
              <w:t xml:space="preserve">Lai aizstātu atsauci uz atcelto regulu, tiek ierosināts grozījums </w:t>
            </w:r>
            <w:r w:rsidRPr="0019110D" w:rsidR="00233E98">
              <w:rPr>
                <w:i/>
                <w:iCs/>
                <w:noProof/>
                <w:lang w:val="lv-LV"/>
              </w:rPr>
              <w:t>Eiropas Parlamenta un Padomes Regulā (ES) 2018/858 (2018. gada 30. maijs) par mehānisko transportlīdzekļu un to piekabju, kā arī tādiem transportlīdzekļiem paredzētu sistēmu, sastāvdaļu un atsevišķu tehnisku vienību apstiprināšanu un tirgus uzraudzību un ar ko groza Regulas (EK) Nr. 715/2007 un (EK) Nr. 595/2009 un atceļ Direktīvu 2007/46/EK</w:t>
            </w:r>
            <w:r w:rsidRPr="00233E98" w:rsidR="00233E98">
              <w:rPr>
                <w:noProof/>
                <w:lang w:val="lv-LV"/>
              </w:rPr>
              <w:t xml:space="preserve"> </w:t>
            </w:r>
            <w:r w:rsidR="00233E98">
              <w:rPr>
                <w:noProof/>
                <w:lang w:val="lv-LV"/>
              </w:rPr>
              <w:t xml:space="preserve">(turpmāk - </w:t>
            </w:r>
            <w:r w:rsidRPr="0019110D">
              <w:rPr>
                <w:noProof/>
                <w:lang w:val="lv-LV"/>
              </w:rPr>
              <w:t>Regula (ES)</w:t>
            </w:r>
            <w:r w:rsidR="00F83555">
              <w:rPr>
                <w:noProof/>
                <w:lang w:val="lv-LV"/>
              </w:rPr>
              <w:t xml:space="preserve"> Nr.</w:t>
            </w:r>
            <w:r w:rsidRPr="0019110D">
              <w:rPr>
                <w:noProof/>
                <w:lang w:val="lv-LV"/>
              </w:rPr>
              <w:t xml:space="preserve"> 2018/858</w:t>
            </w:r>
            <w:r w:rsidR="00233E98">
              <w:rPr>
                <w:noProof/>
                <w:lang w:val="lv-LV"/>
              </w:rPr>
              <w:t>)</w:t>
            </w:r>
            <w:r w:rsidRPr="0019110D">
              <w:rPr>
                <w:noProof/>
                <w:lang w:val="lv-LV"/>
              </w:rPr>
              <w:t xml:space="preserve"> II pielikumā,  atsaucoties uz Apvienoto Nāciju Organizācijas </w:t>
            </w:r>
            <w:r w:rsidR="00F83555">
              <w:rPr>
                <w:noProof/>
                <w:lang w:val="lv-LV"/>
              </w:rPr>
              <w:t xml:space="preserve">(turpmāk – ANO) </w:t>
            </w:r>
            <w:r w:rsidRPr="0019110D">
              <w:rPr>
                <w:noProof/>
                <w:lang w:val="lv-LV"/>
              </w:rPr>
              <w:t>Eiropas Ekonomikas komisijas (</w:t>
            </w:r>
            <w:r w:rsidR="00233E98">
              <w:rPr>
                <w:noProof/>
                <w:lang w:val="lv-LV"/>
              </w:rPr>
              <w:t xml:space="preserve">turpmāk – </w:t>
            </w:r>
            <w:r w:rsidRPr="0019110D">
              <w:rPr>
                <w:noProof/>
                <w:lang w:val="lv-LV"/>
              </w:rPr>
              <w:t xml:space="preserve">ANO EEK) noteikumiem, kas saistīti ar troksni: Noteikumi Nr. 51  par M un N kategorijas transportlīdzekļu troksni; Noteikumi Nr. 59  par rezerves trokšņa slāpēšanas sistēmām un Noteikumi Nr. 138  par klusiem autotransporta līdzekļiem jeb </w:t>
            </w:r>
            <w:r w:rsidRPr="00687700">
              <w:rPr>
                <w:noProof/>
                <w:lang w:val="lv-LV"/>
              </w:rPr>
              <w:t xml:space="preserve">AVAS. </w:t>
            </w:r>
          </w:p>
          <w:p w:rsidRPr="00687700" w:rsidR="00FB77DE" w:rsidP="00DB5A0B" w:rsidRDefault="00FB77DE" w14:paraId="3C46003C" w14:textId="77777777">
            <w:pPr>
              <w:spacing w:after="240"/>
              <w:jc w:val="both"/>
              <w:rPr>
                <w:noProof/>
                <w:lang w:val="lv-LV"/>
              </w:rPr>
            </w:pPr>
            <w:r w:rsidRPr="00687700">
              <w:rPr>
                <w:noProof/>
                <w:lang w:val="lv-LV"/>
              </w:rPr>
              <w:t xml:space="preserve">Ierosinātie grozījumi, kas attiecas uz ANO noteikumiem, radītu vienlīdzīgus konkurences apstākļus ES automobiļu ražotājiem, pārdodot savus automobiļus visā pasaulē, neļaujot tiem ievērot divus noteikumu kopumus par troksni. Ierosinātās izmaiņas arī novērstu visas iespējamās nepilnības un radītu vienkāršāku/konsekventāku regulējumu gan autobūves nozarei, gan tipa apstiprinātājiestādēm, gan tirgus uzraudzības iestādēm. Turklāt sabiedrība un vide gūtu labumu no paplašinātās darbības jomas, kas ierobežo troksni, ko rada pretaizdegšanās, skaņas </w:t>
            </w:r>
            <w:r w:rsidRPr="00687700">
              <w:rPr>
                <w:noProof/>
                <w:lang w:val="lv-LV"/>
              </w:rPr>
              <w:lastRenderedPageBreak/>
              <w:t>izpildmehānismi un skaņas uzlabošanas sistēmas. Ir ierosināti pārejas noteikumi, lai nodrošinātu nozares vienmērīgu pāreju uz grozīto tiesisko regulējumu.</w:t>
            </w:r>
          </w:p>
          <w:p w:rsidRPr="00687700" w:rsidR="00FB77DE" w:rsidP="00DB5A0B" w:rsidRDefault="00FB77DE" w14:paraId="2FA9C8C3" w14:textId="73B226DF">
            <w:pPr>
              <w:spacing w:after="240"/>
              <w:jc w:val="both"/>
              <w:rPr>
                <w:noProof/>
                <w:lang w:val="lv-LV"/>
              </w:rPr>
            </w:pPr>
            <w:r w:rsidRPr="00687700">
              <w:rPr>
                <w:b/>
                <w:bCs/>
                <w:noProof/>
                <w:u w:val="single"/>
                <w:lang w:val="lv-LV"/>
              </w:rPr>
              <w:t>Ierosinātais grozījums Regulā (ES)</w:t>
            </w:r>
            <w:r w:rsidR="00233E98">
              <w:rPr>
                <w:b/>
                <w:bCs/>
                <w:noProof/>
                <w:u w:val="single"/>
                <w:lang w:val="lv-LV"/>
              </w:rPr>
              <w:t xml:space="preserve"> Nr.</w:t>
            </w:r>
            <w:r w:rsidRPr="00687700">
              <w:rPr>
                <w:b/>
                <w:bCs/>
                <w:noProof/>
                <w:u w:val="single"/>
                <w:lang w:val="lv-LV"/>
              </w:rPr>
              <w:t xml:space="preserve"> 2018/858</w:t>
            </w:r>
            <w:r w:rsidRPr="00687700" w:rsidR="00EC0CA6">
              <w:rPr>
                <w:rStyle w:val="FootnoteReference"/>
                <w:b/>
                <w:bCs/>
                <w:noProof/>
                <w:u w:val="single"/>
                <w:lang w:val="lv-LV"/>
              </w:rPr>
              <w:footnoteReference w:id="6"/>
            </w:r>
            <w:r w:rsidRPr="00687700">
              <w:rPr>
                <w:b/>
                <w:bCs/>
                <w:noProof/>
                <w:u w:val="single"/>
                <w:lang w:val="lv-LV"/>
              </w:rPr>
              <w:t>:</w:t>
            </w:r>
            <w:r w:rsidRPr="00687700">
              <w:rPr>
                <w:noProof/>
                <w:lang w:val="lv-LV"/>
              </w:rPr>
              <w:t xml:space="preserve"> pirmais ierosinātais pasākums, ar ko groza šo regulu, ir Regulas (ES)</w:t>
            </w:r>
            <w:r w:rsidR="00233E98">
              <w:rPr>
                <w:noProof/>
                <w:lang w:val="lv-LV"/>
              </w:rPr>
              <w:t xml:space="preserve"> Nr.</w:t>
            </w:r>
            <w:r w:rsidRPr="00687700">
              <w:rPr>
                <w:noProof/>
                <w:lang w:val="lv-LV"/>
              </w:rPr>
              <w:t xml:space="preserve"> 2018/858 I pielikuma A daļas 2. punkta iekļaušana jaunā 2.4. punktā, kurā definēta mazo elektrotransportlīdzekļu apakškategorija.</w:t>
            </w:r>
          </w:p>
          <w:p w:rsidRPr="00687700" w:rsidR="00FB77DE" w:rsidP="00DB5A0B" w:rsidRDefault="00FB77DE" w14:paraId="1F87A16E" w14:textId="631F9D64">
            <w:pPr>
              <w:spacing w:after="240"/>
              <w:jc w:val="both"/>
              <w:rPr>
                <w:noProof/>
                <w:lang w:val="lv-LV"/>
              </w:rPr>
            </w:pPr>
            <w:r w:rsidRPr="00687700">
              <w:rPr>
                <w:noProof/>
                <w:lang w:val="lv-LV"/>
              </w:rPr>
              <w:t xml:space="preserve">Ierosinātais grozījums ļaus ES tiesību aktos regulatīvos pasākumus vērst uz šo konkrēto apakškategoriju, lai stimulētu mazo elektrotransportlīdzekļu ražošanu un ieviešanu. Piemēram, lemjot par turpmāko mehānisko transportlīdzekļu regulu piemērošanas datumiem, Komisija ņems vērā proporcionāli lielāku ietekmi uz izstrādes izmaksām, ko jaunās prasības var radīt maziem elektriskajiem transportlīdzekļiem, salīdzinot ar smagākiem un dārgākiem transportlīdzekļiem. Turklāt saistībā ar transportlīdzekļu </w:t>
            </w:r>
            <w:r w:rsidR="00233E98">
              <w:rPr>
                <w:noProof/>
                <w:lang w:val="lv-LV"/>
              </w:rPr>
              <w:t xml:space="preserve">oglekļa dioksīda (turpmāk – </w:t>
            </w:r>
            <w:r w:rsidRPr="00687700">
              <w:rPr>
                <w:noProof/>
                <w:lang w:val="lv-LV"/>
              </w:rPr>
              <w:t>CO</w:t>
            </w:r>
            <w:r w:rsidRPr="00687700">
              <w:rPr>
                <w:noProof/>
                <w:vertAlign w:val="subscript"/>
                <w:lang w:val="lv-LV"/>
              </w:rPr>
              <w:t>2</w:t>
            </w:r>
            <w:r w:rsidR="00233E98">
              <w:rPr>
                <w:noProof/>
                <w:lang w:val="lv-LV"/>
              </w:rPr>
              <w:t xml:space="preserve">) </w:t>
            </w:r>
            <w:r w:rsidRPr="00687700">
              <w:rPr>
                <w:noProof/>
                <w:lang w:val="lv-LV"/>
              </w:rPr>
              <w:t>emisiju standartiem ir ieviests mērķtiecīgs stimulēšanas mehānisms [pievienot atsauci uz CO</w:t>
            </w:r>
            <w:r w:rsidRPr="00687700">
              <w:rPr>
                <w:noProof/>
                <w:vertAlign w:val="subscript"/>
                <w:lang w:val="lv-LV"/>
              </w:rPr>
              <w:t>2</w:t>
            </w:r>
            <w:r w:rsidRPr="00687700">
              <w:rPr>
                <w:noProof/>
                <w:lang w:val="lv-LV"/>
              </w:rPr>
              <w:t xml:space="preserve"> pārskatīšanas priekšlikumu] superkredīta veidā. Tas ļaus transportlīdzekļu ražotājiem gūt labumu no mazo elektrisko transportlīdzekļu ieguldījuma kopējā autoparka CO</w:t>
            </w:r>
            <w:r w:rsidRPr="00687700">
              <w:rPr>
                <w:noProof/>
                <w:vertAlign w:val="subscript"/>
                <w:lang w:val="lv-LV"/>
              </w:rPr>
              <w:t>2</w:t>
            </w:r>
            <w:r w:rsidRPr="00687700">
              <w:rPr>
                <w:noProof/>
                <w:lang w:val="lv-LV"/>
              </w:rPr>
              <w:t xml:space="preserve"> emisiju mērķrādītāja sasniegšanā, kā rezultātā transportlīdzekļu ražotāji būs spēcīgi stimulēti ražot un tirgot lielākus mazo elektrotransportlīdzekļu apjomus. Turklāt, kā paziņots ES autobūves nozares rūpnieciskajā rīcības plānā, Komisijai ir jāizdod Komisijas ieteikums ar stimulu shēmu iespējām, kas attiecīgā gadījumā saskaņā ar valsts atbalsta noteikumiem ir izrādījušās efektīvas bezemisiju transportlīdzekļu ieviešanas veicināšanā. Visi elektriskie transportlīdzekļi, visticamāk, gūs labumu no Komisijas ieteikuma, tostarp mazie elektriskie transportlīdzekļi, kā definēts jaunajā apakškategorijā.  </w:t>
            </w:r>
          </w:p>
          <w:p w:rsidRPr="00687700" w:rsidR="00FB77DE" w:rsidP="00DB5A0B" w:rsidRDefault="00FB77DE" w14:paraId="3148C278" w14:textId="77777777">
            <w:pPr>
              <w:spacing w:after="240"/>
              <w:jc w:val="both"/>
              <w:rPr>
                <w:noProof/>
                <w:lang w:val="lv-LV"/>
              </w:rPr>
            </w:pPr>
            <w:r w:rsidRPr="00687700">
              <w:rPr>
                <w:noProof/>
                <w:lang w:val="lv-LV"/>
              </w:rPr>
              <w:t xml:space="preserve">ES iedzīvotājiem sagaidāmie ieguvumi no šā grozījuma būtu jāuztver kā lielākas priekšrocības, iegādājoties nelielu elektroauto vai piederot tam, bet tas ir atkarīgs no šīs politikas īstenošanas valsts līmenī.   </w:t>
            </w:r>
          </w:p>
          <w:p w:rsidRPr="00687700" w:rsidR="00FB77DE" w:rsidP="00FB77DE" w:rsidRDefault="00FB77DE" w14:paraId="4F593056" w14:textId="77777777">
            <w:pPr>
              <w:jc w:val="both"/>
              <w:rPr>
                <w:noProof/>
                <w:lang w:val="lv-LV"/>
              </w:rPr>
            </w:pPr>
            <w:r w:rsidRPr="00687700">
              <w:rPr>
                <w:noProof/>
                <w:lang w:val="lv-LV"/>
              </w:rPr>
              <w:t xml:space="preserve">Vēl viens ierosinātais grozījums Regulā (ES) 2018/858 paredz ieviest jaunu 4. punktu 5. pantā. </w:t>
            </w:r>
          </w:p>
          <w:p w:rsidR="00FB77DE" w:rsidP="00FB77DE" w:rsidRDefault="00FB77DE" w14:paraId="2BA03CAB" w14:textId="0B66D4F8">
            <w:pPr>
              <w:jc w:val="both"/>
              <w:rPr>
                <w:noProof/>
                <w:lang w:val="lv-LV"/>
              </w:rPr>
            </w:pPr>
            <w:r w:rsidRPr="00687700">
              <w:rPr>
                <w:noProof/>
                <w:lang w:val="lv-LV"/>
              </w:rPr>
              <w:t xml:space="preserve">Ar šo pasākumu Komisija tiek pilnvarota pieņemt deleģētos aktus, kuru mērķis ir noteikt tehniskās prasības </w:t>
            </w:r>
            <w:r w:rsidR="00383BFF">
              <w:rPr>
                <w:noProof/>
                <w:lang w:val="lv-LV"/>
              </w:rPr>
              <w:t>pilnībā</w:t>
            </w:r>
            <w:r w:rsidRPr="00687700" w:rsidR="00383BFF">
              <w:rPr>
                <w:noProof/>
                <w:lang w:val="lv-LV"/>
              </w:rPr>
              <w:t xml:space="preserve"> </w:t>
            </w:r>
            <w:r w:rsidRPr="00687700">
              <w:rPr>
                <w:noProof/>
                <w:lang w:val="lv-LV"/>
              </w:rPr>
              <w:t>elektriskajiem transportlīdzekļiem (PEV) un ārpus transportlīdzekļa uzlādes hibrīdelektriskajiem transportlīdzekļiem (OVC-HEV) attiecībā uz šo transportlīdzekļu sakaru un aparatūras saskarni ar uzlādes infrastruktūru, elektrotīklu un stacionārām elektroenerģijas sistēmām, kas spēj atbalstīt viedas un divvirzienu uzlādes funkcijas.</w:t>
            </w:r>
          </w:p>
          <w:p w:rsidR="00233E98" w:rsidP="00FB77DE" w:rsidRDefault="00233E98" w14:paraId="470F3990" w14:textId="77777777">
            <w:pPr>
              <w:jc w:val="both"/>
              <w:rPr>
                <w:noProof/>
                <w:lang w:val="lv-LV"/>
              </w:rPr>
            </w:pPr>
          </w:p>
          <w:p w:rsidRPr="00687700" w:rsidR="00233E98" w:rsidP="00FB77DE" w:rsidRDefault="00233E98" w14:paraId="468D83D6" w14:textId="7D54F888">
            <w:pPr>
              <w:jc w:val="both"/>
              <w:rPr>
                <w:noProof/>
                <w:lang w:val="lv-LV"/>
              </w:rPr>
            </w:pPr>
            <w:r>
              <w:rPr>
                <w:noProof/>
                <w:lang w:val="lv-LV"/>
              </w:rPr>
              <w:t>Priekšlikums tiks skatīts</w:t>
            </w:r>
            <w:r w:rsidRPr="00687700">
              <w:rPr>
                <w:lang w:val="lv-LV"/>
              </w:rPr>
              <w:t xml:space="preserve"> </w:t>
            </w:r>
            <w:r w:rsidRPr="00233E98">
              <w:rPr>
                <w:noProof/>
                <w:lang w:val="lv-LV"/>
              </w:rPr>
              <w:t>Antici Vienkāršošanas darba grup</w:t>
            </w:r>
            <w:r>
              <w:rPr>
                <w:noProof/>
                <w:lang w:val="lv-LV"/>
              </w:rPr>
              <w:t xml:space="preserve">ā </w:t>
            </w:r>
            <w:r w:rsidRPr="00233E98">
              <w:rPr>
                <w:noProof/>
                <w:lang w:val="lv-LV"/>
              </w:rPr>
              <w:t xml:space="preserve"> </w:t>
            </w:r>
            <w:r>
              <w:rPr>
                <w:noProof/>
                <w:lang w:val="lv-LV"/>
              </w:rPr>
              <w:t>(</w:t>
            </w:r>
            <w:r w:rsidRPr="00233E98">
              <w:rPr>
                <w:noProof/>
                <w:lang w:val="lv-LV"/>
              </w:rPr>
              <w:t>IX Omnibus</w:t>
            </w:r>
            <w:r>
              <w:rPr>
                <w:noProof/>
                <w:lang w:val="lv-LV"/>
              </w:rPr>
              <w:t xml:space="preserve"> – autobūve).</w:t>
            </w:r>
          </w:p>
          <w:p w:rsidRPr="00687700" w:rsidR="003B6B18" w:rsidP="00FB77DE" w:rsidRDefault="003B6B18" w14:paraId="1D9679CD" w14:textId="62D17334">
            <w:pPr>
              <w:jc w:val="both"/>
              <w:rPr>
                <w:noProof/>
                <w:lang w:val="lv-LV"/>
              </w:rPr>
            </w:pPr>
          </w:p>
        </w:tc>
      </w:tr>
      <w:tr w:rsidRPr="00273ABF" w:rsidR="003B6B18" w:rsidTr="5C0120C0" w14:paraId="2283BA20" w14:textId="77777777">
        <w:trPr>
          <w:trHeight w:val="255"/>
        </w:trPr>
        <w:tc>
          <w:tcPr>
            <w:tcW w:w="9298" w:type="dxa"/>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DB5A0B" w:rsidR="003B6B18" w:rsidP="00EF4DE0" w:rsidRDefault="003B6B18" w14:paraId="0A4F6288" w14:textId="77777777">
            <w:pPr>
              <w:snapToGrid w:val="false"/>
              <w:jc w:val="both"/>
              <w:rPr>
                <w:color w:val="BF4E14" w:themeColor="accent2" w:themeShade="BF"/>
                <w:highlight w:val="yellow"/>
                <w:lang w:val="lv-LV"/>
              </w:rPr>
            </w:pPr>
            <w:r w:rsidRPr="00DB5A0B">
              <w:rPr>
                <w:b/>
                <w:lang w:val="lv-LV"/>
              </w:rPr>
              <w:lastRenderedPageBreak/>
              <w:t>Balsošanas kārtība. ES tiesību akta izdošanas/jautājuma izskatīšanas juridiskais pamatojums.</w:t>
            </w:r>
          </w:p>
        </w:tc>
      </w:tr>
      <w:tr w:rsidRPr="00273ABF" w:rsidR="003B6B18" w:rsidTr="5C0120C0" w14:paraId="2935C1EC" w14:textId="77777777">
        <w:trPr>
          <w:trHeight w:val="255"/>
        </w:trPr>
        <w:tc>
          <w:tcPr>
            <w:tcW w:w="9298" w:type="dxa"/>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DB5A0B" w:rsidR="003B6B18" w:rsidP="00EF4DE0" w:rsidRDefault="00300042" w14:paraId="32881260" w14:textId="7383DD8B">
            <w:pPr>
              <w:snapToGrid w:val="false"/>
              <w:jc w:val="both"/>
              <w:rPr>
                <w:color w:val="BF4E14" w:themeColor="accent2" w:themeShade="BF"/>
                <w:highlight w:val="yellow"/>
                <w:lang w:val="lv-LV"/>
              </w:rPr>
            </w:pPr>
            <w:r w:rsidRPr="00DB5A0B">
              <w:rPr>
                <w:rFonts w:eastAsiaTheme="minorHAnsi"/>
                <w:color w:val="000000"/>
                <w:lang w:val="lv-LV" w:eastAsia="en-US"/>
              </w:rPr>
              <w:t xml:space="preserve">Līguma par Eiropas Savienības darbību 91. un 114. pants. </w:t>
            </w:r>
            <w:r w:rsidRPr="00DB5A0B" w:rsidR="003B6B18">
              <w:rPr>
                <w:rFonts w:eastAsiaTheme="minorHAnsi"/>
                <w:color w:val="000000"/>
                <w:lang w:val="lv-LV" w:eastAsia="en-US"/>
              </w:rPr>
              <w:t>Balsošanas kārtība – kvalificēts balsu vairākums.</w:t>
            </w:r>
          </w:p>
        </w:tc>
      </w:tr>
      <w:tr w:rsidRPr="00DB5A0B" w:rsidR="003B6B18" w:rsidTr="5C0120C0" w14:paraId="28B1348F" w14:textId="77777777">
        <w:tc>
          <w:tcPr>
            <w:tcW w:w="9298" w:type="dxa"/>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DB5A0B" w:rsidR="003B6B18" w:rsidP="00EF4DE0" w:rsidRDefault="003B6B18" w14:paraId="0E5D346F" w14:textId="77777777">
            <w:pPr>
              <w:snapToGrid w:val="false"/>
              <w:jc w:val="center"/>
              <w:rPr>
                <w:b/>
                <w:color w:val="BF4E14" w:themeColor="accent2" w:themeShade="BF"/>
                <w:lang w:val="lv-LV"/>
              </w:rPr>
            </w:pPr>
            <w:r w:rsidRPr="00DB5A0B">
              <w:rPr>
                <w:b/>
                <w:lang w:val="lv-LV"/>
              </w:rPr>
              <w:t>2. Situācija Latvijā</w:t>
            </w:r>
          </w:p>
        </w:tc>
      </w:tr>
      <w:tr w:rsidRPr="00273ABF" w:rsidR="003B6B18" w:rsidTr="5C0120C0" w14:paraId="536F90B4" w14:textId="77777777">
        <w:trPr>
          <w:trHeight w:val="890"/>
        </w:trPr>
        <w:tc>
          <w:tcPr>
            <w:tcW w:w="9298" w:type="dxa"/>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DB5A0B" w:rsidR="003B6B18" w:rsidP="00EF4DE0" w:rsidRDefault="00FB77DE" w14:paraId="6AAEA8F0" w14:textId="4F6D0FB2">
            <w:pPr>
              <w:suppressAutoHyphens w:val="false"/>
              <w:spacing w:after="240"/>
              <w:jc w:val="both"/>
              <w:rPr>
                <w:lang w:val="lv-LV"/>
              </w:rPr>
            </w:pPr>
            <w:r w:rsidRPr="00DB5A0B">
              <w:rPr>
                <w:lang w:val="lv-LV"/>
              </w:rPr>
              <w:t xml:space="preserve">Latvijā </w:t>
            </w:r>
            <w:proofErr w:type="spellStart"/>
            <w:r w:rsidRPr="00DB5A0B">
              <w:rPr>
                <w:lang w:val="lv-LV"/>
              </w:rPr>
              <w:t>tahogrāfu</w:t>
            </w:r>
            <w:proofErr w:type="spellEnd"/>
            <w:r w:rsidRPr="00DB5A0B">
              <w:rPr>
                <w:lang w:val="lv-LV"/>
              </w:rPr>
              <w:t xml:space="preserve"> lietošanu regulē Regula (EK) Nr. 561/2006, kas ir tieši piemērojama, un līdz ar to </w:t>
            </w:r>
            <w:proofErr w:type="spellStart"/>
            <w:r w:rsidRPr="00DB5A0B">
              <w:rPr>
                <w:lang w:val="lv-LV"/>
              </w:rPr>
              <w:t>tahogrāfa</w:t>
            </w:r>
            <w:proofErr w:type="spellEnd"/>
            <w:r w:rsidRPr="00DB5A0B">
              <w:rPr>
                <w:lang w:val="lv-LV"/>
              </w:rPr>
              <w:t xml:space="preserve"> izmantošana ir obligāta visiem transportlīdzekļiem, kuru pilnā masa pārsniedz 3,5 tonnas, ja tie veic pārvadājumus, uz kuriem attiecas minētā regula. Latvijā šī prasība tiek piemērota pilnā apjomā, un valsts normatīvie akti, tostarp Ministru kabineta 2007.gada 3.jūlija  noteikumi Nr. 474  “ Transportlīdzekļu apkalpes locekļu darba laika organizēšanas, ievērošanas </w:t>
            </w:r>
            <w:r w:rsidRPr="00DB5A0B">
              <w:rPr>
                <w:lang w:val="lv-LV"/>
              </w:rPr>
              <w:lastRenderedPageBreak/>
              <w:t xml:space="preserve">un uzskaites noteikumi nosaka darba un atpūtas laika ievērošanas, uzskaites un kontroles kārtību” atbilst Regulas </w:t>
            </w:r>
            <w:r w:rsidR="00DB5A0B">
              <w:rPr>
                <w:lang w:val="lv-LV"/>
              </w:rPr>
              <w:t xml:space="preserve">(EK) Nr. </w:t>
            </w:r>
            <w:r w:rsidRPr="00DB5A0B">
              <w:rPr>
                <w:lang w:val="lv-LV"/>
              </w:rPr>
              <w:t>561/2006 prasībām.</w:t>
            </w:r>
          </w:p>
          <w:p w:rsidRPr="00DB5A0B" w:rsidR="00FB77DE" w:rsidP="00EF4DE0" w:rsidRDefault="00FB77DE" w14:paraId="1E96FC71" w14:textId="77777777">
            <w:pPr>
              <w:suppressAutoHyphens w:val="false"/>
              <w:spacing w:after="240"/>
              <w:jc w:val="both"/>
              <w:rPr>
                <w:lang w:val="lv-LV"/>
              </w:rPr>
            </w:pPr>
            <w:r w:rsidRPr="00DB5A0B">
              <w:rPr>
                <w:lang w:val="lv-LV"/>
              </w:rPr>
              <w:t xml:space="preserve">No 2026. gada 1. jūlija autovadītājiem, kas veic starptautiskos vai kabotāžas pārvadājumus ar transportlīdzekļiem, kuru maksimālā pieļaujamā masa, ieskaitot piekabi vai puspiekabi, pārsniedz 2,5 tonnas, ir jāreģistrē darba un atpūtas laikposmi, izmantojot </w:t>
            </w:r>
            <w:proofErr w:type="spellStart"/>
            <w:r w:rsidRPr="00DB5A0B">
              <w:rPr>
                <w:lang w:val="lv-LV"/>
              </w:rPr>
              <w:t>tahogrāfu</w:t>
            </w:r>
            <w:proofErr w:type="spellEnd"/>
            <w:r w:rsidRPr="00DB5A0B">
              <w:rPr>
                <w:lang w:val="lv-LV"/>
              </w:rPr>
              <w:t>.</w:t>
            </w:r>
          </w:p>
          <w:p w:rsidRPr="00DB5A0B" w:rsidR="00E5736B" w:rsidP="00EF4DE0" w:rsidRDefault="00E5736B" w14:paraId="5F4CF80F" w14:textId="47D96B5C">
            <w:pPr>
              <w:suppressAutoHyphens w:val="false"/>
              <w:spacing w:after="240"/>
              <w:jc w:val="both"/>
              <w:rPr>
                <w:lang w:val="lv-LV"/>
              </w:rPr>
            </w:pPr>
            <w:r w:rsidRPr="00DB5A0B">
              <w:rPr>
                <w:lang w:val="lv-LV"/>
              </w:rPr>
              <w:t xml:space="preserve">Latvijā digitālo </w:t>
            </w:r>
            <w:proofErr w:type="spellStart"/>
            <w:r w:rsidRPr="00DB5A0B">
              <w:rPr>
                <w:lang w:val="lv-LV"/>
              </w:rPr>
              <w:t>tahogrāfa</w:t>
            </w:r>
            <w:proofErr w:type="spellEnd"/>
            <w:r w:rsidRPr="00DB5A0B">
              <w:rPr>
                <w:lang w:val="lv-LV"/>
              </w:rPr>
              <w:t xml:space="preserve"> karšu izsniegšanu, anulēšanu un uzraudzību nodrošina VSIA “Autotransporta direkcija”, pamatojoties uz Ministru kabineta  2005.</w:t>
            </w:r>
            <w:r w:rsidR="00233E98">
              <w:rPr>
                <w:lang w:val="lv-LV"/>
              </w:rPr>
              <w:t xml:space="preserve"> </w:t>
            </w:r>
            <w:r w:rsidRPr="00DB5A0B">
              <w:rPr>
                <w:lang w:val="lv-LV"/>
              </w:rPr>
              <w:t>gada 1.</w:t>
            </w:r>
            <w:r w:rsidR="00233E98">
              <w:rPr>
                <w:lang w:val="lv-LV"/>
              </w:rPr>
              <w:t xml:space="preserve"> </w:t>
            </w:r>
            <w:r w:rsidRPr="00DB5A0B">
              <w:rPr>
                <w:lang w:val="lv-LV"/>
              </w:rPr>
              <w:t>novembra noteikumiem Nr. 836 “Noteikumi par transportlīdzekļa vadītāja darba un atpūtas laika uzskaites digitālās kontrolierīces (</w:t>
            </w:r>
            <w:proofErr w:type="spellStart"/>
            <w:r w:rsidRPr="00DB5A0B">
              <w:rPr>
                <w:lang w:val="lv-LV"/>
              </w:rPr>
              <w:t>tahogrāfa</w:t>
            </w:r>
            <w:proofErr w:type="spellEnd"/>
            <w:r w:rsidRPr="00DB5A0B">
              <w:rPr>
                <w:lang w:val="lv-LV"/>
              </w:rPr>
              <w:t>) karšu izsniegšanu, anulēšanu un apturēšanu uz laiku”. Šie noteikumi nosaka kārtību, kā tiek izsniegtas gan vadītāju, gan uzņēmumu, gan darbnīcu un kontroles dienestu kartes un kā tiek administrēti ar tām saistītie procesi.</w:t>
            </w:r>
          </w:p>
          <w:p w:rsidRPr="00DB5A0B" w:rsidR="00E5736B" w:rsidP="00EF4DE0" w:rsidRDefault="00E5736B" w14:paraId="04CD4F80" w14:textId="70BEA98C">
            <w:pPr>
              <w:suppressAutoHyphens w:val="false"/>
              <w:spacing w:after="240"/>
              <w:jc w:val="both"/>
              <w:rPr>
                <w:lang w:val="lv-LV"/>
              </w:rPr>
            </w:pPr>
            <w:r w:rsidRPr="00DB5A0B">
              <w:rPr>
                <w:lang w:val="lv-LV"/>
              </w:rPr>
              <w:t xml:space="preserve">Trokšņa un tehnisko prasību kontrole Latvijā notiek, balstoties uz spēkā esošajiem </w:t>
            </w:r>
            <w:r w:rsidR="00233E98">
              <w:rPr>
                <w:lang w:val="lv-LV"/>
              </w:rPr>
              <w:t xml:space="preserve">ES </w:t>
            </w:r>
            <w:r w:rsidRPr="00DB5A0B">
              <w:rPr>
                <w:lang w:val="lv-LV"/>
              </w:rPr>
              <w:t xml:space="preserve">normatīvajiem aktiem, un tehniskā apskate tiek organizēta atbilstoši Ministru kabineta  2017. gada 30. maija noteikumiem Nr. 295 “ Noteikumi par transportlīdzekļu valsts tehnisko apskati un tehnisko kontroli uz ceļa”. Latvijā tiek piemērota pašreizējā tipa apstiprināšanas sistēma, un ANO EEK trokšņa noteikumi šobrīd nav vienīgais pamats, jo Regula (ES) Nr. 540/2014 </w:t>
            </w:r>
            <w:r w:rsidRPr="00DB5A0B">
              <w:rPr>
                <w:rStyle w:val="FootnoteReference"/>
                <w:lang w:val="lv-LV"/>
              </w:rPr>
              <w:footnoteReference w:id="7"/>
            </w:r>
            <w:r w:rsidRPr="00DB5A0B">
              <w:rPr>
                <w:lang w:val="lv-LV"/>
              </w:rPr>
              <w:t>joprojām ir spēkā.</w:t>
            </w:r>
          </w:p>
        </w:tc>
      </w:tr>
      <w:tr w:rsidRPr="00DB5A0B" w:rsidR="003B6B18" w:rsidTr="5C0120C0" w14:paraId="34458365" w14:textId="77777777">
        <w:tc>
          <w:tcPr>
            <w:tcW w:w="9298" w:type="dxa"/>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DB5A0B" w:rsidR="003B6B18" w:rsidP="00EF4DE0" w:rsidRDefault="003B6B18" w14:paraId="7A0F33DC" w14:textId="77777777">
            <w:pPr>
              <w:snapToGrid w:val="false"/>
              <w:rPr>
                <w:b/>
                <w:lang w:val="lv-LV"/>
              </w:rPr>
            </w:pPr>
            <w:r w:rsidRPr="00DB5A0B">
              <w:rPr>
                <w:b/>
                <w:lang w:val="lv-LV"/>
              </w:rPr>
              <w:lastRenderedPageBreak/>
              <w:t>Ietekme uz budžetu</w:t>
            </w:r>
          </w:p>
        </w:tc>
      </w:tr>
      <w:tr w:rsidRPr="00DB5A0B" w:rsidR="003B6B18" w:rsidTr="5C0120C0" w14:paraId="35CD90C4" w14:textId="77777777">
        <w:tc>
          <w:tcPr>
            <w:tcW w:w="9298" w:type="dxa"/>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DB5A0B" w:rsidR="003B6B18" w:rsidP="00EF4DE0" w:rsidRDefault="00DB5A0B" w14:paraId="69CE98EC" w14:textId="42CCAB82">
            <w:pPr>
              <w:spacing w:after="60"/>
              <w:jc w:val="both"/>
              <w:rPr>
                <w:lang w:val="lv-LV"/>
              </w:rPr>
            </w:pPr>
            <w:r w:rsidRPr="00DB5A0B">
              <w:rPr>
                <w:lang w:val="lv-LV"/>
              </w:rPr>
              <w:t>I</w:t>
            </w:r>
            <w:r w:rsidRPr="00DB5A0B" w:rsidR="003B6B18">
              <w:rPr>
                <w:lang w:val="lv-LV"/>
              </w:rPr>
              <w:t xml:space="preserve">etekme uz budžetu nav identificēta. </w:t>
            </w:r>
          </w:p>
        </w:tc>
      </w:tr>
      <w:tr w:rsidRPr="00DB5A0B" w:rsidR="003B6B18" w:rsidTr="5C0120C0" w14:paraId="3106EBDB" w14:textId="77777777">
        <w:tc>
          <w:tcPr>
            <w:tcW w:w="9298" w:type="dxa"/>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DB5A0B" w:rsidR="003B6B18" w:rsidP="00EF4DE0" w:rsidRDefault="003B6B18" w14:paraId="2A3792C9" w14:textId="77777777">
            <w:pPr>
              <w:snapToGrid w:val="false"/>
              <w:jc w:val="center"/>
              <w:rPr>
                <w:b/>
                <w:lang w:val="lv-LV"/>
              </w:rPr>
            </w:pPr>
            <w:r w:rsidRPr="00DB5A0B">
              <w:rPr>
                <w:b/>
                <w:lang w:val="lv-LV"/>
              </w:rPr>
              <w:t>3. Latvijas pozīcija</w:t>
            </w:r>
          </w:p>
        </w:tc>
      </w:tr>
      <w:tr w:rsidRPr="00273ABF" w:rsidR="003B6B18" w:rsidTr="5C0120C0" w14:paraId="7C5BFBCB" w14:textId="77777777">
        <w:trPr>
          <w:trHeight w:val="397"/>
        </w:trPr>
        <w:tc>
          <w:tcPr>
            <w:tcW w:w="9298" w:type="dxa"/>
            <w:gridSpan w:val="3"/>
            <w:tcBorders>
              <w:top w:val="single" w:color="000000" w:themeColor="text1" w:sz="4" w:space="0"/>
              <w:left w:val="single" w:color="000000" w:themeColor="text1" w:sz="4" w:space="0"/>
              <w:bottom w:val="single" w:color="auto" w:sz="4" w:space="0"/>
              <w:right w:val="single" w:color="000000" w:themeColor="text1" w:sz="4" w:space="0"/>
            </w:tcBorders>
          </w:tcPr>
          <w:p w:rsidRPr="00DB5A0B" w:rsidR="00D5424B" w:rsidP="00EF4DE0" w:rsidRDefault="003B6B18" w14:paraId="59304854" w14:textId="1B68DD78">
            <w:pPr>
              <w:suppressAutoHyphens w:val="false"/>
              <w:spacing w:after="240"/>
              <w:jc w:val="both"/>
              <w:rPr>
                <w:lang w:val="lv-LV"/>
              </w:rPr>
            </w:pPr>
            <w:r w:rsidRPr="00DB5A0B">
              <w:rPr>
                <w:b/>
                <w:bCs/>
                <w:lang w:val="lv-LV"/>
              </w:rPr>
              <w:t xml:space="preserve">Latvija kopumā atbalsta </w:t>
            </w:r>
            <w:r w:rsidRPr="00DB5A0B">
              <w:rPr>
                <w:lang w:val="lv-LV"/>
              </w:rPr>
              <w:t>Regulas projekta mērķ</w:t>
            </w:r>
            <w:r w:rsidRPr="00DB5A0B" w:rsidR="00360936">
              <w:rPr>
                <w:lang w:val="lv-LV"/>
              </w:rPr>
              <w:t>us</w:t>
            </w:r>
            <w:r w:rsidRPr="00DB5A0B">
              <w:rPr>
                <w:lang w:val="lv-LV"/>
              </w:rPr>
              <w:t>,</w:t>
            </w:r>
            <w:r w:rsidRPr="00DB5A0B" w:rsidR="00D5424B">
              <w:rPr>
                <w:lang w:val="lv-LV"/>
              </w:rPr>
              <w:t xml:space="preserve"> kas</w:t>
            </w:r>
            <w:r w:rsidRPr="00DB5A0B" w:rsidR="00360936">
              <w:rPr>
                <w:lang w:val="lv-LV"/>
              </w:rPr>
              <w:t xml:space="preserve"> </w:t>
            </w:r>
            <w:r w:rsidR="00BE5C47">
              <w:rPr>
                <w:lang w:val="lv-LV"/>
              </w:rPr>
              <w:t>tajā skaitā paredz novērst regulatīvos šķēršļus</w:t>
            </w:r>
            <w:r w:rsidRPr="00DB5A0B" w:rsidR="00D5424B">
              <w:rPr>
                <w:lang w:val="lv-LV"/>
              </w:rPr>
              <w:t xml:space="preserve"> vieglo elektrisko kravas automobiļu ieviešan</w:t>
            </w:r>
            <w:r w:rsidR="00BE5C47">
              <w:rPr>
                <w:lang w:val="lv-LV"/>
              </w:rPr>
              <w:t>ā</w:t>
            </w:r>
            <w:r w:rsidRPr="00DB5A0B" w:rsidR="00EC0CA6">
              <w:rPr>
                <w:lang w:val="lv-LV"/>
              </w:rPr>
              <w:t xml:space="preserve"> un </w:t>
            </w:r>
            <w:r w:rsidRPr="00DB5A0B" w:rsidR="00360936">
              <w:rPr>
                <w:lang w:val="lv-LV"/>
              </w:rPr>
              <w:t>mazo elektrisko transportlīdzekļu ieviešanas veicināšan</w:t>
            </w:r>
            <w:r w:rsidR="00BE5C47">
              <w:rPr>
                <w:lang w:val="lv-LV"/>
              </w:rPr>
              <w:t>ā</w:t>
            </w:r>
            <w:r w:rsidRPr="00DB5A0B" w:rsidR="00360936">
              <w:rPr>
                <w:lang w:val="lv-LV"/>
              </w:rPr>
              <w:t xml:space="preserve"> par pieņemamu cenu.</w:t>
            </w:r>
          </w:p>
          <w:p w:rsidRPr="00DB5A0B" w:rsidR="003B6B18" w:rsidP="00EF4DE0" w:rsidRDefault="00360936" w14:paraId="31253B2D" w14:textId="312AD49C">
            <w:pPr>
              <w:suppressAutoHyphens w:val="false"/>
              <w:spacing w:after="240"/>
              <w:jc w:val="both"/>
              <w:rPr>
                <w:lang w:val="lv-LV"/>
              </w:rPr>
            </w:pPr>
            <w:r w:rsidRPr="00DB5A0B">
              <w:rPr>
                <w:lang w:val="lv-LV"/>
              </w:rPr>
              <w:t>Latvijas ieskatā p</w:t>
            </w:r>
            <w:r w:rsidRPr="00DB5A0B" w:rsidR="00D5424B">
              <w:rPr>
                <w:lang w:val="lv-LV"/>
              </w:rPr>
              <w:t xml:space="preserve">riekšlikums kopumā samazina administratīvo slogu, palielina tehnoloģisko elastību un veicina </w:t>
            </w:r>
            <w:proofErr w:type="spellStart"/>
            <w:r w:rsidRPr="00DB5A0B" w:rsidR="00D5424B">
              <w:rPr>
                <w:lang w:val="lv-LV"/>
              </w:rPr>
              <w:t>elektrotransportlīdzekļu</w:t>
            </w:r>
            <w:proofErr w:type="spellEnd"/>
            <w:r w:rsidRPr="00DB5A0B" w:rsidR="00D5424B">
              <w:rPr>
                <w:lang w:val="lv-LV"/>
              </w:rPr>
              <w:t xml:space="preserve"> izplatību. </w:t>
            </w:r>
          </w:p>
        </w:tc>
      </w:tr>
      <w:tr w:rsidRPr="00DB5A0B" w:rsidR="003B6B18" w:rsidTr="5C0120C0" w14:paraId="3E65C255" w14:textId="77777777">
        <w:trPr>
          <w:trHeight w:val="435"/>
        </w:trPr>
        <w:tc>
          <w:tcPr>
            <w:tcW w:w="9298" w:type="dxa"/>
            <w:gridSpan w:val="3"/>
            <w:tcBorders>
              <w:top w:val="single" w:color="auto" w:sz="4" w:space="0"/>
              <w:left w:val="single" w:color="000000" w:themeColor="text1" w:sz="4" w:space="0"/>
              <w:bottom w:val="single" w:color="000000" w:themeColor="text1" w:sz="4" w:space="0"/>
              <w:right w:val="single" w:color="000000" w:themeColor="text1" w:sz="4" w:space="0"/>
            </w:tcBorders>
          </w:tcPr>
          <w:p w:rsidRPr="00DB5A0B" w:rsidR="003B6B18" w:rsidP="00EF4DE0" w:rsidRDefault="003B6B18" w14:paraId="6FD7A1C4" w14:textId="77777777">
            <w:pPr>
              <w:jc w:val="both"/>
              <w:rPr>
                <w:b/>
                <w:lang w:val="lv-LV"/>
              </w:rPr>
            </w:pPr>
            <w:r w:rsidRPr="00DB5A0B">
              <w:rPr>
                <w:b/>
                <w:lang w:val="lv-LV"/>
              </w:rPr>
              <w:t>Īpašas Latvijas Republikas intereses</w:t>
            </w:r>
          </w:p>
        </w:tc>
      </w:tr>
      <w:tr w:rsidRPr="00DB5A0B" w:rsidR="003B6B18" w:rsidTr="5C0120C0" w14:paraId="196A5074" w14:textId="77777777">
        <w:trPr>
          <w:trHeight w:val="435"/>
        </w:trPr>
        <w:tc>
          <w:tcPr>
            <w:tcW w:w="9298" w:type="dxa"/>
            <w:gridSpan w:val="3"/>
            <w:tcBorders>
              <w:top w:val="single" w:color="auto" w:sz="4" w:space="0"/>
              <w:left w:val="single" w:color="000000" w:themeColor="text1" w:sz="4" w:space="0"/>
              <w:bottom w:val="single" w:color="000000" w:themeColor="text1" w:sz="4" w:space="0"/>
              <w:right w:val="single" w:color="000000" w:themeColor="text1" w:sz="4" w:space="0"/>
            </w:tcBorders>
          </w:tcPr>
          <w:p w:rsidRPr="00DB5A0B" w:rsidR="003B6B18" w:rsidP="00EF4DE0" w:rsidRDefault="003B6B18" w14:paraId="60DD0088" w14:textId="77777777">
            <w:pPr>
              <w:ind w:right="-2"/>
              <w:jc w:val="both"/>
              <w:rPr>
                <w:color w:val="BF4E14" w:themeColor="accent2" w:themeShade="BF"/>
                <w:lang w:val="lv-LV" w:eastAsia="lv-LV"/>
              </w:rPr>
            </w:pPr>
            <w:r w:rsidRPr="00DB5A0B">
              <w:rPr>
                <w:lang w:val="lv-LV" w:eastAsia="lv-LV"/>
              </w:rPr>
              <w:t>Šajā stadijā nav identificētas.</w:t>
            </w:r>
          </w:p>
        </w:tc>
      </w:tr>
      <w:tr w:rsidRPr="00DB5A0B" w:rsidR="003B6B18" w:rsidTr="5C0120C0" w14:paraId="0ED2A366" w14:textId="77777777">
        <w:trPr>
          <w:trHeight w:val="230"/>
        </w:trPr>
        <w:tc>
          <w:tcPr>
            <w:tcW w:w="9298" w:type="dxa"/>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DB5A0B" w:rsidR="003B6B18" w:rsidP="00EF4DE0" w:rsidRDefault="003B6B18" w14:paraId="1E9D2CF6" w14:textId="77777777">
            <w:pPr>
              <w:suppressAutoHyphens w:val="false"/>
              <w:jc w:val="center"/>
              <w:rPr>
                <w:b/>
                <w:lang w:val="lv-LV"/>
              </w:rPr>
            </w:pPr>
            <w:r w:rsidRPr="00DB5A0B">
              <w:rPr>
                <w:b/>
                <w:lang w:val="lv-LV"/>
              </w:rPr>
              <w:t>4. Citu ES dalībvalstu viedokļi</w:t>
            </w:r>
          </w:p>
        </w:tc>
      </w:tr>
      <w:tr w:rsidRPr="00DB5A0B" w:rsidR="003B6B18" w:rsidTr="5C0120C0" w14:paraId="61131B8E" w14:textId="77777777">
        <w:trPr>
          <w:trHeight w:val="341"/>
        </w:trPr>
        <w:tc>
          <w:tcPr>
            <w:tcW w:w="9298" w:type="dxa"/>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DB5A0B" w:rsidR="003B6B18" w:rsidP="00EF4DE0" w:rsidRDefault="00056DE1" w14:paraId="41D34537" w14:textId="373CCFA6">
            <w:pPr>
              <w:snapToGrid w:val="false"/>
              <w:jc w:val="both"/>
              <w:rPr>
                <w:lang w:val="lv-LV"/>
              </w:rPr>
            </w:pPr>
            <w:r w:rsidRPr="00DB5A0B">
              <w:rPr>
                <w:lang w:val="lv-LV"/>
              </w:rPr>
              <w:t>Šajā stadijā nav zināmi.</w:t>
            </w:r>
          </w:p>
        </w:tc>
      </w:tr>
      <w:tr w:rsidRPr="00DB5A0B" w:rsidR="003B6B18" w:rsidTr="5C0120C0" w14:paraId="03016D1D" w14:textId="77777777">
        <w:trPr>
          <w:trHeight w:val="341"/>
        </w:trPr>
        <w:tc>
          <w:tcPr>
            <w:tcW w:w="9298" w:type="dxa"/>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DB5A0B" w:rsidR="003B6B18" w:rsidP="00EF4DE0" w:rsidRDefault="003B6B18" w14:paraId="351508DA" w14:textId="77777777">
            <w:pPr>
              <w:suppressAutoHyphens w:val="false"/>
              <w:jc w:val="center"/>
              <w:rPr>
                <w:b/>
                <w:lang w:val="lv-LV"/>
              </w:rPr>
            </w:pPr>
            <w:r w:rsidRPr="00DB5A0B">
              <w:rPr>
                <w:b/>
                <w:lang w:val="lv-LV"/>
              </w:rPr>
              <w:t>5. ES institūciju viedokļi</w:t>
            </w:r>
          </w:p>
        </w:tc>
      </w:tr>
      <w:tr w:rsidRPr="00DB5A0B" w:rsidR="003B6B18" w:rsidTr="5C0120C0" w14:paraId="347037D6" w14:textId="77777777">
        <w:trPr>
          <w:trHeight w:val="70"/>
        </w:trPr>
        <w:tc>
          <w:tcPr>
            <w:tcW w:w="9298" w:type="dxa"/>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DB5A0B" w:rsidR="003B6B18" w:rsidP="00EF4DE0" w:rsidRDefault="003B6B18" w14:paraId="68C3A3CF" w14:textId="77777777">
            <w:pPr>
              <w:suppressAutoHyphens w:val="false"/>
              <w:jc w:val="both"/>
              <w:rPr>
                <w:lang w:val="lv-LV" w:eastAsia="lv-LV"/>
              </w:rPr>
            </w:pPr>
            <w:r w:rsidRPr="00DB5A0B">
              <w:rPr>
                <w:lang w:val="lv-LV" w:eastAsia="lv-LV"/>
              </w:rPr>
              <w:t>Priekšlikumu ir izstrādājusi Eiropas Komisija.</w:t>
            </w:r>
          </w:p>
        </w:tc>
      </w:tr>
      <w:tr w:rsidRPr="00DB5A0B" w:rsidR="003B6B18" w:rsidTr="5C0120C0" w14:paraId="2F1041B6" w14:textId="77777777">
        <w:trPr>
          <w:trHeight w:val="70"/>
        </w:trPr>
        <w:tc>
          <w:tcPr>
            <w:tcW w:w="9298" w:type="dxa"/>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DB5A0B" w:rsidR="003B6B18" w:rsidP="00EF4DE0" w:rsidRDefault="003B6B18" w14:paraId="501ACBFB" w14:textId="77777777">
            <w:pPr>
              <w:snapToGrid w:val="false"/>
              <w:jc w:val="center"/>
              <w:rPr>
                <w:b/>
                <w:lang w:val="lv-LV"/>
              </w:rPr>
            </w:pPr>
            <w:r w:rsidRPr="00DB5A0B">
              <w:rPr>
                <w:b/>
                <w:lang w:val="lv-LV"/>
              </w:rPr>
              <w:t xml:space="preserve">6. Saskaņošana </w:t>
            </w:r>
          </w:p>
        </w:tc>
      </w:tr>
      <w:tr w:rsidRPr="00DB5A0B" w:rsidR="003B6B18" w:rsidTr="5C0120C0" w14:paraId="60D3EC87" w14:textId="77777777">
        <w:trPr>
          <w:trHeight w:val="189"/>
        </w:trPr>
        <w:tc>
          <w:tcPr>
            <w:tcW w:w="9298" w:type="dxa"/>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DB5A0B" w:rsidR="003B6B18" w:rsidP="00EF4DE0" w:rsidRDefault="003B6B18" w14:paraId="1DB5C1AE" w14:textId="3AAA1A45">
            <w:pPr>
              <w:snapToGrid w:val="false"/>
              <w:jc w:val="both"/>
              <w:rPr>
                <w:color w:val="45B0E1" w:themeColor="accent1" w:themeTint="99"/>
                <w:lang w:val="lv-LV"/>
              </w:rPr>
            </w:pPr>
            <w:r w:rsidRPr="5C0120C0">
              <w:rPr>
                <w:lang w:val="lv-LV"/>
              </w:rPr>
              <w:t>Pozīcija elektroniski saskaņota ar Ārlietu ministriju, Ekonomikas ministriju, Finanšu ministriju, Klimata un enerģijas ministriju</w:t>
            </w:r>
            <w:r w:rsidRPr="5C0120C0" w:rsidR="5C548761">
              <w:rPr>
                <w:lang w:val="lv-LV"/>
              </w:rPr>
              <w:t xml:space="preserve">, </w:t>
            </w:r>
            <w:proofErr w:type="spellStart"/>
            <w:r w:rsidRPr="5C0120C0" w:rsidR="5C548761">
              <w:rPr>
                <w:lang w:val="lv-LV"/>
              </w:rPr>
              <w:t>Iekšlietu</w:t>
            </w:r>
            <w:proofErr w:type="spellEnd"/>
            <w:r w:rsidRPr="5C0120C0" w:rsidR="5C548761">
              <w:rPr>
                <w:lang w:val="lv-LV"/>
              </w:rPr>
              <w:t xml:space="preserve"> ministriju</w:t>
            </w:r>
            <w:r w:rsidRPr="5C0120C0">
              <w:rPr>
                <w:lang w:val="lv-LV"/>
              </w:rPr>
              <w:t>.</w:t>
            </w:r>
          </w:p>
        </w:tc>
      </w:tr>
      <w:tr w:rsidRPr="00DB5A0B" w:rsidR="003B6B18" w:rsidTr="5C0120C0" w14:paraId="70101128" w14:textId="77777777">
        <w:trPr>
          <w:trHeight w:val="275"/>
        </w:trPr>
        <w:tc>
          <w:tcPr>
            <w:tcW w:w="9298" w:type="dxa"/>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DB5A0B" w:rsidR="003B6B18" w:rsidP="00EF4DE0" w:rsidRDefault="003B6B18" w14:paraId="3D25D959" w14:textId="77777777">
            <w:pPr>
              <w:snapToGrid w:val="false"/>
              <w:jc w:val="both"/>
              <w:rPr>
                <w:b/>
                <w:bCs/>
                <w:lang w:val="lv-LV"/>
              </w:rPr>
            </w:pPr>
            <w:r w:rsidRPr="00DB5A0B">
              <w:rPr>
                <w:b/>
                <w:bCs/>
                <w:lang w:val="lv-LV"/>
              </w:rPr>
              <w:t>Atšķirīgie viedokļi</w:t>
            </w:r>
          </w:p>
        </w:tc>
      </w:tr>
      <w:tr w:rsidRPr="00DB5A0B" w:rsidR="003B6B18" w:rsidTr="5C0120C0" w14:paraId="4A104714" w14:textId="77777777">
        <w:trPr>
          <w:trHeight w:val="275"/>
        </w:trPr>
        <w:tc>
          <w:tcPr>
            <w:tcW w:w="9298" w:type="dxa"/>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DB5A0B" w:rsidR="003B6B18" w:rsidP="00EF4DE0" w:rsidRDefault="003B6B18" w14:paraId="336F25F7" w14:textId="77777777">
            <w:pPr>
              <w:snapToGrid w:val="false"/>
              <w:jc w:val="both"/>
              <w:rPr>
                <w:lang w:val="lv-LV"/>
              </w:rPr>
            </w:pPr>
            <w:r w:rsidRPr="00DB5A0B">
              <w:rPr>
                <w:lang w:val="lv-LV"/>
              </w:rPr>
              <w:t>Šajā stadijā nav identificēti.</w:t>
            </w:r>
          </w:p>
        </w:tc>
      </w:tr>
      <w:tr w:rsidRPr="00DB5A0B" w:rsidR="003B6B18" w:rsidTr="5C0120C0" w14:paraId="6C10AA70" w14:textId="77777777">
        <w:trPr>
          <w:trHeight w:val="225"/>
        </w:trPr>
        <w:tc>
          <w:tcPr>
            <w:tcW w:w="9298" w:type="dxa"/>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DB5A0B" w:rsidR="003B6B18" w:rsidP="00EF4DE0" w:rsidRDefault="003B6B18" w14:paraId="6D8395A4" w14:textId="77777777">
            <w:pPr>
              <w:snapToGrid w:val="false"/>
              <w:jc w:val="center"/>
              <w:rPr>
                <w:b/>
                <w:lang w:val="lv-LV"/>
              </w:rPr>
            </w:pPr>
            <w:r w:rsidRPr="00DB5A0B">
              <w:rPr>
                <w:b/>
                <w:lang w:val="lv-LV"/>
              </w:rPr>
              <w:t>7. Saskaņošana ar Saeimas Eiropas lietu komisiju</w:t>
            </w:r>
          </w:p>
        </w:tc>
      </w:tr>
      <w:tr w:rsidRPr="00DB5A0B" w:rsidR="003B6B18" w:rsidTr="5C0120C0" w14:paraId="5BAFF0F0" w14:textId="77777777">
        <w:trPr>
          <w:trHeight w:val="237"/>
        </w:trPr>
        <w:tc>
          <w:tcPr>
            <w:tcW w:w="9298" w:type="dxa"/>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DB5A0B" w:rsidR="003B6B18" w:rsidP="00EF4DE0" w:rsidRDefault="003B6B18" w14:paraId="56678040" w14:textId="68FC18B6">
            <w:pPr>
              <w:snapToGrid w:val="false"/>
              <w:jc w:val="both"/>
              <w:rPr>
                <w:lang w:val="lv-LV"/>
              </w:rPr>
            </w:pPr>
            <w:r w:rsidRPr="00DB5A0B">
              <w:rPr>
                <w:lang w:val="lv-LV"/>
              </w:rPr>
              <w:t xml:space="preserve">Saskaņošana </w:t>
            </w:r>
            <w:r w:rsidR="00495F29">
              <w:rPr>
                <w:lang w:val="lv-LV"/>
              </w:rPr>
              <w:t>tiks veikta, ja jautājums tiks iekļauts Saeimas Eiropas lietu komisijas darba kārtībā.</w:t>
            </w:r>
          </w:p>
        </w:tc>
      </w:tr>
      <w:tr w:rsidRPr="00DB5A0B" w:rsidR="003B6B18" w:rsidTr="5C0120C0" w14:paraId="2E92FF27" w14:textId="77777777">
        <w:tc>
          <w:tcPr>
            <w:tcW w:w="9298" w:type="dxa"/>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DB5A0B" w:rsidR="003B6B18" w:rsidP="00EF4DE0" w:rsidRDefault="003B6B18" w14:paraId="07BB114A" w14:textId="77777777">
            <w:pPr>
              <w:snapToGrid w:val="false"/>
              <w:jc w:val="center"/>
              <w:rPr>
                <w:b/>
                <w:lang w:val="lv-LV"/>
              </w:rPr>
            </w:pPr>
            <w:r w:rsidRPr="00DB5A0B">
              <w:rPr>
                <w:b/>
                <w:lang w:val="lv-LV"/>
              </w:rPr>
              <w:lastRenderedPageBreak/>
              <w:t>8. Konsultācijas ar biedrībām un nodibinājumiem, pašvaldību un sociālo partneru organizācijām</w:t>
            </w:r>
          </w:p>
        </w:tc>
      </w:tr>
      <w:tr w:rsidRPr="00DB5A0B" w:rsidR="003B6B18" w:rsidTr="5C0120C0" w14:paraId="0E16B4BE" w14:textId="77777777">
        <w:trPr>
          <w:trHeight w:val="225"/>
        </w:trPr>
        <w:tc>
          <w:tcPr>
            <w:tcW w:w="9298" w:type="dxa"/>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DB5A0B" w:rsidR="003B6B18" w:rsidP="00EF4DE0" w:rsidRDefault="003B6B18" w14:paraId="585348A5" w14:textId="77777777">
            <w:pPr>
              <w:snapToGrid w:val="false"/>
              <w:jc w:val="both"/>
              <w:rPr>
                <w:color w:val="45B0E1" w:themeColor="accent1" w:themeTint="99"/>
                <w:lang w:val="lv-LV"/>
              </w:rPr>
            </w:pPr>
            <w:r w:rsidRPr="00DB5A0B">
              <w:rPr>
                <w:lang w:val="lv-LV"/>
              </w:rPr>
              <w:t xml:space="preserve">Biedrība „Auto Asociācija”, Latvijas darba devēju konfederācija, </w:t>
            </w:r>
            <w:r w:rsidRPr="00687700">
              <w:rPr>
                <w:lang w:val="lv-LV"/>
              </w:rPr>
              <w:t xml:space="preserve"> </w:t>
            </w:r>
            <w:r w:rsidRPr="00DB5A0B">
              <w:rPr>
                <w:lang w:val="lv-LV"/>
              </w:rPr>
              <w:t>Latvijas Transportlīdzekļu Tirgotāju Asociācija, Latvijas Pašvaldību savienība, Latvijas pasažieru pārvadātāju asociācija,</w:t>
            </w:r>
            <w:r w:rsidRPr="00687700">
              <w:rPr>
                <w:lang w:val="lv-LV"/>
              </w:rPr>
              <w:t xml:space="preserve"> </w:t>
            </w:r>
            <w:r w:rsidRPr="00DB5A0B">
              <w:rPr>
                <w:lang w:val="lv-LV"/>
              </w:rPr>
              <w:t xml:space="preserve"> asociācija “Latvijas Auto”.</w:t>
            </w:r>
          </w:p>
        </w:tc>
      </w:tr>
    </w:tbl>
    <w:p w:rsidRPr="00DB5A0B" w:rsidR="003B6B18" w:rsidP="003B6B18" w:rsidRDefault="003B6B18" w14:paraId="1820857D" w14:textId="77777777">
      <w:pPr>
        <w:pStyle w:val="BodyText2"/>
        <w:tabs>
          <w:tab w:val="left" w:pos="6840"/>
        </w:tabs>
        <w:jc w:val="left"/>
        <w:rPr>
          <w:sz w:val="24"/>
        </w:rPr>
      </w:pPr>
    </w:p>
    <w:p w:rsidRPr="00DB5A0B" w:rsidR="003B6B18" w:rsidP="003B6B18" w:rsidRDefault="003B6B18" w14:paraId="32ADC32F" w14:textId="77777777">
      <w:pPr>
        <w:rPr>
          <w:lang w:val="lv-LV"/>
        </w:rPr>
      </w:pPr>
      <w:r w:rsidRPr="00DB5A0B">
        <w:rPr>
          <w:lang w:val="lv-LV"/>
        </w:rPr>
        <w:tab/>
      </w:r>
    </w:p>
    <w:p w:rsidRPr="00DB5A0B" w:rsidR="003B6B18" w:rsidP="003B6B18" w:rsidRDefault="003B6B18" w14:paraId="4F25B372" w14:textId="77777777">
      <w:pPr>
        <w:ind w:firstLine="720"/>
        <w:rPr>
          <w:lang w:val="lv-LV"/>
        </w:rPr>
      </w:pPr>
      <w:r w:rsidRPr="00DB5A0B">
        <w:rPr>
          <w:lang w:val="lv-LV"/>
        </w:rPr>
        <w:t>Satiksmes ministrs</w:t>
      </w:r>
      <w:r w:rsidRPr="00DB5A0B">
        <w:rPr>
          <w:lang w:val="lv-LV"/>
        </w:rPr>
        <w:tab/>
      </w:r>
      <w:r w:rsidRPr="00DB5A0B">
        <w:rPr>
          <w:lang w:val="lv-LV"/>
        </w:rPr>
        <w:tab/>
      </w:r>
      <w:r w:rsidRPr="00DB5A0B">
        <w:rPr>
          <w:lang w:val="lv-LV"/>
        </w:rPr>
        <w:tab/>
      </w:r>
      <w:r w:rsidRPr="00DB5A0B">
        <w:rPr>
          <w:lang w:val="lv-LV"/>
        </w:rPr>
        <w:tab/>
      </w:r>
      <w:r w:rsidRPr="00DB5A0B">
        <w:rPr>
          <w:lang w:val="lv-LV"/>
        </w:rPr>
        <w:tab/>
      </w:r>
      <w:r w:rsidRPr="00DB5A0B">
        <w:rPr>
          <w:lang w:val="lv-LV"/>
        </w:rPr>
        <w:tab/>
      </w:r>
      <w:r w:rsidRPr="00DB5A0B">
        <w:rPr>
          <w:lang w:val="lv-LV"/>
        </w:rPr>
        <w:tab/>
        <w:t xml:space="preserve">A. </w:t>
      </w:r>
      <w:proofErr w:type="spellStart"/>
      <w:r w:rsidRPr="00DB5A0B">
        <w:rPr>
          <w:lang w:val="lv-LV"/>
        </w:rPr>
        <w:t>Švinka</w:t>
      </w:r>
      <w:proofErr w:type="spellEnd"/>
    </w:p>
    <w:p w:rsidRPr="00DB5A0B" w:rsidR="003B6B18" w:rsidP="003B6B18" w:rsidRDefault="003B6B18" w14:paraId="7462004A" w14:textId="77777777">
      <w:pPr>
        <w:ind w:firstLine="720"/>
        <w:rPr>
          <w:lang w:val="lv-LV"/>
        </w:rPr>
      </w:pPr>
    </w:p>
    <w:p w:rsidRPr="00DB5A0B" w:rsidR="00056DE1" w:rsidP="003B6B18" w:rsidRDefault="00056DE1" w14:paraId="664536DB" w14:textId="158B1F76">
      <w:pPr>
        <w:ind w:firstLine="720"/>
        <w:rPr>
          <w:lang w:val="lv-LV"/>
        </w:rPr>
      </w:pPr>
      <w:r w:rsidRPr="00DB5A0B">
        <w:rPr>
          <w:lang w:val="lv-LV"/>
        </w:rPr>
        <w:t>Vizē:</w:t>
      </w:r>
    </w:p>
    <w:p w:rsidRPr="00DB5A0B" w:rsidR="00056DE1" w:rsidP="003B6B18" w:rsidRDefault="00056DE1" w14:paraId="45CB2A3D" w14:textId="6EDBC949">
      <w:pPr>
        <w:ind w:firstLine="720"/>
        <w:rPr>
          <w:lang w:val="lv-LV"/>
        </w:rPr>
      </w:pPr>
      <w:r w:rsidRPr="00DB5A0B">
        <w:rPr>
          <w:lang w:val="lv-LV"/>
        </w:rPr>
        <w:t>Valsts sekretārs</w:t>
      </w:r>
      <w:r w:rsidRPr="00DB5A0B">
        <w:rPr>
          <w:lang w:val="lv-LV"/>
        </w:rPr>
        <w:tab/>
      </w:r>
      <w:r w:rsidRPr="00DB5A0B">
        <w:rPr>
          <w:lang w:val="lv-LV"/>
        </w:rPr>
        <w:tab/>
      </w:r>
      <w:r w:rsidRPr="00DB5A0B">
        <w:rPr>
          <w:lang w:val="lv-LV"/>
        </w:rPr>
        <w:tab/>
      </w:r>
      <w:r w:rsidRPr="00DB5A0B">
        <w:rPr>
          <w:lang w:val="lv-LV"/>
        </w:rPr>
        <w:tab/>
      </w:r>
      <w:r w:rsidRPr="00DB5A0B">
        <w:rPr>
          <w:lang w:val="lv-LV"/>
        </w:rPr>
        <w:tab/>
      </w:r>
      <w:r w:rsidRPr="00DB5A0B">
        <w:rPr>
          <w:lang w:val="lv-LV"/>
        </w:rPr>
        <w:tab/>
      </w:r>
      <w:r w:rsidRPr="00DB5A0B">
        <w:rPr>
          <w:lang w:val="lv-LV"/>
        </w:rPr>
        <w:tab/>
        <w:t>A. Židkovs</w:t>
      </w:r>
    </w:p>
    <w:p w:rsidRPr="00DB5A0B" w:rsidR="003B6B18" w:rsidP="003B6B18" w:rsidRDefault="003B6B18" w14:paraId="6EB21BF4" w14:textId="77777777">
      <w:pPr>
        <w:rPr>
          <w:lang w:val="lv-LV"/>
        </w:rPr>
      </w:pPr>
    </w:p>
    <w:p w:rsidRPr="00687700" w:rsidR="0042733C" w:rsidRDefault="0042733C" w14:paraId="1680EA53" w14:textId="77777777">
      <w:pPr>
        <w:rPr>
          <w:lang w:val="lv-LV"/>
        </w:rPr>
      </w:pPr>
    </w:p>
    <w:sectPr w:rsidRPr="00687700" w:rsidR="0042733C">
      <w:footerReference r:id="rId7" w:type="default"/>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D159BC" w14:textId="77777777" w:rsidR="00546CAB" w:rsidRDefault="00546CAB" w:rsidP="003B6B18">
      <w:r>
        <w:separator/>
      </w:r>
    </w:p>
  </w:endnote>
  <w:endnote w:type="continuationSeparator" w:id="0">
    <w:p w14:paraId="0D3F3E6E" w14:textId="77777777" w:rsidR="00546CAB" w:rsidRDefault="00546CAB" w:rsidP="003B6B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imesNewRoman">
    <w:altName w:val="Times New Roman"/>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47174255"/>
      <w:docPartObj>
        <w:docPartGallery w:val="Page Numbers (Bottom of Page)"/>
        <w:docPartUnique/>
      </w:docPartObj>
    </w:sdtPr>
    <w:sdtEndPr>
      <w:rPr>
        <w:noProof/>
      </w:rPr>
    </w:sdtEndPr>
    <w:sdtContent>
      <w:p w14:paraId="22A87E9F" w14:textId="77777777" w:rsidR="00997A7D" w:rsidRDefault="00BF2669" w:rsidP="00BF2669">
        <w:pPr>
          <w:pStyle w:val="Footer"/>
          <w:jc w:val="right"/>
          <w:rPr>
            <w:noProof/>
          </w:rPr>
        </w:pPr>
        <w:r>
          <w:fldChar w:fldCharType="begin"/>
        </w:r>
        <w:r>
          <w:instrText xml:space="preserve"> PAGE   \* MERGEFORMAT </w:instrText>
        </w:r>
        <w:r>
          <w:fldChar w:fldCharType="separate"/>
        </w:r>
        <w:r>
          <w:rPr>
            <w:noProof/>
          </w:rPr>
          <w:t>2</w:t>
        </w:r>
        <w:r>
          <w:rPr>
            <w:noProof/>
          </w:rPr>
          <w:fldChar w:fldCharType="end"/>
        </w:r>
        <w:r>
          <w:rPr>
            <w:noProof/>
          </w:rPr>
          <w:t>-7</w:t>
        </w:r>
      </w:p>
      <w:p w14:paraId="7036EEE6" w14:textId="0C73ECB2" w:rsidR="00BF2669" w:rsidRDefault="00997A7D" w:rsidP="00997A7D">
        <w:pPr>
          <w:pStyle w:val="Footer"/>
        </w:pPr>
        <w:r>
          <w:rPr>
            <w:noProof/>
          </w:rPr>
          <w:t>SAMpoz_230226_</w:t>
        </w:r>
        <w:r w:rsidR="00D22EC8">
          <w:rPr>
            <w:noProof/>
          </w:rPr>
          <w:t>mehaniskie_</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EC1A80" w14:textId="77777777" w:rsidR="00546CAB" w:rsidRDefault="00546CAB" w:rsidP="003B6B18">
      <w:r>
        <w:separator/>
      </w:r>
    </w:p>
  </w:footnote>
  <w:footnote w:type="continuationSeparator" w:id="0">
    <w:p w14:paraId="1DA1ABBA" w14:textId="77777777" w:rsidR="00546CAB" w:rsidRDefault="00546CAB" w:rsidP="003B6B18">
      <w:r>
        <w:continuationSeparator/>
      </w:r>
    </w:p>
  </w:footnote>
  <w:footnote w:id="1">
    <w:p w14:paraId="7CE32F62" w14:textId="24EE0D54" w:rsidR="00EC0CA6" w:rsidRPr="00EC0CA6" w:rsidRDefault="00EC0CA6">
      <w:pPr>
        <w:pStyle w:val="FootnoteText"/>
        <w:rPr>
          <w:lang w:val="lv-LV"/>
        </w:rPr>
      </w:pPr>
      <w:r>
        <w:rPr>
          <w:rStyle w:val="FootnoteReference"/>
        </w:rPr>
        <w:footnoteRef/>
      </w:r>
      <w:r>
        <w:t xml:space="preserve"> </w:t>
      </w:r>
      <w:hyperlink r:id="rId1" w:history="1">
        <w:r w:rsidRPr="00747F77">
          <w:rPr>
            <w:rStyle w:val="Hyperlink"/>
          </w:rPr>
          <w:t>https://eur-lex.europa.eu/legal-content/EN/TXT/?uri=CELEX%3A02006R0561-20241231&amp;qid=1768654781797</w:t>
        </w:r>
      </w:hyperlink>
      <w:r>
        <w:t xml:space="preserve"> </w:t>
      </w:r>
    </w:p>
  </w:footnote>
  <w:footnote w:id="2">
    <w:p w14:paraId="276E884A" w14:textId="7B96B9E8" w:rsidR="00EC0CA6" w:rsidRPr="00EC0CA6" w:rsidRDefault="00EC0CA6">
      <w:pPr>
        <w:pStyle w:val="FootnoteText"/>
        <w:rPr>
          <w:lang w:val="lv-LV"/>
        </w:rPr>
      </w:pPr>
      <w:r>
        <w:rPr>
          <w:rStyle w:val="FootnoteReference"/>
        </w:rPr>
        <w:footnoteRef/>
      </w:r>
      <w:r w:rsidRPr="00EC0CA6">
        <w:rPr>
          <w:lang w:val="lv-LV"/>
        </w:rPr>
        <w:t xml:space="preserve"> </w:t>
      </w:r>
      <w:hyperlink r:id="rId2" w:history="1">
        <w:r w:rsidRPr="00747F77">
          <w:rPr>
            <w:rStyle w:val="Hyperlink"/>
            <w:lang w:val="lv-LV"/>
          </w:rPr>
          <w:t>https://eur-lex.europa.eu/legal-content/EN/TXT/?uri=CELEX%3A02014R0165-20241231&amp;qid=1768654851422</w:t>
        </w:r>
      </w:hyperlink>
      <w:r>
        <w:rPr>
          <w:lang w:val="lv-LV"/>
        </w:rPr>
        <w:t xml:space="preserve"> </w:t>
      </w:r>
    </w:p>
  </w:footnote>
  <w:footnote w:id="3">
    <w:p w14:paraId="69559D9A" w14:textId="666B6C2D" w:rsidR="00EC0CA6" w:rsidRPr="00EC0CA6" w:rsidRDefault="00EC0CA6">
      <w:pPr>
        <w:pStyle w:val="FootnoteText"/>
        <w:rPr>
          <w:lang w:val="lv-LV"/>
        </w:rPr>
      </w:pPr>
      <w:r>
        <w:rPr>
          <w:rStyle w:val="FootnoteReference"/>
        </w:rPr>
        <w:footnoteRef/>
      </w:r>
      <w:r w:rsidRPr="00EC0CA6">
        <w:rPr>
          <w:lang w:val="lv-LV"/>
        </w:rPr>
        <w:t xml:space="preserve"> </w:t>
      </w:r>
      <w:hyperlink r:id="rId3" w:history="1">
        <w:r w:rsidR="002B56DF" w:rsidRPr="00EE12BD">
          <w:rPr>
            <w:rStyle w:val="Hyperlink"/>
            <w:lang w:val="lv-LV"/>
          </w:rPr>
          <w:t>https://eur-lex.europa.eu/legal-content/EN/TXT/?uri=CELEX%3A02019R2144-20250901&amp;qid=1768654905130</w:t>
        </w:r>
      </w:hyperlink>
      <w:r w:rsidR="002B56DF">
        <w:rPr>
          <w:lang w:val="lv-LV"/>
        </w:rPr>
        <w:t xml:space="preserve"> </w:t>
      </w:r>
    </w:p>
  </w:footnote>
  <w:footnote w:id="4">
    <w:p w14:paraId="2077925A" w14:textId="450E0C9E" w:rsidR="00EC0CA6" w:rsidRPr="00EC0CA6" w:rsidRDefault="00EC0CA6">
      <w:pPr>
        <w:pStyle w:val="FootnoteText"/>
        <w:rPr>
          <w:lang w:val="lv-LV"/>
        </w:rPr>
      </w:pPr>
      <w:r>
        <w:rPr>
          <w:rStyle w:val="FootnoteReference"/>
        </w:rPr>
        <w:footnoteRef/>
      </w:r>
      <w:r w:rsidRPr="00EC0CA6">
        <w:rPr>
          <w:lang w:val="lv-LV"/>
        </w:rPr>
        <w:t xml:space="preserve"> </w:t>
      </w:r>
      <w:hyperlink r:id="rId4" w:history="1">
        <w:proofErr w:type="spellStart"/>
        <w:r w:rsidRPr="00687700">
          <w:rPr>
            <w:rStyle w:val="Hyperlink"/>
            <w:lang w:val="fr-FR"/>
          </w:rPr>
          <w:t>Regulation</w:t>
        </w:r>
        <w:proofErr w:type="spellEnd"/>
        <w:r w:rsidRPr="00687700">
          <w:rPr>
            <w:rStyle w:val="Hyperlink"/>
            <w:lang w:val="fr-FR"/>
          </w:rPr>
          <w:t xml:space="preserve"> - 2024/1257 - EN - EUR-Lex</w:t>
        </w:r>
      </w:hyperlink>
    </w:p>
  </w:footnote>
  <w:footnote w:id="5">
    <w:p w14:paraId="7ED2D99A" w14:textId="77777777" w:rsidR="00F83555" w:rsidRPr="006E7871" w:rsidRDefault="00F83555" w:rsidP="00F83555">
      <w:pPr>
        <w:pStyle w:val="FootnoteText"/>
        <w:rPr>
          <w:lang w:val="fr-FR"/>
        </w:rPr>
      </w:pPr>
      <w:r>
        <w:rPr>
          <w:rStyle w:val="FootnoteReference"/>
        </w:rPr>
        <w:footnoteRef/>
      </w:r>
      <w:r w:rsidRPr="006E7871">
        <w:rPr>
          <w:lang w:val="fr-FR"/>
        </w:rPr>
        <w:t xml:space="preserve"> </w:t>
      </w:r>
      <w:hyperlink r:id="rId5" w:history="1">
        <w:r w:rsidRPr="006E7871">
          <w:rPr>
            <w:rStyle w:val="Hyperlink"/>
            <w:lang w:val="fr-FR"/>
          </w:rPr>
          <w:t>EUR-Lex - 02014R0540-20190527 - EN - EUR-Lex</w:t>
        </w:r>
      </w:hyperlink>
    </w:p>
  </w:footnote>
  <w:footnote w:id="6">
    <w:p w14:paraId="2E1E0D7E" w14:textId="17A4FA7E" w:rsidR="00EC0CA6" w:rsidRPr="00687700" w:rsidRDefault="00EC0CA6">
      <w:pPr>
        <w:pStyle w:val="FootnoteText"/>
        <w:rPr>
          <w:lang w:val="fr-FR"/>
        </w:rPr>
      </w:pPr>
      <w:r>
        <w:rPr>
          <w:rStyle w:val="FootnoteReference"/>
        </w:rPr>
        <w:footnoteRef/>
      </w:r>
      <w:r w:rsidRPr="00687700">
        <w:rPr>
          <w:lang w:val="fr-FR"/>
        </w:rPr>
        <w:t xml:space="preserve"> </w:t>
      </w:r>
      <w:hyperlink r:id="rId6" w:history="1">
        <w:r w:rsidRPr="00687700">
          <w:rPr>
            <w:rStyle w:val="Hyperlink"/>
            <w:lang w:val="fr-FR"/>
          </w:rPr>
          <w:t>EUR-Lex - 02018R0858-20240701 - EN - EUR-Lex</w:t>
        </w:r>
      </w:hyperlink>
    </w:p>
  </w:footnote>
  <w:footnote w:id="7">
    <w:p w14:paraId="1CD20D56" w14:textId="6954A57B" w:rsidR="00E5736B" w:rsidRPr="00E5736B" w:rsidRDefault="00E5736B">
      <w:pPr>
        <w:pStyle w:val="FootnoteText"/>
        <w:rPr>
          <w:lang w:val="lv-LV"/>
        </w:rPr>
      </w:pPr>
      <w:r>
        <w:rPr>
          <w:rStyle w:val="FootnoteReference"/>
        </w:rPr>
        <w:footnoteRef/>
      </w:r>
      <w:r w:rsidRPr="00EC0CA6">
        <w:rPr>
          <w:lang w:val="lv-LV"/>
        </w:rPr>
        <w:t xml:space="preserve"> </w:t>
      </w:r>
      <w:hyperlink r:id="rId7" w:history="1">
        <w:r w:rsidR="00273ABF" w:rsidRPr="00FF3130">
          <w:rPr>
            <w:rStyle w:val="Hyperlink"/>
            <w:lang w:val="lv-LV"/>
          </w:rPr>
          <w:t>https://eur-lex.europa.eu/legal-content/EN/TXT/HTML/?uri=CELEX:02014R0540-20190527&amp;qid=1768653368842</w:t>
        </w:r>
      </w:hyperlink>
      <w:r w:rsidR="00273ABF">
        <w:rPr>
          <w:lang w:val="lv-LV"/>
        </w:rPr>
        <w:t xml:space="preserve"> </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1E32"/>
    <w:rsid w:val="00056DE1"/>
    <w:rsid w:val="000E6961"/>
    <w:rsid w:val="0010443D"/>
    <w:rsid w:val="001122D6"/>
    <w:rsid w:val="00177FE6"/>
    <w:rsid w:val="0019110D"/>
    <w:rsid w:val="00196B0E"/>
    <w:rsid w:val="001E7ED2"/>
    <w:rsid w:val="0020182C"/>
    <w:rsid w:val="00233E98"/>
    <w:rsid w:val="00273ABF"/>
    <w:rsid w:val="002B56DF"/>
    <w:rsid w:val="002E5238"/>
    <w:rsid w:val="002F55C0"/>
    <w:rsid w:val="00300042"/>
    <w:rsid w:val="00357077"/>
    <w:rsid w:val="00360936"/>
    <w:rsid w:val="00382B60"/>
    <w:rsid w:val="00383BFF"/>
    <w:rsid w:val="00391DAF"/>
    <w:rsid w:val="003B6B18"/>
    <w:rsid w:val="00402E03"/>
    <w:rsid w:val="0042733C"/>
    <w:rsid w:val="00452852"/>
    <w:rsid w:val="00495F29"/>
    <w:rsid w:val="004E2BB4"/>
    <w:rsid w:val="00546CAB"/>
    <w:rsid w:val="005E0723"/>
    <w:rsid w:val="00627F34"/>
    <w:rsid w:val="00687700"/>
    <w:rsid w:val="00724296"/>
    <w:rsid w:val="00770B2D"/>
    <w:rsid w:val="007C7A18"/>
    <w:rsid w:val="00853699"/>
    <w:rsid w:val="008E553C"/>
    <w:rsid w:val="009658D7"/>
    <w:rsid w:val="00997A7D"/>
    <w:rsid w:val="009E3C69"/>
    <w:rsid w:val="00A91E32"/>
    <w:rsid w:val="00AB2D07"/>
    <w:rsid w:val="00B07E75"/>
    <w:rsid w:val="00BE5C47"/>
    <w:rsid w:val="00BF2669"/>
    <w:rsid w:val="00CF527D"/>
    <w:rsid w:val="00D22EC8"/>
    <w:rsid w:val="00D46314"/>
    <w:rsid w:val="00D5424B"/>
    <w:rsid w:val="00D92EB0"/>
    <w:rsid w:val="00DB5A0B"/>
    <w:rsid w:val="00E35759"/>
    <w:rsid w:val="00E5736B"/>
    <w:rsid w:val="00E7141A"/>
    <w:rsid w:val="00EB1412"/>
    <w:rsid w:val="00EC0CA6"/>
    <w:rsid w:val="00F251F8"/>
    <w:rsid w:val="00F83555"/>
    <w:rsid w:val="00FB77DE"/>
    <w:rsid w:val="5C0120C0"/>
    <w:rsid w:val="5C548761"/>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7530A2"/>
  <w15:chartTrackingRefBased/>
  <w15:docId w15:val="{B9A50C38-5F09-4EB6-9ADC-E09BE23BD1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B6B18"/>
    <w:pPr>
      <w:suppressAutoHyphens/>
      <w:spacing w:after="0" w:line="240" w:lineRule="auto"/>
    </w:pPr>
    <w:rPr>
      <w:rFonts w:eastAsia="Times New Roman" w:cs="Times New Roman"/>
      <w:kern w:val="0"/>
      <w:lang w:val="en-GB" w:eastAsia="ar-SA"/>
      <w14:ligatures w14:val="none"/>
    </w:rPr>
  </w:style>
  <w:style w:type="paragraph" w:styleId="Heading1">
    <w:name w:val="heading 1"/>
    <w:basedOn w:val="Normal"/>
    <w:next w:val="Normal"/>
    <w:link w:val="Heading1Char"/>
    <w:uiPriority w:val="9"/>
    <w:qFormat/>
    <w:rsid w:val="00A91E32"/>
    <w:pPr>
      <w:keepNext/>
      <w:keepLines/>
      <w:suppressAutoHyphens w:val="0"/>
      <w:spacing w:before="360" w:after="80" w:line="278" w:lineRule="auto"/>
      <w:outlineLvl w:val="0"/>
    </w:pPr>
    <w:rPr>
      <w:rFonts w:asciiTheme="majorHAnsi" w:eastAsiaTheme="majorEastAsia" w:hAnsiTheme="majorHAnsi" w:cstheme="majorBidi"/>
      <w:color w:val="0F4761" w:themeColor="accent1" w:themeShade="BF"/>
      <w:kern w:val="2"/>
      <w:sz w:val="40"/>
      <w:szCs w:val="40"/>
      <w:lang w:val="lv-LV" w:eastAsia="en-US"/>
      <w14:ligatures w14:val="standardContextual"/>
    </w:rPr>
  </w:style>
  <w:style w:type="paragraph" w:styleId="Heading2">
    <w:name w:val="heading 2"/>
    <w:basedOn w:val="Normal"/>
    <w:next w:val="Normal"/>
    <w:link w:val="Heading2Char"/>
    <w:uiPriority w:val="9"/>
    <w:semiHidden/>
    <w:unhideWhenUsed/>
    <w:qFormat/>
    <w:rsid w:val="00A91E32"/>
    <w:pPr>
      <w:keepNext/>
      <w:keepLines/>
      <w:suppressAutoHyphens w:val="0"/>
      <w:spacing w:before="160" w:after="80" w:line="278" w:lineRule="auto"/>
      <w:outlineLvl w:val="1"/>
    </w:pPr>
    <w:rPr>
      <w:rFonts w:asciiTheme="majorHAnsi" w:eastAsiaTheme="majorEastAsia" w:hAnsiTheme="majorHAnsi" w:cstheme="majorBidi"/>
      <w:color w:val="0F4761" w:themeColor="accent1" w:themeShade="BF"/>
      <w:kern w:val="2"/>
      <w:sz w:val="32"/>
      <w:szCs w:val="32"/>
      <w:lang w:val="lv-LV" w:eastAsia="en-US"/>
      <w14:ligatures w14:val="standardContextual"/>
    </w:rPr>
  </w:style>
  <w:style w:type="paragraph" w:styleId="Heading3">
    <w:name w:val="heading 3"/>
    <w:basedOn w:val="Normal"/>
    <w:next w:val="Normal"/>
    <w:link w:val="Heading3Char"/>
    <w:unhideWhenUsed/>
    <w:qFormat/>
    <w:rsid w:val="00A91E32"/>
    <w:pPr>
      <w:keepNext/>
      <w:keepLines/>
      <w:suppressAutoHyphens w:val="0"/>
      <w:spacing w:before="160" w:after="80" w:line="278" w:lineRule="auto"/>
      <w:outlineLvl w:val="2"/>
    </w:pPr>
    <w:rPr>
      <w:rFonts w:asciiTheme="minorHAnsi" w:eastAsiaTheme="majorEastAsia" w:hAnsiTheme="minorHAnsi" w:cstheme="majorBidi"/>
      <w:color w:val="0F4761" w:themeColor="accent1" w:themeShade="BF"/>
      <w:kern w:val="2"/>
      <w:sz w:val="28"/>
      <w:szCs w:val="28"/>
      <w:lang w:val="lv-LV" w:eastAsia="en-US"/>
      <w14:ligatures w14:val="standardContextual"/>
    </w:rPr>
  </w:style>
  <w:style w:type="paragraph" w:styleId="Heading4">
    <w:name w:val="heading 4"/>
    <w:basedOn w:val="Normal"/>
    <w:next w:val="Normal"/>
    <w:link w:val="Heading4Char"/>
    <w:unhideWhenUsed/>
    <w:qFormat/>
    <w:rsid w:val="00A91E32"/>
    <w:pPr>
      <w:keepNext/>
      <w:keepLines/>
      <w:suppressAutoHyphens w:val="0"/>
      <w:spacing w:before="80" w:after="40" w:line="278" w:lineRule="auto"/>
      <w:outlineLvl w:val="3"/>
    </w:pPr>
    <w:rPr>
      <w:rFonts w:asciiTheme="minorHAnsi" w:eastAsiaTheme="majorEastAsia" w:hAnsiTheme="minorHAnsi" w:cstheme="majorBidi"/>
      <w:i/>
      <w:iCs/>
      <w:color w:val="0F4761" w:themeColor="accent1" w:themeShade="BF"/>
      <w:kern w:val="2"/>
      <w:lang w:val="lv-LV" w:eastAsia="en-US"/>
      <w14:ligatures w14:val="standardContextual"/>
    </w:rPr>
  </w:style>
  <w:style w:type="paragraph" w:styleId="Heading5">
    <w:name w:val="heading 5"/>
    <w:basedOn w:val="Normal"/>
    <w:next w:val="Normal"/>
    <w:link w:val="Heading5Char"/>
    <w:uiPriority w:val="9"/>
    <w:semiHidden/>
    <w:unhideWhenUsed/>
    <w:qFormat/>
    <w:rsid w:val="00A91E32"/>
    <w:pPr>
      <w:keepNext/>
      <w:keepLines/>
      <w:suppressAutoHyphens w:val="0"/>
      <w:spacing w:before="80" w:after="40" w:line="278" w:lineRule="auto"/>
      <w:outlineLvl w:val="4"/>
    </w:pPr>
    <w:rPr>
      <w:rFonts w:asciiTheme="minorHAnsi" w:eastAsiaTheme="majorEastAsia" w:hAnsiTheme="minorHAnsi" w:cstheme="majorBidi"/>
      <w:color w:val="0F4761" w:themeColor="accent1" w:themeShade="BF"/>
      <w:kern w:val="2"/>
      <w:lang w:val="lv-LV" w:eastAsia="en-US"/>
      <w14:ligatures w14:val="standardContextual"/>
    </w:rPr>
  </w:style>
  <w:style w:type="paragraph" w:styleId="Heading6">
    <w:name w:val="heading 6"/>
    <w:basedOn w:val="Normal"/>
    <w:next w:val="Normal"/>
    <w:link w:val="Heading6Char"/>
    <w:uiPriority w:val="9"/>
    <w:semiHidden/>
    <w:unhideWhenUsed/>
    <w:qFormat/>
    <w:rsid w:val="00A91E32"/>
    <w:pPr>
      <w:keepNext/>
      <w:keepLines/>
      <w:suppressAutoHyphens w:val="0"/>
      <w:spacing w:before="40" w:line="278" w:lineRule="auto"/>
      <w:outlineLvl w:val="5"/>
    </w:pPr>
    <w:rPr>
      <w:rFonts w:asciiTheme="minorHAnsi" w:eastAsiaTheme="majorEastAsia" w:hAnsiTheme="minorHAnsi" w:cstheme="majorBidi"/>
      <w:i/>
      <w:iCs/>
      <w:color w:val="595959" w:themeColor="text1" w:themeTint="A6"/>
      <w:kern w:val="2"/>
      <w:lang w:val="lv-LV" w:eastAsia="en-US"/>
      <w14:ligatures w14:val="standardContextual"/>
    </w:rPr>
  </w:style>
  <w:style w:type="paragraph" w:styleId="Heading7">
    <w:name w:val="heading 7"/>
    <w:basedOn w:val="Normal"/>
    <w:next w:val="Normal"/>
    <w:link w:val="Heading7Char"/>
    <w:uiPriority w:val="9"/>
    <w:semiHidden/>
    <w:unhideWhenUsed/>
    <w:qFormat/>
    <w:rsid w:val="00A91E32"/>
    <w:pPr>
      <w:keepNext/>
      <w:keepLines/>
      <w:suppressAutoHyphens w:val="0"/>
      <w:spacing w:before="40" w:line="278" w:lineRule="auto"/>
      <w:outlineLvl w:val="6"/>
    </w:pPr>
    <w:rPr>
      <w:rFonts w:asciiTheme="minorHAnsi" w:eastAsiaTheme="majorEastAsia" w:hAnsiTheme="minorHAnsi" w:cstheme="majorBidi"/>
      <w:color w:val="595959" w:themeColor="text1" w:themeTint="A6"/>
      <w:kern w:val="2"/>
      <w:lang w:val="lv-LV" w:eastAsia="en-US"/>
      <w14:ligatures w14:val="standardContextual"/>
    </w:rPr>
  </w:style>
  <w:style w:type="paragraph" w:styleId="Heading8">
    <w:name w:val="heading 8"/>
    <w:basedOn w:val="Normal"/>
    <w:next w:val="Normal"/>
    <w:link w:val="Heading8Char"/>
    <w:uiPriority w:val="9"/>
    <w:semiHidden/>
    <w:unhideWhenUsed/>
    <w:qFormat/>
    <w:rsid w:val="00A91E32"/>
    <w:pPr>
      <w:keepNext/>
      <w:keepLines/>
      <w:suppressAutoHyphens w:val="0"/>
      <w:spacing w:line="278" w:lineRule="auto"/>
      <w:outlineLvl w:val="7"/>
    </w:pPr>
    <w:rPr>
      <w:rFonts w:asciiTheme="minorHAnsi" w:eastAsiaTheme="majorEastAsia" w:hAnsiTheme="minorHAnsi" w:cstheme="majorBidi"/>
      <w:i/>
      <w:iCs/>
      <w:color w:val="272727" w:themeColor="text1" w:themeTint="D8"/>
      <w:kern w:val="2"/>
      <w:lang w:val="lv-LV" w:eastAsia="en-US"/>
      <w14:ligatures w14:val="standardContextual"/>
    </w:rPr>
  </w:style>
  <w:style w:type="paragraph" w:styleId="Heading9">
    <w:name w:val="heading 9"/>
    <w:basedOn w:val="Normal"/>
    <w:next w:val="Normal"/>
    <w:link w:val="Heading9Char"/>
    <w:uiPriority w:val="9"/>
    <w:semiHidden/>
    <w:unhideWhenUsed/>
    <w:qFormat/>
    <w:rsid w:val="00A91E32"/>
    <w:pPr>
      <w:keepNext/>
      <w:keepLines/>
      <w:suppressAutoHyphens w:val="0"/>
      <w:spacing w:line="278" w:lineRule="auto"/>
      <w:outlineLvl w:val="8"/>
    </w:pPr>
    <w:rPr>
      <w:rFonts w:asciiTheme="minorHAnsi" w:eastAsiaTheme="majorEastAsia" w:hAnsiTheme="minorHAnsi" w:cstheme="majorBidi"/>
      <w:color w:val="272727" w:themeColor="text1" w:themeTint="D8"/>
      <w:kern w:val="2"/>
      <w:lang w:val="lv-LV" w:eastAsia="en-US"/>
      <w14:ligatures w14:val="standardContextual"/>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91E3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91E3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rsid w:val="00A91E32"/>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rsid w:val="00A91E32"/>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A91E32"/>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A91E32"/>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A91E32"/>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A91E32"/>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A91E32"/>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A91E32"/>
    <w:pPr>
      <w:suppressAutoHyphens w:val="0"/>
      <w:spacing w:after="80"/>
      <w:contextualSpacing/>
    </w:pPr>
    <w:rPr>
      <w:rFonts w:asciiTheme="majorHAnsi" w:eastAsiaTheme="majorEastAsia" w:hAnsiTheme="majorHAnsi" w:cstheme="majorBidi"/>
      <w:spacing w:val="-10"/>
      <w:kern w:val="28"/>
      <w:sz w:val="56"/>
      <w:szCs w:val="56"/>
      <w:lang w:val="lv-LV" w:eastAsia="en-US"/>
      <w14:ligatures w14:val="standardContextual"/>
    </w:rPr>
  </w:style>
  <w:style w:type="character" w:customStyle="1" w:styleId="TitleChar">
    <w:name w:val="Title Char"/>
    <w:basedOn w:val="DefaultParagraphFont"/>
    <w:link w:val="Title"/>
    <w:uiPriority w:val="10"/>
    <w:rsid w:val="00A91E3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91E32"/>
    <w:pPr>
      <w:numPr>
        <w:ilvl w:val="1"/>
      </w:numPr>
      <w:suppressAutoHyphens w:val="0"/>
      <w:spacing w:after="160" w:line="278" w:lineRule="auto"/>
    </w:pPr>
    <w:rPr>
      <w:rFonts w:asciiTheme="minorHAnsi" w:eastAsiaTheme="majorEastAsia" w:hAnsiTheme="minorHAnsi" w:cstheme="majorBidi"/>
      <w:color w:val="595959" w:themeColor="text1" w:themeTint="A6"/>
      <w:spacing w:val="15"/>
      <w:kern w:val="2"/>
      <w:sz w:val="28"/>
      <w:szCs w:val="28"/>
      <w:lang w:val="lv-LV" w:eastAsia="en-US"/>
      <w14:ligatures w14:val="standardContextual"/>
    </w:rPr>
  </w:style>
  <w:style w:type="character" w:customStyle="1" w:styleId="SubtitleChar">
    <w:name w:val="Subtitle Char"/>
    <w:basedOn w:val="DefaultParagraphFont"/>
    <w:link w:val="Subtitle"/>
    <w:uiPriority w:val="11"/>
    <w:rsid w:val="00A91E32"/>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A91E32"/>
    <w:pPr>
      <w:suppressAutoHyphens w:val="0"/>
      <w:spacing w:before="160" w:after="160" w:line="278" w:lineRule="auto"/>
      <w:jc w:val="center"/>
    </w:pPr>
    <w:rPr>
      <w:rFonts w:eastAsiaTheme="minorHAnsi" w:cstheme="minorBidi"/>
      <w:i/>
      <w:iCs/>
      <w:color w:val="404040" w:themeColor="text1" w:themeTint="BF"/>
      <w:kern w:val="2"/>
      <w:lang w:val="lv-LV" w:eastAsia="en-US"/>
      <w14:ligatures w14:val="standardContextual"/>
    </w:rPr>
  </w:style>
  <w:style w:type="character" w:customStyle="1" w:styleId="QuoteChar">
    <w:name w:val="Quote Char"/>
    <w:basedOn w:val="DefaultParagraphFont"/>
    <w:link w:val="Quote"/>
    <w:uiPriority w:val="29"/>
    <w:rsid w:val="00A91E32"/>
    <w:rPr>
      <w:i/>
      <w:iCs/>
      <w:color w:val="404040" w:themeColor="text1" w:themeTint="BF"/>
    </w:rPr>
  </w:style>
  <w:style w:type="paragraph" w:styleId="ListParagraph">
    <w:name w:val="List Paragraph"/>
    <w:aliases w:val="2,Strip,LP1."/>
    <w:basedOn w:val="Normal"/>
    <w:link w:val="ListParagraphChar"/>
    <w:uiPriority w:val="34"/>
    <w:qFormat/>
    <w:rsid w:val="00A91E32"/>
    <w:pPr>
      <w:suppressAutoHyphens w:val="0"/>
      <w:spacing w:after="160" w:line="278" w:lineRule="auto"/>
      <w:ind w:left="720"/>
      <w:contextualSpacing/>
    </w:pPr>
    <w:rPr>
      <w:rFonts w:eastAsiaTheme="minorHAnsi" w:cstheme="minorBidi"/>
      <w:kern w:val="2"/>
      <w:lang w:val="lv-LV" w:eastAsia="en-US"/>
      <w14:ligatures w14:val="standardContextual"/>
    </w:rPr>
  </w:style>
  <w:style w:type="character" w:styleId="IntenseEmphasis">
    <w:name w:val="Intense Emphasis"/>
    <w:basedOn w:val="DefaultParagraphFont"/>
    <w:uiPriority w:val="21"/>
    <w:qFormat/>
    <w:rsid w:val="00A91E32"/>
    <w:rPr>
      <w:i/>
      <w:iCs/>
      <w:color w:val="0F4761" w:themeColor="accent1" w:themeShade="BF"/>
    </w:rPr>
  </w:style>
  <w:style w:type="paragraph" w:styleId="IntenseQuote">
    <w:name w:val="Intense Quote"/>
    <w:basedOn w:val="Normal"/>
    <w:next w:val="Normal"/>
    <w:link w:val="IntenseQuoteChar"/>
    <w:uiPriority w:val="30"/>
    <w:qFormat/>
    <w:rsid w:val="00A91E32"/>
    <w:pPr>
      <w:pBdr>
        <w:top w:val="single" w:sz="4" w:space="10" w:color="0F4761" w:themeColor="accent1" w:themeShade="BF"/>
        <w:bottom w:val="single" w:sz="4" w:space="10" w:color="0F4761" w:themeColor="accent1" w:themeShade="BF"/>
      </w:pBdr>
      <w:suppressAutoHyphens w:val="0"/>
      <w:spacing w:before="360" w:after="360" w:line="278" w:lineRule="auto"/>
      <w:ind w:left="864" w:right="864"/>
      <w:jc w:val="center"/>
    </w:pPr>
    <w:rPr>
      <w:rFonts w:eastAsiaTheme="minorHAnsi" w:cstheme="minorBidi"/>
      <w:i/>
      <w:iCs/>
      <w:color w:val="0F4761" w:themeColor="accent1" w:themeShade="BF"/>
      <w:kern w:val="2"/>
      <w:lang w:val="lv-LV" w:eastAsia="en-US"/>
      <w14:ligatures w14:val="standardContextual"/>
    </w:rPr>
  </w:style>
  <w:style w:type="character" w:customStyle="1" w:styleId="IntenseQuoteChar">
    <w:name w:val="Intense Quote Char"/>
    <w:basedOn w:val="DefaultParagraphFont"/>
    <w:link w:val="IntenseQuote"/>
    <w:uiPriority w:val="30"/>
    <w:rsid w:val="00A91E32"/>
    <w:rPr>
      <w:i/>
      <w:iCs/>
      <w:color w:val="0F4761" w:themeColor="accent1" w:themeShade="BF"/>
    </w:rPr>
  </w:style>
  <w:style w:type="character" w:styleId="IntenseReference">
    <w:name w:val="Intense Reference"/>
    <w:basedOn w:val="DefaultParagraphFont"/>
    <w:uiPriority w:val="32"/>
    <w:qFormat/>
    <w:rsid w:val="00A91E32"/>
    <w:rPr>
      <w:b/>
      <w:bCs/>
      <w:smallCaps/>
      <w:color w:val="0F4761" w:themeColor="accent1" w:themeShade="BF"/>
      <w:spacing w:val="5"/>
    </w:rPr>
  </w:style>
  <w:style w:type="character" w:styleId="Hyperlink">
    <w:name w:val="Hyperlink"/>
    <w:rsid w:val="003B6B18"/>
    <w:rPr>
      <w:color w:val="0000FF"/>
      <w:u w:val="single"/>
    </w:rPr>
  </w:style>
  <w:style w:type="paragraph" w:styleId="BodyText2">
    <w:name w:val="Body Text 2"/>
    <w:basedOn w:val="Normal"/>
    <w:link w:val="BodyText2Char"/>
    <w:rsid w:val="003B6B18"/>
    <w:pPr>
      <w:jc w:val="center"/>
    </w:pPr>
    <w:rPr>
      <w:sz w:val="32"/>
      <w:lang w:val="lv-LV"/>
    </w:rPr>
  </w:style>
  <w:style w:type="character" w:customStyle="1" w:styleId="BodyText2Char">
    <w:name w:val="Body Text 2 Char"/>
    <w:basedOn w:val="DefaultParagraphFont"/>
    <w:link w:val="BodyText2"/>
    <w:rsid w:val="003B6B18"/>
    <w:rPr>
      <w:rFonts w:eastAsia="Times New Roman" w:cs="Times New Roman"/>
      <w:kern w:val="0"/>
      <w:sz w:val="32"/>
      <w:lang w:eastAsia="ar-SA"/>
      <w14:ligatures w14:val="none"/>
    </w:rPr>
  </w:style>
  <w:style w:type="character" w:customStyle="1" w:styleId="ListParagraphChar">
    <w:name w:val="List Paragraph Char"/>
    <w:aliases w:val="2 Char,Strip Char,LP1. Char"/>
    <w:basedOn w:val="DefaultParagraphFont"/>
    <w:link w:val="ListParagraph"/>
    <w:uiPriority w:val="34"/>
    <w:locked/>
    <w:rsid w:val="003B6B18"/>
  </w:style>
  <w:style w:type="paragraph" w:styleId="FootnoteText">
    <w:name w:val="footnote text"/>
    <w:basedOn w:val="Normal"/>
    <w:link w:val="FootnoteTextChar"/>
    <w:uiPriority w:val="99"/>
    <w:semiHidden/>
    <w:unhideWhenUsed/>
    <w:rsid w:val="003B6B18"/>
    <w:rPr>
      <w:sz w:val="20"/>
      <w:szCs w:val="20"/>
    </w:rPr>
  </w:style>
  <w:style w:type="character" w:customStyle="1" w:styleId="FootnoteTextChar">
    <w:name w:val="Footnote Text Char"/>
    <w:basedOn w:val="DefaultParagraphFont"/>
    <w:link w:val="FootnoteText"/>
    <w:uiPriority w:val="99"/>
    <w:semiHidden/>
    <w:rsid w:val="003B6B18"/>
    <w:rPr>
      <w:rFonts w:eastAsia="Times New Roman" w:cs="Times New Roman"/>
      <w:kern w:val="0"/>
      <w:sz w:val="20"/>
      <w:szCs w:val="20"/>
      <w:lang w:val="en-GB" w:eastAsia="ar-SA"/>
      <w14:ligatures w14:val="none"/>
    </w:rPr>
  </w:style>
  <w:style w:type="character" w:styleId="FootnoteReference">
    <w:name w:val="footnote reference"/>
    <w:basedOn w:val="DefaultParagraphFont"/>
    <w:uiPriority w:val="99"/>
    <w:semiHidden/>
    <w:unhideWhenUsed/>
    <w:rsid w:val="003B6B18"/>
    <w:rPr>
      <w:vertAlign w:val="superscript"/>
    </w:rPr>
  </w:style>
  <w:style w:type="paragraph" w:customStyle="1" w:styleId="Text2">
    <w:name w:val="Text 2"/>
    <w:basedOn w:val="Normal"/>
    <w:rsid w:val="003B6B18"/>
    <w:pPr>
      <w:suppressAutoHyphens w:val="0"/>
      <w:spacing w:before="120" w:after="120"/>
      <w:ind w:left="1417"/>
      <w:jc w:val="both"/>
    </w:pPr>
    <w:rPr>
      <w:rFonts w:eastAsiaTheme="minorHAnsi"/>
      <w:szCs w:val="22"/>
      <w:lang w:eastAsia="en-US"/>
    </w:rPr>
  </w:style>
  <w:style w:type="character" w:styleId="UnresolvedMention">
    <w:name w:val="Unresolved Mention"/>
    <w:basedOn w:val="DefaultParagraphFont"/>
    <w:uiPriority w:val="99"/>
    <w:semiHidden/>
    <w:unhideWhenUsed/>
    <w:rsid w:val="00E5736B"/>
    <w:rPr>
      <w:color w:val="605E5C"/>
      <w:shd w:val="clear" w:color="auto" w:fill="E1DFDD"/>
    </w:rPr>
  </w:style>
  <w:style w:type="paragraph" w:styleId="Revision">
    <w:name w:val="Revision"/>
    <w:hidden/>
    <w:uiPriority w:val="99"/>
    <w:semiHidden/>
    <w:rsid w:val="00056DE1"/>
    <w:pPr>
      <w:spacing w:after="0" w:line="240" w:lineRule="auto"/>
    </w:pPr>
    <w:rPr>
      <w:rFonts w:eastAsia="Times New Roman" w:cs="Times New Roman"/>
      <w:kern w:val="0"/>
      <w:lang w:val="en-GB" w:eastAsia="ar-SA"/>
      <w14:ligatures w14:val="none"/>
    </w:rPr>
  </w:style>
  <w:style w:type="paragraph" w:styleId="Header">
    <w:name w:val="header"/>
    <w:basedOn w:val="Normal"/>
    <w:link w:val="HeaderChar"/>
    <w:uiPriority w:val="99"/>
    <w:unhideWhenUsed/>
    <w:rsid w:val="00BF2669"/>
    <w:pPr>
      <w:tabs>
        <w:tab w:val="center" w:pos="4513"/>
        <w:tab w:val="right" w:pos="9026"/>
      </w:tabs>
    </w:pPr>
  </w:style>
  <w:style w:type="character" w:customStyle="1" w:styleId="HeaderChar">
    <w:name w:val="Header Char"/>
    <w:basedOn w:val="DefaultParagraphFont"/>
    <w:link w:val="Header"/>
    <w:uiPriority w:val="99"/>
    <w:rsid w:val="00BF2669"/>
    <w:rPr>
      <w:rFonts w:eastAsia="Times New Roman" w:cs="Times New Roman"/>
      <w:kern w:val="0"/>
      <w:lang w:val="en-GB" w:eastAsia="ar-SA"/>
      <w14:ligatures w14:val="none"/>
    </w:rPr>
  </w:style>
  <w:style w:type="paragraph" w:styleId="Footer">
    <w:name w:val="footer"/>
    <w:basedOn w:val="Normal"/>
    <w:link w:val="FooterChar"/>
    <w:uiPriority w:val="99"/>
    <w:unhideWhenUsed/>
    <w:rsid w:val="00BF2669"/>
    <w:pPr>
      <w:tabs>
        <w:tab w:val="center" w:pos="4513"/>
        <w:tab w:val="right" w:pos="9026"/>
      </w:tabs>
    </w:pPr>
  </w:style>
  <w:style w:type="character" w:customStyle="1" w:styleId="FooterChar">
    <w:name w:val="Footer Char"/>
    <w:basedOn w:val="DefaultParagraphFont"/>
    <w:link w:val="Footer"/>
    <w:uiPriority w:val="99"/>
    <w:rsid w:val="00BF2669"/>
    <w:rPr>
      <w:rFonts w:eastAsia="Times New Roman" w:cs="Times New Roman"/>
      <w:kern w:val="0"/>
      <w:lang w:val="en-GB" w:eastAsia="ar-SA"/>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Relationships xmlns="http://schemas.openxmlformats.org/package/2006/relationships">
   <Relationship Target="fontTable.xml" Type="http://schemas.openxmlformats.org/officeDocument/2006/relationships/fontTable" Id="rId8"/>
   <Relationship Target="settings.xml" Type="http://schemas.openxmlformats.org/officeDocument/2006/relationships/settings" Id="rId3"/>
   <Relationship Target="footer1.xml" Type="http://schemas.openxmlformats.org/officeDocument/2006/relationships/footer" Id="rId7"/>
   <Relationship Target="styles.xml" Type="http://schemas.openxmlformats.org/officeDocument/2006/relationships/styles" Id="rId2"/>
   <Relationship Target="../customXml/item1.xml" Type="http://schemas.openxmlformats.org/officeDocument/2006/relationships/customXml" Id="rId1"/>
   <Relationship Target="endnotes.xml" Type="http://schemas.openxmlformats.org/officeDocument/2006/relationships/endnotes" Id="rId6"/>
   <Relationship Target="footnotes.xml" Type="http://schemas.openxmlformats.org/officeDocument/2006/relationships/footnotes" Id="rId5"/>
   <Relationship Target="webSettings.xml" Type="http://schemas.openxmlformats.org/officeDocument/2006/relationships/webSettings" Id="rId4"/>
   <Relationship Target="theme/theme1.xml" Type="http://schemas.openxmlformats.org/officeDocument/2006/relationships/theme" Id="rId9"/>
</Relationships>

</file>

<file path=word/_rels/footnotes.xml.rels><?xml version="1.0" encoding="UTF-8"?>
<Relationships xmlns="http://schemas.openxmlformats.org/package/2006/relationships">
   <Relationship TargetMode="External" Target="https://eur-lex.europa.eu/legal-content/EN/TXT/?uri=CELEX%3A02019R2144-20250901&amp;qid=1768654905130" Type="http://schemas.openxmlformats.org/officeDocument/2006/relationships/hyperlink" Id="rId3"/>
   <Relationship TargetMode="External" Target="https://eur-lex.europa.eu/legal-content/EN/TXT/HTML/?uri=CELEX:02014R0540-20190527&amp;qid=1768653368842" Type="http://schemas.openxmlformats.org/officeDocument/2006/relationships/hyperlink" Id="rId7"/>
   <Relationship TargetMode="External" Target="https://eur-lex.europa.eu/legal-content/EN/TXT/?uri=CELEX%3A02014R0165-20241231&amp;qid=1768654851422" Type="http://schemas.openxmlformats.org/officeDocument/2006/relationships/hyperlink" Id="rId2"/>
   <Relationship TargetMode="External" Target="https://eur-lex.europa.eu/legal-content/EN/TXT/?uri=CELEX%3A02006R0561-20241231&amp;qid=1768654781797" Type="http://schemas.openxmlformats.org/officeDocument/2006/relationships/hyperlink" Id="rId1"/>
   <Relationship TargetMode="External" Target="https://eur-lex.europa.eu/legal-content/EN/TXT/?uri=CELEX%3A02018R0858-20240701&amp;qid=1768655085975" Type="http://schemas.openxmlformats.org/officeDocument/2006/relationships/hyperlink" Id="rId6"/>
   <Relationship TargetMode="External" Target="https://eur-lex.europa.eu/legal-content/EN/TXT/?uri=CELEX%3A02014R0540-20190527&amp;qid=1768655038598" Type="http://schemas.openxmlformats.org/officeDocument/2006/relationships/hyperlink" Id="rId5"/>
   <Relationship TargetMode="External" Target="https://eur-lex.europa.eu/legal-content/EN/TXT/?uri=CELEX%3A32024R1257&amp;qid=1768654986853" Type="http://schemas.openxmlformats.org/officeDocument/2006/relationships/hyperlink"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Relationships xmlns="http://schemas.openxmlformats.org/package/2006/relationships">
   <Relationship Target="itemProps1.xml" Type="http://schemas.openxmlformats.org/officeDocument/2006/relationships/customXmlProps" Id="rId1"/>
</Relationships>

</file>

<file path=customXml/item1.xml><?xml version="1.0" encoding="utf-8"?>
<ns26:Sources xmlns:ns26="http://schemas.openxmlformats.org/officeDocument/2006/bibliography" SelectedStyle="\APASixthEditionOfficeOnline.xsl" StyleName="APA"/>
</file>

<file path=customXml/itemProps1.xml><?xml version="1.0" encoding="utf-8"?>
<ds:datastoreItem xmlns:ds="http://schemas.openxmlformats.org/officeDocument/2006/customXml" ds:itemID="{9C73BABF-0730-4F8D-A5D8-DB903C817A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7</Pages>
  <Words>12245</Words>
  <Characters>6980</Characters>
  <Application>Microsoft Office Word</Application>
  <DocSecurity>0</DocSecurity>
  <Lines>58</Lines>
  <Paragraphs>38</Paragraphs>
  <ScaleCrop>false</ScaleCrop>
  <HeadingPairs>
    <vt:vector size="2" baseType="variant">
      <vt:variant>
        <vt:lpstr>Title</vt:lpstr>
      </vt:variant>
      <vt:variant>
        <vt:i4>1</vt:i4>
      </vt:variant>
    </vt:vector>
  </HeadingPairs>
  <TitlesOfParts>
    <vt:vector size="1" baseType="lpstr">
      <vt:lpstr>Pozīcija Nr. 1 "Priekšlikums Eiropas Parlamenta un Padomes Regulai, ar ko groza Eiropas Parlamenta un Padomes Regulas (EK) Nr. 561/2006, (ES) 2018/858, (ES) 2019/2144 un (ES) 2024/1257 attiecībā uz mehānisko transportlīdzekļu tehnisko prasību un testēšana</vt:lpstr>
    </vt:vector>
  </TitlesOfParts>
  <Company/>
  <LinksUpToDate>false</LinksUpToDate>
  <CharactersWithSpaces>19187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Pozīcija Nr. 1 "Priekšlikums Eiropas Parlamenta un Padomes Regulai, ar ko groza Eiropas Parlamenta un Padomes Regulas (EK) Nr. 561/2006, (ES) 2018/858, (ES) 2019/2144 un (ES) 2024/1257 attiecībā uz mehānisko transportlīdzekļu tehnisko prasību un testēšanas procedūru vienkāršošanu un atceļ Padomes Direktīvu 70/157/EEK un Eiropas Parlamenta un Padomes Regulu (ES) Nr. 540/2014 (Mehānisko transportlīdzekļu tehnisko prasību un testēšanas procedūru vienkāršošana)"</dc:title>
  <dc:subject>Nacionālā pozīcija</dc:subject>
  <dc:creator>Satiksmes ministrija</dc:creator>
  <cp:keywords/>
  <dc:description>Evita Nagle_x000d_
67028190_x000d_
evita.nagle@sam.gov.lv</dc:description>
  <cp:lastModifiedBy>Evita Nagle</cp:lastModifiedBy>
  <cp:revision>14</cp:revision>
  <dcterms:created xsi:type="dcterms:W3CDTF">2026-02-18T08:11:00Z</dcterms:created>
  <dcterms:modified xsi:type="dcterms:W3CDTF">2026-02-18T09:04:00Z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3" name="DISCesvisComments">
    <vt:lpwstr>Lūdzu saskaņot pozīcijas projektu līdz 6. februārim.</vt:lpwstr>
  </property>
  <property fmtid="{D5CDD505-2E9C-101B-9397-08002B2CF9AE}" pid="24" name="DISCesvisRelatedDocNP">
    <vt:lpwstr>Pozīcija Nr. 1 "Priekšlikums Eiropas Parlamenta un Padomes Regulai, ar ko groza Eiropas Parlamenta un Padomes Regulas (EK) Nr. 561/2006, (ES) 2018/858, (ES) 2019/2144 un (ES) 2024/1257 attiecībā uz mehānisko transportlīdzekļu tehnisko prasību un testēšanas procedūru vienkāršošanu un atceļ Padomes Direktīvu 70/157/EEK un Eiropas Parlamenta un Padomes Regulu (ES) Nr. 540/2014 (Mehānisko transportlīdzekļu tehnisko prasību un testēšanas procedūru vienkāršošana)"</vt:lpwstr>
  </property>
  <property fmtid="{D5CDD505-2E9C-101B-9397-08002B2CF9AE}" pid="91" name="DISCesvisAdditionalMakers">
    <vt:lpwstr>Vecākā referente Evita Nagle</vt:lpwstr>
  </property>
  <property fmtid="{D5CDD505-2E9C-101B-9397-08002B2CF9AE}" pid="92" name="DIScgiUrl">
    <vt:lpwstr>https://lim.esvis.gov.lv/cs/idcplg</vt:lpwstr>
  </property>
  <property fmtid="{D5CDD505-2E9C-101B-9397-08002B2CF9AE}" pid="93" name="DISdDocName">
    <vt:lpwstr>L603790</vt:lpwstr>
  </property>
  <property fmtid="{D5CDD505-2E9C-101B-9397-08002B2CF9AE}" pid="94" name="DISCesvisAdditionalTutors">
    <vt:lpwstr>Vecākā referente Evita Nagle, Departamenta direktore Laima Rituma</vt:lpwstr>
  </property>
  <property fmtid="{D5CDD505-2E9C-101B-9397-08002B2CF9AE}" pid="95" name="DISCesvisSigner">
    <vt:lpwstr>Satiksmes ministrs Atis Švinka</vt:lpwstr>
  </property>
  <property fmtid="{D5CDD505-2E9C-101B-9397-08002B2CF9AE}" pid="96" name="DISCesvisSafetyLevel">
    <vt:lpwstr>Vispārpieejams</vt:lpwstr>
  </property>
  <property fmtid="{D5CDD505-2E9C-101B-9397-08002B2CF9AE}" pid="97" name="DISTaskPaneUrl">
    <vt:lpwstr>https://lim.esvis.gov.lv/cs/idcplg?ClientControlled=DocMan&amp;coreContentOnly=1&amp;WebdavRequest=1&amp;IdcService=DOC_INFO&amp;dID=705524</vt:lpwstr>
  </property>
  <property fmtid="{D5CDD505-2E9C-101B-9397-08002B2CF9AE}" pid="98" name="DISCesvisTitle">
    <vt:lpwstr>Pozīcija Nr. 1 "Priekšlikums Eiropas Parlamenta un Padomes Regulai, ar ko groza Eiropas Parlamenta un Padomes Regulas (EK) Nr. 561/2006, (ES) 2018/858, (ES) 2019/2144 un (ES) 2024/1257 attiecībā uz mehānisko transportlīdzekļu tehnisko prasību un testēšanas procedūru vienkāršošanu un atceļ Padomes Direktīvu 70/157/EEK un Eiropas Parlamenta un Padomes Regulu (ES) Nr. 540/2014 (Mehānisko transportlīdzekļu tehnisko prasību un testēšanas procedūru vienkāršošana)"</vt:lpwstr>
  </property>
  <property fmtid="{D5CDD505-2E9C-101B-9397-08002B2CF9AE}" pid="99" name="DISCesvisMinistryOfMinister">
    <vt:lpwstr>Satiksmes</vt:lpwstr>
  </property>
  <property fmtid="{D5CDD505-2E9C-101B-9397-08002B2CF9AE}" pid="100" name="DISCesvisAuthor">
    <vt:lpwstr>Satiksmes ministrija</vt:lpwstr>
  </property>
  <property fmtid="{D5CDD505-2E9C-101B-9397-08002B2CF9AE}" pid="101" name="DISCesvisMainMaker">
    <vt:lpwstr>Vecākā referente Evita Nagle</vt:lpwstr>
  </property>
  <property fmtid="{D5CDD505-2E9C-101B-9397-08002B2CF9AE}" pid="102" name="DISCesvisAdditionalTutorsMail">
    <vt:lpwstr>evita.nagle@sam.gov.lv, laima.rituma@sam.gov.lv</vt:lpwstr>
  </property>
  <property fmtid="{D5CDD505-2E9C-101B-9397-08002B2CF9AE}" pid="103" name="DISCesvisAdditionalTutorsPhone">
    <vt:lpwstr>67028198</vt:lpwstr>
  </property>
  <property fmtid="{D5CDD505-2E9C-101B-9397-08002B2CF9AE}" pid="104" name="DISidcName">
    <vt:lpwstr>1020404016200</vt:lpwstr>
  </property>
  <property fmtid="{D5CDD505-2E9C-101B-9397-08002B2CF9AE}" pid="105" name="DISProperties">
    <vt:lpwstr>DISCesvisAdditionalMakers,DIScgiUrl,DISCesvisPosStage,DISdDocName,DISCesvisAdditionalTutors,DISCesvisSigner,DISCesvisSafetyLevel,DISTaskPaneUrl,DISCesvisTitle,DISCesvisMinistryOfMinister,DISCesvisAuthor,DISCesvisMainMaker,DISCesvisAdditionalTutorsMail,DISCesvisAdditionalTutorsPhone,DISidcName,DISCesvisAdditionalMakersMail,DISdUser,DISCesvisOrgApprovers,DISdID,DISCesvisForInforming,DISCesvisMainMakerOrgUnitTitle</vt:lpwstr>
  </property>
  <property fmtid="{D5CDD505-2E9C-101B-9397-08002B2CF9AE}" pid="106" name="DISCesvisAdditionalMakersMail">
    <vt:lpwstr>evita.nagle@sam.gov.lv</vt:lpwstr>
  </property>
  <property fmtid="{D5CDD505-2E9C-101B-9397-08002B2CF9AE}" pid="107" name="DISdUser">
    <vt:lpwstr>weblogic</vt:lpwstr>
  </property>
  <property fmtid="{D5CDD505-2E9C-101B-9397-08002B2CF9AE}" pid="108" name="DISCesvisOrgApprovers">
    <vt:lpwstr>Ārlietu ministrija, Ekonomikas ministrija, Iekšlietu ministrija, Finanšu ministrija, Klimata un enerģētikas ministrija</vt:lpwstr>
  </property>
  <property fmtid="{D5CDD505-2E9C-101B-9397-08002B2CF9AE}" pid="109" name="DISdID">
    <vt:lpwstr>705524</vt:lpwstr>
  </property>
  <property fmtid="{D5CDD505-2E9C-101B-9397-08002B2CF9AE}" pid="110" name="DISCesvisMainMakerOrgUnitTitle">
    <vt:lpwstr>Eiropas Savienības lietu koordinācijas departaments</vt:lpwstr>
  </property>
  <property fmtid="{D5CDD505-2E9C-101B-9397-08002B2CF9AE}" pid="111" name="DISCesvisForInforming">
    <vt:lpwstr>Departamenta direktore Laima Rituma, Nozares padomniece Zita Kanberga</vt:lpwstr>
  </property>
  <property fmtid="{D5CDD505-2E9C-101B-9397-08002B2CF9AE}" pid="112" name="DISCesvisPosStage">
    <vt:lpwstr>Sākotnējā pozīcija</vt:lpwstr>
  </property>
</Properties>
</file>