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7C1163" w14:textId="75E261F6" w:rsidR="00203164" w:rsidRDefault="00EC6D3F">
      <w:r>
        <w:t>2.PIELIKUMS</w:t>
      </w:r>
    </w:p>
    <w:p w14:paraId="4E8EDDD9" w14:textId="704EB34A" w:rsidR="00EC6D3F" w:rsidRPr="00EC6D3F" w:rsidRDefault="00EC6D3F" w:rsidP="00EC6D3F">
      <w:pPr>
        <w:pStyle w:val="ListParagraph"/>
        <w:spacing w:before="120" w:after="120" w:line="240" w:lineRule="auto"/>
        <w:ind w:left="284"/>
        <w:jc w:val="center"/>
        <w:rPr>
          <w:rFonts w:cs="Times New Roman"/>
        </w:rPr>
      </w:pPr>
      <w:bookmarkStart w:id="0" w:name="_Toc1368100911"/>
      <w:r w:rsidRPr="00EC6D3F">
        <w:rPr>
          <w:rFonts w:eastAsia="Times New Roman" w:cs="Times New Roman"/>
          <w:b/>
          <w:bCs/>
        </w:rPr>
        <w:t>Nekustamā īpašuma atsavināšanas progress</w:t>
      </w:r>
      <w:bookmarkEnd w:id="0"/>
      <w:r w:rsidRPr="00EC6D3F">
        <w:rPr>
          <w:rFonts w:eastAsia="Times New Roman" w:cs="Times New Roman"/>
          <w:b/>
          <w:bCs/>
        </w:rPr>
        <w:t xml:space="preserve"> Rail </w:t>
      </w:r>
      <w:proofErr w:type="spellStart"/>
      <w:r w:rsidRPr="00EC6D3F">
        <w:rPr>
          <w:rFonts w:eastAsia="Times New Roman" w:cs="Times New Roman"/>
          <w:b/>
          <w:bCs/>
        </w:rPr>
        <w:t>Baltica</w:t>
      </w:r>
      <w:proofErr w:type="spellEnd"/>
      <w:r w:rsidRPr="00EC6D3F">
        <w:rPr>
          <w:rFonts w:eastAsia="Times New Roman" w:cs="Times New Roman"/>
          <w:b/>
          <w:bCs/>
        </w:rPr>
        <w:t xml:space="preserve"> projektā</w:t>
      </w:r>
    </w:p>
    <w:p w14:paraId="59E19D2E" w14:textId="77777777" w:rsidR="00EC6D3F" w:rsidRPr="00EC6D3F" w:rsidRDefault="00EC6D3F" w:rsidP="00EC6D3F">
      <w:pPr>
        <w:shd w:val="clear" w:color="auto" w:fill="FFFFFF" w:themeFill="background1"/>
        <w:spacing w:before="240" w:after="150"/>
        <w:jc w:val="both"/>
        <w:rPr>
          <w:rFonts w:eastAsia="Times New Roman" w:cs="Times New Roman"/>
          <w:color w:val="000000" w:themeColor="text1"/>
        </w:rPr>
      </w:pPr>
      <w:r w:rsidRPr="00EC6D3F">
        <w:rPr>
          <w:rFonts w:eastAsia="Times New Roman" w:cs="Times New Roman"/>
          <w:color w:val="000000" w:themeColor="text1"/>
        </w:rPr>
        <w:t xml:space="preserve">Projektēšanas posmā DS1 (Rīgas posms Upeslejas-RCS-RIX-Misa) uzsākti aptuveni 15% atsavināšanas procesu (ieskaitot arī reģionālajām stacijām nepieciešamos īpašumus), galvenokārt </w:t>
      </w:r>
      <w:proofErr w:type="spellStart"/>
      <w:r w:rsidRPr="00EC6D3F">
        <w:rPr>
          <w:rFonts w:eastAsia="Times New Roman" w:cs="Times New Roman"/>
          <w:color w:val="000000" w:themeColor="text1"/>
        </w:rPr>
        <w:t>apakšposmā</w:t>
      </w:r>
      <w:proofErr w:type="spellEnd"/>
      <w:r w:rsidRPr="00EC6D3F">
        <w:rPr>
          <w:rFonts w:eastAsia="Times New Roman" w:cs="Times New Roman"/>
          <w:color w:val="000000" w:themeColor="text1"/>
        </w:rPr>
        <w:t xml:space="preserve"> DS1 DPS3 (RIX-Misa). Projektēšanas posmā DS2 Vangaži-Upeslejas-Misa (ieskaitot arī reģionālajām stacijām nepieciešamos īpašumus) uzsākti aptuveni 35% atsavināšanas procesu. Projektēšanas posmā DS3 Vangaži-Latvijas/Igaunijas robeža (ieskaitot arī reģionālajām stacijām un infrastruktūras apkalpes punktam nepieciešamos īpašumus) uzsākti aptuveni 30% procesu, kas ir aptuveni 95% no DS3 DPS1 plānotajiem atsavināšanas procesiem. Šajā projektēšanas  posmā līdz 31.12.2024. paredzams pabeigt 60–80% no uzsāktajiem procesiem.</w:t>
      </w:r>
      <w:r w:rsidRPr="00EC6D3F">
        <w:rPr>
          <w:rFonts w:eastAsia="Times New Roman" w:cs="Times New Roman"/>
          <w:b/>
          <w:bCs/>
          <w:color w:val="000000" w:themeColor="text1"/>
        </w:rPr>
        <w:t xml:space="preserve"> </w:t>
      </w:r>
      <w:r w:rsidRPr="00EC6D3F">
        <w:rPr>
          <w:rFonts w:eastAsia="Times New Roman" w:cs="Times New Roman"/>
          <w:color w:val="000000" w:themeColor="text1"/>
        </w:rPr>
        <w:t xml:space="preserve">Nav uzsākta atsavināšana DS3 DPS2, DPS3 </w:t>
      </w:r>
      <w:proofErr w:type="spellStart"/>
      <w:r w:rsidRPr="00EC6D3F">
        <w:rPr>
          <w:rFonts w:eastAsia="Times New Roman" w:cs="Times New Roman"/>
          <w:color w:val="000000" w:themeColor="text1"/>
        </w:rPr>
        <w:t>apakšposmos</w:t>
      </w:r>
      <w:proofErr w:type="spellEnd"/>
      <w:r w:rsidRPr="00EC6D3F">
        <w:rPr>
          <w:rFonts w:eastAsia="Times New Roman" w:cs="Times New Roman"/>
          <w:color w:val="000000" w:themeColor="text1"/>
        </w:rPr>
        <w:t>. Projektēšanas posmā DS4 Misa-Latvijas/Lietuvas robeža (ieskaitot arī reģionālajām stacijām un infrastruktūras apkalpes punktam nepieciešamos īpašumus) uzsākti 100% atsavināšanas procesu, no tiem pabeigti aptuveni 75%, līdz 31.12.2024. plānots pabeigt aptuveni 98%.</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20" w:firstRow="1" w:lastRow="0" w:firstColumn="0" w:lastColumn="0" w:noHBand="1" w:noVBand="1"/>
      </w:tblPr>
      <w:tblGrid>
        <w:gridCol w:w="1185"/>
        <w:gridCol w:w="1245"/>
        <w:gridCol w:w="1350"/>
        <w:gridCol w:w="1425"/>
        <w:gridCol w:w="1545"/>
        <w:gridCol w:w="2685"/>
      </w:tblGrid>
      <w:tr w:rsidR="00EC6D3F" w:rsidRPr="00EC6D3F" w14:paraId="266CABE7" w14:textId="77777777" w:rsidTr="00DA0137">
        <w:trPr>
          <w:trHeight w:val="735"/>
        </w:trPr>
        <w:tc>
          <w:tcPr>
            <w:tcW w:w="1185" w:type="dxa"/>
            <w:tcMar>
              <w:left w:w="105" w:type="dxa"/>
              <w:right w:w="105" w:type="dxa"/>
            </w:tcMar>
            <w:vAlign w:val="center"/>
          </w:tcPr>
          <w:p w14:paraId="3F57D543"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Posms</w:t>
            </w:r>
          </w:p>
        </w:tc>
        <w:tc>
          <w:tcPr>
            <w:tcW w:w="1245" w:type="dxa"/>
            <w:tcMar>
              <w:left w:w="105" w:type="dxa"/>
              <w:right w:w="105" w:type="dxa"/>
            </w:tcMar>
            <w:vAlign w:val="center"/>
          </w:tcPr>
          <w:p w14:paraId="279D463B"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 xml:space="preserve">Skartās zemes vienības, </w:t>
            </w:r>
            <w:r w:rsidRPr="00EC6D3F">
              <w:rPr>
                <w:rFonts w:eastAsia="Times New Roman" w:cs="Times New Roman"/>
                <w:b/>
                <w:bCs/>
                <w:i/>
                <w:iCs/>
                <w:sz w:val="22"/>
              </w:rPr>
              <w:t>skaits*</w:t>
            </w:r>
          </w:p>
        </w:tc>
        <w:tc>
          <w:tcPr>
            <w:tcW w:w="1350" w:type="dxa"/>
            <w:tcMar>
              <w:left w:w="105" w:type="dxa"/>
              <w:right w:w="105" w:type="dxa"/>
            </w:tcMar>
            <w:vAlign w:val="center"/>
          </w:tcPr>
          <w:p w14:paraId="579C0592"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 xml:space="preserve">T. sk. Zeme zem publiskām upēm, </w:t>
            </w:r>
            <w:r w:rsidRPr="00EC6D3F">
              <w:rPr>
                <w:rFonts w:eastAsia="Times New Roman" w:cs="Times New Roman"/>
                <w:b/>
                <w:bCs/>
                <w:i/>
                <w:iCs/>
                <w:sz w:val="22"/>
              </w:rPr>
              <w:t>skaits</w:t>
            </w:r>
          </w:p>
        </w:tc>
        <w:tc>
          <w:tcPr>
            <w:tcW w:w="1425" w:type="dxa"/>
            <w:tcMar>
              <w:left w:w="105" w:type="dxa"/>
              <w:right w:w="105" w:type="dxa"/>
            </w:tcMar>
            <w:vAlign w:val="center"/>
          </w:tcPr>
          <w:p w14:paraId="178E9E77"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 xml:space="preserve">Uzsākti procesi, </w:t>
            </w:r>
            <w:r w:rsidRPr="00EC6D3F">
              <w:rPr>
                <w:rFonts w:eastAsia="Times New Roman" w:cs="Times New Roman"/>
                <w:b/>
                <w:bCs/>
                <w:i/>
                <w:iCs/>
                <w:sz w:val="22"/>
              </w:rPr>
              <w:t>zemes vienību un būvju skaits</w:t>
            </w:r>
          </w:p>
        </w:tc>
        <w:tc>
          <w:tcPr>
            <w:tcW w:w="1545" w:type="dxa"/>
            <w:tcMar>
              <w:left w:w="105" w:type="dxa"/>
              <w:right w:w="105" w:type="dxa"/>
            </w:tcMar>
            <w:vAlign w:val="center"/>
          </w:tcPr>
          <w:p w14:paraId="5561E856"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Pabeigti procesi</w:t>
            </w:r>
            <w:r w:rsidRPr="00EC6D3F">
              <w:rPr>
                <w:sz w:val="22"/>
              </w:rPr>
              <w:br/>
            </w:r>
            <w:r w:rsidRPr="00EC6D3F">
              <w:rPr>
                <w:rFonts w:eastAsia="Times New Roman" w:cs="Times New Roman"/>
                <w:b/>
                <w:bCs/>
                <w:sz w:val="22"/>
              </w:rPr>
              <w:t>(no uzsāktajiem),</w:t>
            </w:r>
          </w:p>
          <w:p w14:paraId="281B126C"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i/>
                <w:iCs/>
                <w:sz w:val="22"/>
              </w:rPr>
              <w:t>zemes vienību un būvju skaits</w:t>
            </w:r>
          </w:p>
        </w:tc>
        <w:tc>
          <w:tcPr>
            <w:tcW w:w="2685" w:type="dxa"/>
            <w:tcMar>
              <w:left w:w="105" w:type="dxa"/>
              <w:right w:w="105" w:type="dxa"/>
            </w:tcMar>
            <w:vAlign w:val="center"/>
          </w:tcPr>
          <w:p w14:paraId="319E7148"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Finansējuma avots</w:t>
            </w:r>
          </w:p>
        </w:tc>
      </w:tr>
      <w:tr w:rsidR="00EC6D3F" w:rsidRPr="00EC6D3F" w14:paraId="3049ECA3" w14:textId="77777777" w:rsidTr="00DA0137">
        <w:trPr>
          <w:trHeight w:val="615"/>
        </w:trPr>
        <w:tc>
          <w:tcPr>
            <w:tcW w:w="1185" w:type="dxa"/>
            <w:tcMar>
              <w:left w:w="105" w:type="dxa"/>
              <w:right w:w="105" w:type="dxa"/>
            </w:tcMar>
            <w:vAlign w:val="center"/>
          </w:tcPr>
          <w:p w14:paraId="320B811B"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DS1, REGIO</w:t>
            </w:r>
          </w:p>
        </w:tc>
        <w:tc>
          <w:tcPr>
            <w:tcW w:w="1245" w:type="dxa"/>
            <w:tcMar>
              <w:left w:w="105" w:type="dxa"/>
              <w:right w:w="105" w:type="dxa"/>
            </w:tcMar>
            <w:vAlign w:val="center"/>
          </w:tcPr>
          <w:p w14:paraId="7E64A785"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733</w:t>
            </w:r>
          </w:p>
        </w:tc>
        <w:tc>
          <w:tcPr>
            <w:tcW w:w="1350" w:type="dxa"/>
            <w:tcMar>
              <w:left w:w="105" w:type="dxa"/>
              <w:right w:w="105" w:type="dxa"/>
            </w:tcMar>
            <w:vAlign w:val="center"/>
          </w:tcPr>
          <w:p w14:paraId="767B9ACA"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0</w:t>
            </w:r>
          </w:p>
        </w:tc>
        <w:tc>
          <w:tcPr>
            <w:tcW w:w="1425" w:type="dxa"/>
            <w:tcMar>
              <w:left w:w="105" w:type="dxa"/>
              <w:right w:w="105" w:type="dxa"/>
            </w:tcMar>
            <w:vAlign w:val="center"/>
          </w:tcPr>
          <w:p w14:paraId="7EEE32C9"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100</w:t>
            </w:r>
          </w:p>
          <w:p w14:paraId="131F4F85"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(81+19)</w:t>
            </w:r>
          </w:p>
        </w:tc>
        <w:tc>
          <w:tcPr>
            <w:tcW w:w="1545" w:type="dxa"/>
            <w:tcMar>
              <w:left w:w="105" w:type="dxa"/>
              <w:right w:w="105" w:type="dxa"/>
            </w:tcMar>
            <w:vAlign w:val="center"/>
          </w:tcPr>
          <w:p w14:paraId="333A5697"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23</w:t>
            </w:r>
          </w:p>
        </w:tc>
        <w:tc>
          <w:tcPr>
            <w:tcW w:w="2685" w:type="dxa"/>
            <w:tcMar>
              <w:left w:w="105" w:type="dxa"/>
              <w:right w:w="105" w:type="dxa"/>
            </w:tcMar>
            <w:vAlign w:val="center"/>
          </w:tcPr>
          <w:p w14:paraId="6018BE50"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CEF1, CEF8 (RIX-Misa), NAV finansējuma DPS1, DPS2</w:t>
            </w:r>
          </w:p>
        </w:tc>
      </w:tr>
      <w:tr w:rsidR="00EC6D3F" w:rsidRPr="00EC6D3F" w14:paraId="6067FB1D" w14:textId="77777777" w:rsidTr="00DA0137">
        <w:trPr>
          <w:trHeight w:val="765"/>
        </w:trPr>
        <w:tc>
          <w:tcPr>
            <w:tcW w:w="1185" w:type="dxa"/>
            <w:tcMar>
              <w:left w:w="105" w:type="dxa"/>
              <w:right w:w="105" w:type="dxa"/>
            </w:tcMar>
            <w:vAlign w:val="center"/>
          </w:tcPr>
          <w:p w14:paraId="1F08006F"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DS2, REGIO</w:t>
            </w:r>
          </w:p>
        </w:tc>
        <w:tc>
          <w:tcPr>
            <w:tcW w:w="1245" w:type="dxa"/>
            <w:tcMar>
              <w:left w:w="105" w:type="dxa"/>
              <w:right w:w="105" w:type="dxa"/>
            </w:tcMar>
            <w:vAlign w:val="center"/>
          </w:tcPr>
          <w:p w14:paraId="1105664A"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378</w:t>
            </w:r>
          </w:p>
        </w:tc>
        <w:tc>
          <w:tcPr>
            <w:tcW w:w="1350" w:type="dxa"/>
            <w:tcMar>
              <w:left w:w="105" w:type="dxa"/>
              <w:right w:w="105" w:type="dxa"/>
            </w:tcMar>
            <w:vAlign w:val="center"/>
          </w:tcPr>
          <w:p w14:paraId="1731CEB2"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3</w:t>
            </w:r>
          </w:p>
        </w:tc>
        <w:tc>
          <w:tcPr>
            <w:tcW w:w="1425" w:type="dxa"/>
            <w:tcMar>
              <w:left w:w="105" w:type="dxa"/>
              <w:right w:w="105" w:type="dxa"/>
            </w:tcMar>
            <w:vAlign w:val="center"/>
          </w:tcPr>
          <w:p w14:paraId="6CD343C6"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228</w:t>
            </w:r>
          </w:p>
          <w:p w14:paraId="7FDBFD36"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(184+44)</w:t>
            </w:r>
          </w:p>
        </w:tc>
        <w:tc>
          <w:tcPr>
            <w:tcW w:w="1545" w:type="dxa"/>
            <w:tcMar>
              <w:left w:w="105" w:type="dxa"/>
              <w:right w:w="105" w:type="dxa"/>
            </w:tcMar>
            <w:vAlign w:val="center"/>
          </w:tcPr>
          <w:p w14:paraId="358DEB3E"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10</w:t>
            </w:r>
          </w:p>
        </w:tc>
        <w:tc>
          <w:tcPr>
            <w:tcW w:w="2685" w:type="dxa"/>
            <w:tcMar>
              <w:left w:w="105" w:type="dxa"/>
              <w:right w:w="105" w:type="dxa"/>
            </w:tcMar>
            <w:vAlign w:val="center"/>
          </w:tcPr>
          <w:p w14:paraId="20866F49"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CEF1, CEF6S, CEF6W, CEF8 (RIX-Misa), CEF9 (DS2 DPS3, DPS4), NAV finansējuma DPS1, DPS2</w:t>
            </w:r>
          </w:p>
        </w:tc>
      </w:tr>
      <w:tr w:rsidR="00EC6D3F" w:rsidRPr="00EC6D3F" w14:paraId="4370A1AD" w14:textId="77777777" w:rsidTr="00DA0137">
        <w:trPr>
          <w:trHeight w:val="705"/>
        </w:trPr>
        <w:tc>
          <w:tcPr>
            <w:tcW w:w="1185" w:type="dxa"/>
            <w:tcMar>
              <w:left w:w="105" w:type="dxa"/>
              <w:right w:w="105" w:type="dxa"/>
            </w:tcMar>
            <w:vAlign w:val="center"/>
          </w:tcPr>
          <w:p w14:paraId="10197F33"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DS3, IMF, REGIO</w:t>
            </w:r>
          </w:p>
        </w:tc>
        <w:tc>
          <w:tcPr>
            <w:tcW w:w="1245" w:type="dxa"/>
            <w:tcMar>
              <w:left w:w="105" w:type="dxa"/>
              <w:right w:w="105" w:type="dxa"/>
            </w:tcMar>
            <w:vAlign w:val="center"/>
          </w:tcPr>
          <w:p w14:paraId="3D317E13"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707</w:t>
            </w:r>
          </w:p>
        </w:tc>
        <w:tc>
          <w:tcPr>
            <w:tcW w:w="1350" w:type="dxa"/>
            <w:tcMar>
              <w:left w:w="105" w:type="dxa"/>
              <w:right w:w="105" w:type="dxa"/>
            </w:tcMar>
            <w:vAlign w:val="center"/>
          </w:tcPr>
          <w:p w14:paraId="2EBE81BC"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1</w:t>
            </w:r>
          </w:p>
        </w:tc>
        <w:tc>
          <w:tcPr>
            <w:tcW w:w="1425" w:type="dxa"/>
            <w:tcMar>
              <w:left w:w="105" w:type="dxa"/>
              <w:right w:w="105" w:type="dxa"/>
            </w:tcMar>
            <w:vAlign w:val="center"/>
          </w:tcPr>
          <w:p w14:paraId="5D83D32D"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212</w:t>
            </w:r>
          </w:p>
          <w:p w14:paraId="254942EF"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(205+7)</w:t>
            </w:r>
          </w:p>
        </w:tc>
        <w:tc>
          <w:tcPr>
            <w:tcW w:w="1545" w:type="dxa"/>
            <w:tcMar>
              <w:left w:w="105" w:type="dxa"/>
              <w:right w:w="105" w:type="dxa"/>
            </w:tcMar>
            <w:vAlign w:val="center"/>
          </w:tcPr>
          <w:p w14:paraId="06999FA6"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0</w:t>
            </w:r>
          </w:p>
        </w:tc>
        <w:tc>
          <w:tcPr>
            <w:tcW w:w="2685" w:type="dxa"/>
            <w:tcMar>
              <w:left w:w="105" w:type="dxa"/>
              <w:right w:w="105" w:type="dxa"/>
            </w:tcMar>
            <w:vAlign w:val="center"/>
          </w:tcPr>
          <w:p w14:paraId="4E8E4818"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CEF1, CEF6S, CEF6W, NAV finansējuma DPS2, DPS3, atlikušajiem DPS1</w:t>
            </w:r>
          </w:p>
        </w:tc>
      </w:tr>
      <w:tr w:rsidR="00EC6D3F" w:rsidRPr="00EC6D3F" w14:paraId="69A8789D" w14:textId="77777777" w:rsidTr="00DA0137">
        <w:trPr>
          <w:trHeight w:val="405"/>
        </w:trPr>
        <w:tc>
          <w:tcPr>
            <w:tcW w:w="1185" w:type="dxa"/>
            <w:tcMar>
              <w:left w:w="105" w:type="dxa"/>
              <w:right w:w="105" w:type="dxa"/>
            </w:tcMar>
            <w:vAlign w:val="center"/>
          </w:tcPr>
          <w:p w14:paraId="52F74556"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DS4, IMF, REGIO</w:t>
            </w:r>
          </w:p>
        </w:tc>
        <w:tc>
          <w:tcPr>
            <w:tcW w:w="1245" w:type="dxa"/>
            <w:tcMar>
              <w:left w:w="105" w:type="dxa"/>
              <w:right w:w="105" w:type="dxa"/>
            </w:tcMar>
            <w:vAlign w:val="center"/>
          </w:tcPr>
          <w:p w14:paraId="732BC5C3"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260</w:t>
            </w:r>
          </w:p>
        </w:tc>
        <w:tc>
          <w:tcPr>
            <w:tcW w:w="1350" w:type="dxa"/>
            <w:tcMar>
              <w:left w:w="105" w:type="dxa"/>
              <w:right w:w="105" w:type="dxa"/>
            </w:tcMar>
            <w:vAlign w:val="center"/>
          </w:tcPr>
          <w:p w14:paraId="714EBBA7"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4</w:t>
            </w:r>
          </w:p>
        </w:tc>
        <w:tc>
          <w:tcPr>
            <w:tcW w:w="1425" w:type="dxa"/>
            <w:tcMar>
              <w:left w:w="105" w:type="dxa"/>
              <w:right w:w="105" w:type="dxa"/>
            </w:tcMar>
            <w:vAlign w:val="center"/>
          </w:tcPr>
          <w:p w14:paraId="7481F292"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272</w:t>
            </w:r>
          </w:p>
          <w:p w14:paraId="3843C373"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(256+16)</w:t>
            </w:r>
          </w:p>
        </w:tc>
        <w:tc>
          <w:tcPr>
            <w:tcW w:w="1545" w:type="dxa"/>
            <w:tcMar>
              <w:left w:w="105" w:type="dxa"/>
              <w:right w:w="105" w:type="dxa"/>
            </w:tcMar>
            <w:vAlign w:val="center"/>
          </w:tcPr>
          <w:p w14:paraId="1AADE8B9"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201</w:t>
            </w:r>
          </w:p>
        </w:tc>
        <w:tc>
          <w:tcPr>
            <w:tcW w:w="2685" w:type="dxa"/>
            <w:tcMar>
              <w:left w:w="105" w:type="dxa"/>
              <w:right w:w="105" w:type="dxa"/>
            </w:tcMar>
            <w:vAlign w:val="center"/>
          </w:tcPr>
          <w:p w14:paraId="1CC5C1CC"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CEF1, CEF6S, CEF6W</w:t>
            </w:r>
          </w:p>
        </w:tc>
      </w:tr>
      <w:tr w:rsidR="00EC6D3F" w:rsidRPr="00EC6D3F" w14:paraId="15A20120" w14:textId="77777777" w:rsidTr="00DA0137">
        <w:trPr>
          <w:trHeight w:val="435"/>
        </w:trPr>
        <w:tc>
          <w:tcPr>
            <w:tcW w:w="1185" w:type="dxa"/>
            <w:tcMar>
              <w:left w:w="105" w:type="dxa"/>
              <w:right w:w="105" w:type="dxa"/>
            </w:tcMar>
            <w:vAlign w:val="center"/>
          </w:tcPr>
          <w:p w14:paraId="7F280024"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RIX</w:t>
            </w:r>
          </w:p>
        </w:tc>
        <w:tc>
          <w:tcPr>
            <w:tcW w:w="1245" w:type="dxa"/>
            <w:tcMar>
              <w:left w:w="105" w:type="dxa"/>
              <w:right w:w="105" w:type="dxa"/>
            </w:tcMar>
            <w:vAlign w:val="center"/>
          </w:tcPr>
          <w:p w14:paraId="3C9A4E81"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87</w:t>
            </w:r>
          </w:p>
        </w:tc>
        <w:tc>
          <w:tcPr>
            <w:tcW w:w="1350" w:type="dxa"/>
            <w:tcMar>
              <w:left w:w="105" w:type="dxa"/>
              <w:right w:w="105" w:type="dxa"/>
            </w:tcMar>
            <w:vAlign w:val="center"/>
          </w:tcPr>
          <w:p w14:paraId="06C27439"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0</w:t>
            </w:r>
          </w:p>
        </w:tc>
        <w:tc>
          <w:tcPr>
            <w:tcW w:w="1425" w:type="dxa"/>
            <w:tcMar>
              <w:left w:w="105" w:type="dxa"/>
              <w:right w:w="105" w:type="dxa"/>
            </w:tcMar>
            <w:vAlign w:val="center"/>
          </w:tcPr>
          <w:p w14:paraId="6CF15B83"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129</w:t>
            </w:r>
          </w:p>
          <w:p w14:paraId="0250A243"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(87+42)</w:t>
            </w:r>
          </w:p>
        </w:tc>
        <w:tc>
          <w:tcPr>
            <w:tcW w:w="1545" w:type="dxa"/>
            <w:tcMar>
              <w:left w:w="105" w:type="dxa"/>
              <w:right w:w="105" w:type="dxa"/>
            </w:tcMar>
            <w:vAlign w:val="center"/>
          </w:tcPr>
          <w:p w14:paraId="6A6D8694"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123</w:t>
            </w:r>
          </w:p>
        </w:tc>
        <w:tc>
          <w:tcPr>
            <w:tcW w:w="2685" w:type="dxa"/>
            <w:tcMar>
              <w:left w:w="105" w:type="dxa"/>
              <w:right w:w="105" w:type="dxa"/>
            </w:tcMar>
            <w:vAlign w:val="center"/>
          </w:tcPr>
          <w:p w14:paraId="06D0DC59"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CEF1</w:t>
            </w:r>
          </w:p>
        </w:tc>
      </w:tr>
      <w:tr w:rsidR="00EC6D3F" w:rsidRPr="00EC6D3F" w14:paraId="07F1D55E" w14:textId="77777777" w:rsidTr="00DA0137">
        <w:trPr>
          <w:trHeight w:val="435"/>
        </w:trPr>
        <w:tc>
          <w:tcPr>
            <w:tcW w:w="1185" w:type="dxa"/>
            <w:tcMar>
              <w:left w:w="105" w:type="dxa"/>
              <w:right w:w="105" w:type="dxa"/>
            </w:tcMar>
            <w:vAlign w:val="center"/>
          </w:tcPr>
          <w:p w14:paraId="0311E459"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RCS</w:t>
            </w:r>
          </w:p>
        </w:tc>
        <w:tc>
          <w:tcPr>
            <w:tcW w:w="1245" w:type="dxa"/>
            <w:tcMar>
              <w:left w:w="105" w:type="dxa"/>
              <w:right w:w="105" w:type="dxa"/>
            </w:tcMar>
            <w:vAlign w:val="center"/>
          </w:tcPr>
          <w:p w14:paraId="6071D4E4"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39</w:t>
            </w:r>
          </w:p>
        </w:tc>
        <w:tc>
          <w:tcPr>
            <w:tcW w:w="1350" w:type="dxa"/>
            <w:tcMar>
              <w:left w:w="105" w:type="dxa"/>
              <w:right w:w="105" w:type="dxa"/>
            </w:tcMar>
            <w:vAlign w:val="center"/>
          </w:tcPr>
          <w:p w14:paraId="0A010F44"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2</w:t>
            </w:r>
          </w:p>
        </w:tc>
        <w:tc>
          <w:tcPr>
            <w:tcW w:w="1425" w:type="dxa"/>
            <w:tcMar>
              <w:left w:w="105" w:type="dxa"/>
              <w:right w:w="105" w:type="dxa"/>
            </w:tcMar>
            <w:vAlign w:val="center"/>
          </w:tcPr>
          <w:p w14:paraId="65B3656A"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85</w:t>
            </w:r>
          </w:p>
          <w:p w14:paraId="2E4678D0"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(37+48)</w:t>
            </w:r>
          </w:p>
        </w:tc>
        <w:tc>
          <w:tcPr>
            <w:tcW w:w="1545" w:type="dxa"/>
            <w:tcMar>
              <w:left w:w="105" w:type="dxa"/>
              <w:right w:w="105" w:type="dxa"/>
            </w:tcMar>
            <w:vAlign w:val="center"/>
          </w:tcPr>
          <w:p w14:paraId="60958D37"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85</w:t>
            </w:r>
          </w:p>
        </w:tc>
        <w:tc>
          <w:tcPr>
            <w:tcW w:w="2685" w:type="dxa"/>
            <w:tcMar>
              <w:left w:w="105" w:type="dxa"/>
              <w:right w:w="105" w:type="dxa"/>
            </w:tcMar>
            <w:vAlign w:val="center"/>
          </w:tcPr>
          <w:p w14:paraId="64576606"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CEF1</w:t>
            </w:r>
          </w:p>
        </w:tc>
      </w:tr>
      <w:tr w:rsidR="00EC6D3F" w:rsidRPr="00EC6D3F" w14:paraId="013E85C3" w14:textId="77777777" w:rsidTr="00DA0137">
        <w:trPr>
          <w:trHeight w:val="435"/>
        </w:trPr>
        <w:tc>
          <w:tcPr>
            <w:tcW w:w="1185" w:type="dxa"/>
            <w:tcMar>
              <w:left w:w="105" w:type="dxa"/>
              <w:right w:w="105" w:type="dxa"/>
            </w:tcMar>
            <w:vAlign w:val="center"/>
          </w:tcPr>
          <w:p w14:paraId="63931AD0"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rPr>
              <w:t>SILC</w:t>
            </w:r>
          </w:p>
        </w:tc>
        <w:tc>
          <w:tcPr>
            <w:tcW w:w="1245" w:type="dxa"/>
            <w:tcMar>
              <w:left w:w="105" w:type="dxa"/>
              <w:right w:w="105" w:type="dxa"/>
            </w:tcMar>
            <w:vAlign w:val="center"/>
          </w:tcPr>
          <w:p w14:paraId="1D788916"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26</w:t>
            </w:r>
          </w:p>
        </w:tc>
        <w:tc>
          <w:tcPr>
            <w:tcW w:w="1350" w:type="dxa"/>
            <w:tcMar>
              <w:left w:w="105" w:type="dxa"/>
              <w:right w:w="105" w:type="dxa"/>
            </w:tcMar>
            <w:vAlign w:val="center"/>
          </w:tcPr>
          <w:p w14:paraId="342FDD92"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0</w:t>
            </w:r>
          </w:p>
        </w:tc>
        <w:tc>
          <w:tcPr>
            <w:tcW w:w="1425" w:type="dxa"/>
            <w:tcMar>
              <w:left w:w="105" w:type="dxa"/>
              <w:right w:w="105" w:type="dxa"/>
            </w:tcMar>
            <w:vAlign w:val="center"/>
          </w:tcPr>
          <w:p w14:paraId="2B53F5F1"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1</w:t>
            </w:r>
          </w:p>
          <w:p w14:paraId="4F0EF877"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(1+0)</w:t>
            </w:r>
          </w:p>
        </w:tc>
        <w:tc>
          <w:tcPr>
            <w:tcW w:w="1545" w:type="dxa"/>
            <w:tcMar>
              <w:left w:w="105" w:type="dxa"/>
              <w:right w:w="105" w:type="dxa"/>
            </w:tcMar>
            <w:vAlign w:val="center"/>
          </w:tcPr>
          <w:p w14:paraId="0C5EC5E0"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0</w:t>
            </w:r>
          </w:p>
        </w:tc>
        <w:tc>
          <w:tcPr>
            <w:tcW w:w="2685" w:type="dxa"/>
            <w:tcMar>
              <w:left w:w="105" w:type="dxa"/>
              <w:right w:w="105" w:type="dxa"/>
            </w:tcMar>
            <w:vAlign w:val="center"/>
          </w:tcPr>
          <w:p w14:paraId="2AD9D148"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sz w:val="22"/>
                <w:lang w:val="en-GB"/>
              </w:rPr>
              <w:t xml:space="preserve">CEF1 (1), NAV </w:t>
            </w:r>
            <w:proofErr w:type="spellStart"/>
            <w:r w:rsidRPr="00EC6D3F">
              <w:rPr>
                <w:rFonts w:eastAsia="Times New Roman" w:cs="Times New Roman"/>
                <w:sz w:val="22"/>
                <w:lang w:val="en-GB"/>
              </w:rPr>
              <w:t>finansējuma</w:t>
            </w:r>
            <w:proofErr w:type="spellEnd"/>
          </w:p>
        </w:tc>
      </w:tr>
      <w:tr w:rsidR="00EC6D3F" w:rsidRPr="00EC6D3F" w14:paraId="14450830" w14:textId="77777777" w:rsidTr="00DA0137">
        <w:trPr>
          <w:trHeight w:val="360"/>
        </w:trPr>
        <w:tc>
          <w:tcPr>
            <w:tcW w:w="1185" w:type="dxa"/>
            <w:tcMar>
              <w:left w:w="105" w:type="dxa"/>
              <w:right w:w="105" w:type="dxa"/>
            </w:tcMar>
            <w:vAlign w:val="center"/>
          </w:tcPr>
          <w:p w14:paraId="569E2BB5"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Kopā</w:t>
            </w:r>
          </w:p>
        </w:tc>
        <w:tc>
          <w:tcPr>
            <w:tcW w:w="1245" w:type="dxa"/>
            <w:tcMar>
              <w:left w:w="105" w:type="dxa"/>
              <w:right w:w="105" w:type="dxa"/>
            </w:tcMar>
            <w:vAlign w:val="center"/>
          </w:tcPr>
          <w:p w14:paraId="0CFF9C7E"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2230</w:t>
            </w:r>
          </w:p>
        </w:tc>
        <w:tc>
          <w:tcPr>
            <w:tcW w:w="1350" w:type="dxa"/>
            <w:tcMar>
              <w:left w:w="105" w:type="dxa"/>
              <w:right w:w="105" w:type="dxa"/>
            </w:tcMar>
            <w:vAlign w:val="center"/>
          </w:tcPr>
          <w:p w14:paraId="452355A1"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10</w:t>
            </w:r>
          </w:p>
        </w:tc>
        <w:tc>
          <w:tcPr>
            <w:tcW w:w="1425" w:type="dxa"/>
            <w:tcMar>
              <w:left w:w="105" w:type="dxa"/>
              <w:right w:w="105" w:type="dxa"/>
            </w:tcMar>
            <w:vAlign w:val="center"/>
          </w:tcPr>
          <w:p w14:paraId="7798E2BE"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1027</w:t>
            </w:r>
          </w:p>
        </w:tc>
        <w:tc>
          <w:tcPr>
            <w:tcW w:w="1545" w:type="dxa"/>
            <w:tcMar>
              <w:left w:w="105" w:type="dxa"/>
              <w:right w:w="105" w:type="dxa"/>
            </w:tcMar>
            <w:vAlign w:val="center"/>
          </w:tcPr>
          <w:p w14:paraId="3F3F8A62" w14:textId="77777777" w:rsidR="00EC6D3F" w:rsidRPr="00EC6D3F" w:rsidRDefault="00EC6D3F" w:rsidP="00EC6D3F">
            <w:pPr>
              <w:spacing w:line="276" w:lineRule="auto"/>
              <w:jc w:val="center"/>
              <w:rPr>
                <w:rFonts w:eastAsia="Times New Roman" w:cs="Times New Roman"/>
                <w:sz w:val="22"/>
              </w:rPr>
            </w:pPr>
            <w:r w:rsidRPr="00EC6D3F">
              <w:rPr>
                <w:rFonts w:eastAsia="Times New Roman" w:cs="Times New Roman"/>
                <w:b/>
                <w:bCs/>
                <w:sz w:val="22"/>
              </w:rPr>
              <w:t>442</w:t>
            </w:r>
          </w:p>
        </w:tc>
        <w:tc>
          <w:tcPr>
            <w:tcW w:w="2685" w:type="dxa"/>
            <w:tcMar>
              <w:left w:w="105" w:type="dxa"/>
              <w:right w:w="105" w:type="dxa"/>
            </w:tcMar>
            <w:vAlign w:val="center"/>
          </w:tcPr>
          <w:p w14:paraId="03ACB915" w14:textId="77777777" w:rsidR="00EC6D3F" w:rsidRPr="00EC6D3F" w:rsidRDefault="00EC6D3F" w:rsidP="00EC6D3F">
            <w:pPr>
              <w:spacing w:line="276" w:lineRule="auto"/>
              <w:jc w:val="center"/>
              <w:rPr>
                <w:rFonts w:eastAsia="Times New Roman" w:cs="Times New Roman"/>
                <w:sz w:val="22"/>
              </w:rPr>
            </w:pPr>
          </w:p>
        </w:tc>
      </w:tr>
    </w:tbl>
    <w:p w14:paraId="3757DDB3" w14:textId="77777777" w:rsidR="00EC6D3F" w:rsidRPr="00EC6D3F" w:rsidRDefault="00EC6D3F" w:rsidP="00EC6D3F">
      <w:pPr>
        <w:shd w:val="clear" w:color="auto" w:fill="FFFFFF" w:themeFill="background1"/>
        <w:spacing w:before="120" w:after="150"/>
        <w:jc w:val="both"/>
        <w:rPr>
          <w:rFonts w:eastAsia="Times New Roman" w:cs="Times New Roman"/>
          <w:color w:val="000000" w:themeColor="text1"/>
        </w:rPr>
      </w:pPr>
      <w:r w:rsidRPr="00EC6D3F">
        <w:rPr>
          <w:rFonts w:eastAsia="Times New Roman" w:cs="Times New Roman"/>
          <w:i/>
          <w:iCs/>
          <w:color w:val="000000" w:themeColor="text1"/>
        </w:rPr>
        <w:t>Dati aktualizēti 05.09.2024.</w:t>
      </w:r>
    </w:p>
    <w:p w14:paraId="40E0E1B6" w14:textId="77777777" w:rsidR="00EC6D3F" w:rsidRPr="00EC6D3F" w:rsidRDefault="00EC6D3F" w:rsidP="00EC6D3F">
      <w:pPr>
        <w:shd w:val="clear" w:color="auto" w:fill="FFFFFF" w:themeFill="background1"/>
        <w:spacing w:before="240" w:after="150"/>
        <w:jc w:val="both"/>
        <w:rPr>
          <w:rFonts w:eastAsia="Times New Roman" w:cs="Times New Roman"/>
          <w:color w:val="000000" w:themeColor="text1"/>
        </w:rPr>
      </w:pPr>
      <w:r w:rsidRPr="00EC6D3F">
        <w:rPr>
          <w:rFonts w:eastAsia="Times New Roman" w:cs="Times New Roman"/>
          <w:color w:val="000000" w:themeColor="text1"/>
        </w:rPr>
        <w:lastRenderedPageBreak/>
        <w:t>Nekustamā īpašuma atsavināšana tiek uzsākta tikai tad, kad būvprojekta gatavības pakāpe ļauj definēt projektētās infrastruktūras ietekmi uz konkrēto nekustamo īpašumu. Atsavināšanas procesu neuzsāk, ja tam nav pieejams finansējums. Nekustamie īpašumi tiek iegūti valsts īpašumā un Satiksmes ministrijas valdījumā, ievērojot kārtību, kāda paredzēta likumā, kas regulē attiecīgā nekustamā īpašuma iegūšanu valsts īpašumā.</w:t>
      </w:r>
    </w:p>
    <w:p w14:paraId="0E3FDA1D" w14:textId="77777777" w:rsidR="00EC6D3F" w:rsidRPr="00EC6D3F" w:rsidRDefault="00EC6D3F" w:rsidP="00EC6D3F">
      <w:pPr>
        <w:shd w:val="clear" w:color="auto" w:fill="FFFFFF" w:themeFill="background1"/>
        <w:spacing w:after="150"/>
        <w:jc w:val="both"/>
        <w:rPr>
          <w:rFonts w:eastAsia="Times New Roman" w:cs="Times New Roman"/>
          <w:color w:val="000000" w:themeColor="text1"/>
        </w:rPr>
      </w:pPr>
      <w:r w:rsidRPr="00EC6D3F">
        <w:rPr>
          <w:rFonts w:eastAsia="Times New Roman" w:cs="Times New Roman"/>
          <w:color w:val="000000" w:themeColor="text1"/>
        </w:rPr>
        <w:t>Privātpersonām (fiziskām personām un privāto tiesību juridiskām personām, tostarp valsts un pašvaldību kapitālsabiedrībām) piederošais nekustamais īpašums tiek atsavināts Sabiedrības vajadzībām nepieciešamā nekustamā īpašuma atsavināšanas likumā paredzētajā kārtībā. Labprātīgs atsavināšanas process, kas ietver nekustamā īpašuma sadali, atsavināmās daļas vērtēšanu, atlīdzības saskaņošanu ar īpašnieku un tās apstiprināšanu, kā arī līguma slēgšanu un nostiprinājuma izdarīšanu zemesgrāmatā, katram īpašumam īstenojams aptuveni viena gada laikā. Ja netiek panākta vienošanās par labprātīgu (līgumisku) atsavināšanu pirkuma vai maiņas ceļa, tiek īstenota piespiedu atsavināšana, Saeimai pieņemot atsevišķu likumu par konkrētā īpašuma atsavināšanu. Piespiedu atsavināšana tiek uzsākta, ja īstenotas visas likumā paredzētās darbības, kas nepieciešamas, lai noslēgtu līgumu par labprātīgu atsavināšanu, bet tomēr nav panākta vienošanās ar īpašnieku.</w:t>
      </w:r>
    </w:p>
    <w:p w14:paraId="429F3997" w14:textId="77777777" w:rsidR="00EC6D3F" w:rsidRPr="00EC6D3F" w:rsidRDefault="00EC6D3F" w:rsidP="00EC6D3F">
      <w:pPr>
        <w:shd w:val="clear" w:color="auto" w:fill="FFFFFF" w:themeFill="background1"/>
        <w:spacing w:after="150"/>
        <w:jc w:val="both"/>
        <w:rPr>
          <w:rFonts w:eastAsia="Times New Roman" w:cs="Times New Roman"/>
          <w:color w:val="000000" w:themeColor="text1"/>
        </w:rPr>
      </w:pPr>
      <w:r w:rsidRPr="00EC6D3F">
        <w:rPr>
          <w:rFonts w:eastAsia="Times New Roman" w:cs="Times New Roman"/>
          <w:color w:val="000000" w:themeColor="text1"/>
        </w:rPr>
        <w:t>Publiskām personām (pašvaldībām) piederošs īpašums tiek pārņemts valsts īpašumā saskaņā ar Publiskas personas mantas atsavināšanas likumā noteikto kārtību, savukārt īpašumam, kas jau pieder valstij, taču atrodas citas ministrijas valdījumā, tiek īstenota valdītāja maiņa. Šie procesi var tikt īstenoti īsākos termiņos (vairāki mēneši), ciktāl ir panākta vienota izpratne par iesaistītajām pusēm nozīmīgiem jautājumiem attiecībā uz projekta risinājumiem.</w:t>
      </w:r>
    </w:p>
    <w:p w14:paraId="71713264" w14:textId="77777777" w:rsidR="00EC6D3F" w:rsidRPr="00EC6D3F" w:rsidRDefault="00EC6D3F" w:rsidP="00EC6D3F">
      <w:pPr>
        <w:shd w:val="clear" w:color="auto" w:fill="FFFFFF" w:themeFill="background1"/>
        <w:spacing w:after="150"/>
        <w:jc w:val="both"/>
        <w:rPr>
          <w:rFonts w:eastAsia="Times New Roman" w:cs="Times New Roman"/>
          <w:color w:val="000000" w:themeColor="text1"/>
        </w:rPr>
      </w:pPr>
      <w:r w:rsidRPr="00EC6D3F">
        <w:rPr>
          <w:rFonts w:eastAsia="Times New Roman" w:cs="Times New Roman"/>
          <w:color w:val="000000" w:themeColor="text1"/>
        </w:rPr>
        <w:t xml:space="preserve">Aktivitātei pieejamā CEF1, CEF6S, CEF6W finansējuma </w:t>
      </w:r>
      <w:proofErr w:type="spellStart"/>
      <w:r w:rsidRPr="00EC6D3F">
        <w:rPr>
          <w:rFonts w:eastAsia="Times New Roman" w:cs="Times New Roman"/>
          <w:color w:val="000000" w:themeColor="text1"/>
        </w:rPr>
        <w:t>attiecināmības</w:t>
      </w:r>
      <w:proofErr w:type="spellEnd"/>
      <w:r w:rsidRPr="00EC6D3F">
        <w:rPr>
          <w:rFonts w:eastAsia="Times New Roman" w:cs="Times New Roman"/>
          <w:color w:val="000000" w:themeColor="text1"/>
        </w:rPr>
        <w:t xml:space="preserve"> periods beidzas 31.12.2024. CEF8 un CEF9 attiecināms uz konkrētu teritoriālo tvērumu (DS1 DPS3, DS2 DPS3, DPS4), kas ierobežo jaunu procesu uzsākšanu 2024. gadā un turpmākos gados. CEF10 uzsaukumā finansējums nekustamo īpašumu iegūšanas aktivitātēm nav piešķirts nevienai no Baltijas valstīm. Finansēšanas līguma sagatavošanas laikā ir rasta iespēja pārdalīt piešķirto finansējumu arī nekustamo īpašumu atsavināšanai, taču Latvijas gadījumā CEF10 tvērums paredz nekustamo īpašumu atsavināšanu Skultes Infrastruktūras apkalpes depo izveidei.</w:t>
      </w:r>
    </w:p>
    <w:p w14:paraId="1EA70CAF" w14:textId="77777777" w:rsidR="00EC6D3F" w:rsidRPr="00EC6D3F" w:rsidRDefault="00EC6D3F" w:rsidP="00EC6D3F">
      <w:pPr>
        <w:shd w:val="clear" w:color="auto" w:fill="FFFFFF" w:themeFill="background1"/>
        <w:spacing w:after="150"/>
        <w:jc w:val="both"/>
        <w:rPr>
          <w:rFonts w:eastAsia="Times New Roman" w:cs="Times New Roman"/>
          <w:color w:val="000000" w:themeColor="text1"/>
        </w:rPr>
      </w:pPr>
      <w:r w:rsidRPr="00EC6D3F">
        <w:rPr>
          <w:rFonts w:eastAsia="Times New Roman" w:cs="Times New Roman"/>
          <w:color w:val="000000" w:themeColor="text1"/>
        </w:rPr>
        <w:t xml:space="preserve">Paredzams atsavināšanas aktivitātes būtisks tempa kritums (salīdzinot ar 2023., 2024.gada intensitāti), ja netiks piešķirts valsts budžeta finansējums un akceptēti plānotie CEF8 un CEF9 grozījumi, paplašinot teritoriālo tvērumu (DS2, DS3) un </w:t>
      </w:r>
      <w:proofErr w:type="spellStart"/>
      <w:r w:rsidRPr="00EC6D3F">
        <w:rPr>
          <w:rFonts w:eastAsia="Times New Roman" w:cs="Times New Roman"/>
          <w:color w:val="000000" w:themeColor="text1"/>
        </w:rPr>
        <w:t>attiecināmības</w:t>
      </w:r>
      <w:proofErr w:type="spellEnd"/>
      <w:r w:rsidRPr="00EC6D3F">
        <w:rPr>
          <w:rFonts w:eastAsia="Times New Roman" w:cs="Times New Roman"/>
          <w:color w:val="000000" w:themeColor="text1"/>
        </w:rPr>
        <w:t xml:space="preserve"> periodu.</w:t>
      </w:r>
    </w:p>
    <w:p w14:paraId="729162F9" w14:textId="77777777" w:rsidR="00EC6D3F" w:rsidRPr="00EC6D3F" w:rsidRDefault="00EC6D3F"/>
    <w:sectPr w:rsidR="00EC6D3F" w:rsidRPr="00EC6D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A924D8"/>
    <w:multiLevelType w:val="multilevel"/>
    <w:tmpl w:val="CFF8E450"/>
    <w:lvl w:ilvl="0">
      <w:start w:val="1"/>
      <w:numFmt w:val="upperRoman"/>
      <w:lvlText w:val="%1"/>
      <w:lvlJc w:val="left"/>
      <w:pPr>
        <w:ind w:left="72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24235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D3F"/>
    <w:rsid w:val="0004466D"/>
    <w:rsid w:val="00166791"/>
    <w:rsid w:val="00203164"/>
    <w:rsid w:val="0071041B"/>
    <w:rsid w:val="007D47EA"/>
    <w:rsid w:val="00815930"/>
    <w:rsid w:val="008E7471"/>
    <w:rsid w:val="00A8673B"/>
    <w:rsid w:val="00E469C8"/>
    <w:rsid w:val="00EC6D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F750B"/>
  <w15:chartTrackingRefBased/>
  <w15:docId w15:val="{CBC0FE44-E218-413A-8266-9E1D58693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D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D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D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D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C6D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C6D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C6D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C6D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C6D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D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D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D3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D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C6D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C6D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C6D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C6D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C6D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C6D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D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D3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D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C6D3F"/>
    <w:pPr>
      <w:spacing w:before="160"/>
      <w:jc w:val="center"/>
    </w:pPr>
    <w:rPr>
      <w:i/>
      <w:iCs/>
      <w:color w:val="404040" w:themeColor="text1" w:themeTint="BF"/>
    </w:rPr>
  </w:style>
  <w:style w:type="character" w:customStyle="1" w:styleId="QuoteChar">
    <w:name w:val="Quote Char"/>
    <w:basedOn w:val="DefaultParagraphFont"/>
    <w:link w:val="Quote"/>
    <w:uiPriority w:val="29"/>
    <w:rsid w:val="00EC6D3F"/>
    <w:rPr>
      <w:i/>
      <w:iCs/>
      <w:color w:val="404040" w:themeColor="text1" w:themeTint="BF"/>
    </w:rPr>
  </w:style>
  <w:style w:type="paragraph" w:styleId="ListParagraph">
    <w:name w:val="List Paragraph"/>
    <w:aliases w:val="Strip,Párrafo de lista,Normal bullet 2,Bullet list,List Paragraph1,Mummuga loetelu,List (bullet),References,numbered list,ERP-List Paragraph,List Paragraph11,Bullet EY,List (services),Loetelu (bulletid),2,Numbered Para 1,Dot pt,Paragraph"/>
    <w:basedOn w:val="Normal"/>
    <w:link w:val="ListParagraphChar"/>
    <w:uiPriority w:val="34"/>
    <w:qFormat/>
    <w:rsid w:val="00EC6D3F"/>
    <w:pPr>
      <w:ind w:left="720"/>
      <w:contextualSpacing/>
    </w:pPr>
  </w:style>
  <w:style w:type="character" w:styleId="IntenseEmphasis">
    <w:name w:val="Intense Emphasis"/>
    <w:basedOn w:val="DefaultParagraphFont"/>
    <w:uiPriority w:val="21"/>
    <w:qFormat/>
    <w:rsid w:val="00EC6D3F"/>
    <w:rPr>
      <w:i/>
      <w:iCs/>
      <w:color w:val="0F4761" w:themeColor="accent1" w:themeShade="BF"/>
    </w:rPr>
  </w:style>
  <w:style w:type="paragraph" w:styleId="IntenseQuote">
    <w:name w:val="Intense Quote"/>
    <w:basedOn w:val="Normal"/>
    <w:next w:val="Normal"/>
    <w:link w:val="IntenseQuoteChar"/>
    <w:uiPriority w:val="30"/>
    <w:qFormat/>
    <w:rsid w:val="00EC6D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D3F"/>
    <w:rPr>
      <w:i/>
      <w:iCs/>
      <w:color w:val="0F4761" w:themeColor="accent1" w:themeShade="BF"/>
    </w:rPr>
  </w:style>
  <w:style w:type="character" w:styleId="IntenseReference">
    <w:name w:val="Intense Reference"/>
    <w:basedOn w:val="DefaultParagraphFont"/>
    <w:uiPriority w:val="32"/>
    <w:qFormat/>
    <w:rsid w:val="00EC6D3F"/>
    <w:rPr>
      <w:b/>
      <w:bCs/>
      <w:smallCaps/>
      <w:color w:val="0F4761" w:themeColor="accent1" w:themeShade="BF"/>
      <w:spacing w:val="5"/>
    </w:rPr>
  </w:style>
  <w:style w:type="table" w:styleId="TableGrid">
    <w:name w:val="Table Grid"/>
    <w:basedOn w:val="TableNormal"/>
    <w:uiPriority w:val="59"/>
    <w:rsid w:val="00EC6D3F"/>
    <w:pPr>
      <w:spacing w:after="0" w:line="240" w:lineRule="auto"/>
    </w:pPr>
    <w:rPr>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rip Char,Párrafo de lista Char,Normal bullet 2 Char,Bullet list Char,List Paragraph1 Char,Mummuga loetelu Char,List (bullet) Char,References Char,numbered list Char,ERP-List Paragraph Char,List Paragraph11 Char,Bullet EY Char"/>
    <w:link w:val="ListParagraph"/>
    <w:uiPriority w:val="34"/>
    <w:qFormat/>
    <w:locked/>
    <w:rsid w:val="00EC6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8" ma:contentTypeDescription="Create a new document." ma:contentTypeScope="" ma:versionID="8bc8a9489e095fbbbf6031b79b54a6f2">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8372bf6be0c0bdf8031154d8377e78d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7243FF-4D69-4CE6-840D-C5E9F4784AC1}">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customXml/itemProps2.xml><?xml version="1.0" encoding="utf-8"?>
<ds:datastoreItem xmlns:ds="http://schemas.openxmlformats.org/officeDocument/2006/customXml" ds:itemID="{E11F8076-ED6F-480C-BA9E-19E458351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4B0BA6-41E7-4692-B7CE-AB5DFE8A29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2886</Words>
  <Characters>1646</Characters>
  <Application>Microsoft Office Word</Application>
  <DocSecurity>0</DocSecurity>
  <Lines>13</Lines>
  <Paragraphs>9</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Malnača</dc:creator>
  <cp:keywords/>
  <dc:description/>
  <cp:lastModifiedBy>Jevgenija Kučāne</cp:lastModifiedBy>
  <cp:revision>2</cp:revision>
  <dcterms:created xsi:type="dcterms:W3CDTF">2024-11-26T09:17:00Z</dcterms:created>
  <dcterms:modified xsi:type="dcterms:W3CDTF">2024-11-26T09:17:00Z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