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1F5B2" w14:textId="77777777" w:rsidR="004B6D1F" w:rsidRDefault="00E220D1">
      <w:pPr>
        <w:shd w:val="clear" w:color="auto" w:fill="FFFFFF"/>
        <w:spacing w:after="0" w:line="240" w:lineRule="auto"/>
        <w:contextualSpacing/>
        <w:jc w:val="center"/>
        <w:rPr>
          <w:rFonts w:ascii="Times New Roman" w:eastAsia="Times New Roman" w:hAnsi="Times New Roman"/>
          <w:b/>
          <w:color w:val="000000" w:themeColor="text1"/>
          <w:sz w:val="24"/>
          <w:szCs w:val="24"/>
          <w:lang w:eastAsia="lv-LV"/>
        </w:rPr>
      </w:pPr>
      <w:r>
        <w:rPr>
          <w:rFonts w:ascii="Times New Roman" w:hAnsi="Times New Roman"/>
          <w:b/>
          <w:bCs/>
          <w:color w:val="000000" w:themeColor="text1"/>
          <w:sz w:val="24"/>
          <w:szCs w:val="24"/>
        </w:rPr>
        <w:t>Ministru kabineta noteikumu projekta “</w:t>
      </w:r>
      <w:r>
        <w:rPr>
          <w:rFonts w:ascii="Times New Roman" w:eastAsia="Times New Roman" w:hAnsi="Times New Roman"/>
          <w:b/>
          <w:color w:val="000000" w:themeColor="text1"/>
          <w:sz w:val="24"/>
          <w:szCs w:val="24"/>
          <w:lang w:eastAsia="lv-LV"/>
        </w:rPr>
        <w:t>Grozījumi Ministru kabineta 2014.gada 14.oktobra noteikumos Nr.631 “Latvijas Republikas iekšējo jūras ūdeņu, teritoriālās jūras un ekskluzīvās ekonomiskās zonas būvju būvnoteikumi””</w:t>
      </w:r>
    </w:p>
    <w:p w14:paraId="45F1F5B3" w14:textId="77777777" w:rsidR="004B6D1F" w:rsidRDefault="00E220D1">
      <w:pPr>
        <w:shd w:val="clear" w:color="auto" w:fill="FFFFFF"/>
        <w:spacing w:after="0" w:line="240" w:lineRule="auto"/>
        <w:contextual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sākotnējās </w:t>
      </w:r>
      <w:r>
        <w:rPr>
          <w:rFonts w:ascii="Times New Roman" w:hAnsi="Times New Roman"/>
          <w:b/>
          <w:bCs/>
          <w:color w:val="000000" w:themeColor="text1"/>
          <w:sz w:val="24"/>
          <w:szCs w:val="24"/>
        </w:rPr>
        <w:t>ietekmes novērtējuma ziņojums (anotācija)</w:t>
      </w:r>
    </w:p>
    <w:p w14:paraId="45F1F5B4" w14:textId="77777777" w:rsidR="004B6D1F" w:rsidRDefault="004B6D1F">
      <w:pPr>
        <w:shd w:val="clear" w:color="auto" w:fill="FFFFFF"/>
        <w:spacing w:after="0" w:line="240" w:lineRule="auto"/>
        <w:contextualSpacing/>
        <w:jc w:val="center"/>
        <w:rPr>
          <w:rFonts w:ascii="Times New Roman" w:hAnsi="Times New Roman"/>
          <w:b/>
          <w:bCs/>
          <w:color w:val="000000" w:themeColor="text1"/>
          <w:sz w:val="24"/>
          <w:szCs w:val="24"/>
        </w:rPr>
      </w:pPr>
    </w:p>
    <w:tbl>
      <w:tblPr>
        <w:tblW w:w="4997"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253"/>
        <w:gridCol w:w="5797"/>
      </w:tblGrid>
      <w:tr w:rsidR="004B6D1F" w14:paraId="45F1F5B6" w14:textId="77777777">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F1F5B5" w14:textId="77777777" w:rsidR="004B6D1F" w:rsidRDefault="00E220D1">
            <w:pPr>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Tiesību akta projekta anotācijas kopsavilkums</w:t>
            </w:r>
          </w:p>
        </w:tc>
      </w:tr>
      <w:tr w:rsidR="004B6D1F" w14:paraId="45F1F5BE" w14:textId="77777777">
        <w:tc>
          <w:tcPr>
            <w:tcW w:w="1797" w:type="pct"/>
            <w:tcBorders>
              <w:top w:val="outset" w:sz="6" w:space="0" w:color="414142"/>
              <w:left w:val="outset" w:sz="6" w:space="0" w:color="414142"/>
              <w:bottom w:val="outset" w:sz="6" w:space="0" w:color="414142"/>
              <w:right w:val="outset" w:sz="6" w:space="0" w:color="414142"/>
            </w:tcBorders>
            <w:shd w:val="clear" w:color="auto" w:fill="FFFFFF"/>
            <w:hideMark/>
          </w:tcPr>
          <w:p w14:paraId="45F1F5B7" w14:textId="77777777" w:rsidR="004B6D1F" w:rsidRDefault="00E220D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Mērķis, risinājums un projekta spēkā stāšanās laiks (500 zīmes bez atstarpēm)</w:t>
            </w:r>
          </w:p>
        </w:tc>
        <w:tc>
          <w:tcPr>
            <w:tcW w:w="3203" w:type="pct"/>
            <w:tcBorders>
              <w:top w:val="outset" w:sz="6" w:space="0" w:color="414142"/>
              <w:left w:val="outset" w:sz="6" w:space="0" w:color="414142"/>
              <w:bottom w:val="outset" w:sz="6" w:space="0" w:color="414142"/>
              <w:right w:val="outset" w:sz="6" w:space="0" w:color="414142"/>
            </w:tcBorders>
            <w:shd w:val="clear" w:color="auto" w:fill="FFFFFF"/>
            <w:hideMark/>
          </w:tcPr>
          <w:p w14:paraId="45F1F5B8" w14:textId="77777777" w:rsidR="004B6D1F" w:rsidRDefault="00E220D1">
            <w:pPr>
              <w:spacing w:after="0" w:line="240" w:lineRule="auto"/>
              <w:ind w:firstLine="251"/>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Ministru kabineta noteikumu projekts “Grozījumi Ministru kabineta 2014. gada 14. oktobra noteikumos Nr.631 “Latvijas Republikas iekšējo jūras ūdeņu, teritoriālās jūras un ekskluzīvās ekonomiskās zonas būvju būvnoteikumi”” (turpmāk – Noteikumu projekts) par</w:t>
            </w:r>
            <w:r>
              <w:rPr>
                <w:rFonts w:ascii="Times New Roman" w:eastAsia="Times New Roman" w:hAnsi="Times New Roman"/>
                <w:color w:val="000000" w:themeColor="text1"/>
                <w:sz w:val="24"/>
                <w:szCs w:val="24"/>
                <w:lang w:eastAsia="lv-LV"/>
              </w:rPr>
              <w:t xml:space="preserve">edz precizēt </w:t>
            </w:r>
            <w:r>
              <w:rPr>
                <w:rFonts w:ascii="Times New Roman" w:eastAsia="Times New Roman" w:hAnsi="Times New Roman"/>
                <w:bCs/>
                <w:color w:val="000000" w:themeColor="text1"/>
                <w:sz w:val="24"/>
                <w:szCs w:val="24"/>
                <w:lang w:eastAsia="lv-LV"/>
              </w:rPr>
              <w:t>Ministru kabineta 2014. gada 14. oktobra noteikumos Nr. 631 “Latvijas Republikas iekšējo jūras ūdeņu, teritoriālās jūras un ekskluzīvās ekonomiskās zonas būvju būvnoteikumi””</w:t>
            </w:r>
            <w:r>
              <w:rPr>
                <w:rFonts w:ascii="Times New Roman" w:eastAsia="Times New Roman" w:hAnsi="Times New Roman"/>
                <w:color w:val="000000" w:themeColor="text1"/>
                <w:sz w:val="24"/>
                <w:szCs w:val="24"/>
                <w:lang w:eastAsia="lv-LV"/>
              </w:rPr>
              <w:t xml:space="preserve"> (turpmāk – MK noteikumi Nr. 631):</w:t>
            </w:r>
          </w:p>
          <w:p w14:paraId="45F1F5B9" w14:textId="77777777" w:rsidR="004B6D1F" w:rsidRDefault="00E220D1">
            <w:pPr>
              <w:pStyle w:val="ListParagraph"/>
              <w:numPr>
                <w:ilvl w:val="0"/>
                <w:numId w:val="12"/>
              </w:numPr>
              <w:spacing w:after="0" w:line="240" w:lineRule="auto"/>
              <w:ind w:left="251" w:firstLine="0"/>
              <w:jc w:val="both"/>
              <w:rPr>
                <w:rFonts w:ascii="Times New Roman" w:hAnsi="Times New Roman"/>
                <w:iCs/>
                <w:color w:val="000000" w:themeColor="text1"/>
                <w:sz w:val="24"/>
                <w:szCs w:val="24"/>
              </w:rPr>
            </w:pPr>
            <w:r>
              <w:rPr>
                <w:rFonts w:ascii="Times New Roman" w:hAnsi="Times New Roman"/>
                <w:iCs/>
                <w:color w:val="000000" w:themeColor="text1"/>
                <w:sz w:val="24"/>
                <w:szCs w:val="24"/>
              </w:rPr>
              <w:t>izslēgt no MK noteikumu Nr.631 tvē</w:t>
            </w:r>
            <w:r>
              <w:rPr>
                <w:rFonts w:ascii="Times New Roman" w:hAnsi="Times New Roman"/>
                <w:iCs/>
                <w:color w:val="000000" w:themeColor="text1"/>
                <w:sz w:val="24"/>
                <w:szCs w:val="24"/>
              </w:rPr>
              <w:t>ruma dublējošās normas</w:t>
            </w:r>
            <w:r>
              <w:rPr>
                <w:rFonts w:ascii="Times New Roman" w:eastAsia="Times New Roman" w:hAnsi="Times New Roman"/>
                <w:color w:val="000000" w:themeColor="text1"/>
                <w:sz w:val="24"/>
                <w:szCs w:val="24"/>
                <w:lang w:eastAsia="lv-LV"/>
              </w:rPr>
              <w:t xml:space="preserve"> saistībā </w:t>
            </w:r>
            <w:r>
              <w:rPr>
                <w:rFonts w:ascii="Times New Roman" w:hAnsi="Times New Roman"/>
                <w:iCs/>
                <w:color w:val="000000" w:themeColor="text1"/>
                <w:sz w:val="24"/>
                <w:szCs w:val="24"/>
              </w:rPr>
              <w:t xml:space="preserve">ar </w:t>
            </w:r>
            <w:r>
              <w:rPr>
                <w:rFonts w:ascii="Times New Roman" w:hAnsi="Times New Roman"/>
                <w:color w:val="000000" w:themeColor="text1"/>
                <w:sz w:val="24"/>
                <w:szCs w:val="24"/>
              </w:rPr>
              <w:t>ogļūdeņražu meklēšanas, izpētes un ieguves zemes dzīļu izmantošanas jautājumiem Latvijas Republikas iekšējos jūras ūdeņos, teritoriālajā jūrā un ekskluzīvajā ekonomiskajā zonā (turpmāk – jūra);</w:t>
            </w:r>
          </w:p>
          <w:p w14:paraId="45F1F5BA" w14:textId="77777777" w:rsidR="004B6D1F" w:rsidRDefault="00E220D1">
            <w:pPr>
              <w:pStyle w:val="ListParagraph"/>
              <w:numPr>
                <w:ilvl w:val="0"/>
                <w:numId w:val="12"/>
              </w:numPr>
              <w:spacing w:after="0" w:line="240" w:lineRule="auto"/>
              <w:ind w:left="251" w:firstLine="0"/>
              <w:jc w:val="both"/>
              <w:rPr>
                <w:rFonts w:ascii="Times New Roman" w:hAnsi="Times New Roman"/>
                <w:color w:val="000000" w:themeColor="text1"/>
                <w:sz w:val="24"/>
                <w:szCs w:val="24"/>
              </w:rPr>
            </w:pPr>
            <w:r>
              <w:rPr>
                <w:rFonts w:ascii="Times New Roman" w:hAnsi="Times New Roman"/>
                <w:iCs/>
                <w:color w:val="000000" w:themeColor="text1"/>
                <w:sz w:val="24"/>
                <w:szCs w:val="24"/>
              </w:rPr>
              <w:t xml:space="preserve">veikt redakcionālus uzlabojumus, kas novērš atšķirības gan šobrīd ar Ministru kabineta </w:t>
            </w:r>
            <w:r>
              <w:rPr>
                <w:rFonts w:ascii="Times New Roman" w:hAnsi="Times New Roman"/>
                <w:color w:val="000000" w:themeColor="text1"/>
                <w:sz w:val="24"/>
                <w:szCs w:val="24"/>
                <w:shd w:val="clear" w:color="auto" w:fill="FFFFFF"/>
              </w:rPr>
              <w:t>2015. gada 22. decembra noteikumiem Nr. 805 "</w:t>
            </w:r>
            <w:hyperlink r:id="rId8" w:tgtFrame="_blank" w:history="1">
              <w:r>
                <w:rPr>
                  <w:rStyle w:val="Hyperlink"/>
                  <w:rFonts w:ascii="Times New Roman" w:hAnsi="Times New Roman"/>
                  <w:color w:val="000000" w:themeColor="text1"/>
                  <w:sz w:val="24"/>
                  <w:szCs w:val="24"/>
                  <w:u w:val="none"/>
                  <w:shd w:val="clear" w:color="auto" w:fill="FFFFFF"/>
                </w:rPr>
                <w:t>Noteikumi pa</w:t>
              </w:r>
              <w:r>
                <w:rPr>
                  <w:rStyle w:val="Hyperlink"/>
                  <w:rFonts w:ascii="Times New Roman" w:hAnsi="Times New Roman"/>
                  <w:color w:val="000000" w:themeColor="text1"/>
                  <w:sz w:val="24"/>
                  <w:szCs w:val="24"/>
                  <w:u w:val="none"/>
                  <w:shd w:val="clear" w:color="auto" w:fill="FFFFFF"/>
                </w:rPr>
                <w:t>r ogļūdeņražu meklēšanu, izpēti un ieguvi</w:t>
              </w:r>
            </w:hyperlink>
            <w:r>
              <w:rPr>
                <w:rFonts w:ascii="Times New Roman" w:hAnsi="Times New Roman"/>
                <w:color w:val="000000" w:themeColor="text1"/>
                <w:sz w:val="24"/>
                <w:szCs w:val="24"/>
                <w:shd w:val="clear" w:color="auto" w:fill="FFFFFF"/>
              </w:rPr>
              <w:t>" (</w:t>
            </w:r>
            <w:r>
              <w:rPr>
                <w:rFonts w:ascii="Times New Roman" w:hAnsi="Times New Roman"/>
                <w:color w:val="000000" w:themeColor="text1"/>
                <w:sz w:val="24"/>
                <w:szCs w:val="24"/>
              </w:rPr>
              <w:t>turpmāk - Noteikumi Nr. 805</w:t>
            </w:r>
            <w:r>
              <w:rPr>
                <w:rFonts w:ascii="Times New Roman" w:hAnsi="Times New Roman"/>
                <w:color w:val="000000" w:themeColor="text1"/>
                <w:sz w:val="24"/>
                <w:szCs w:val="24"/>
                <w:shd w:val="clear" w:color="auto" w:fill="FFFFFF"/>
              </w:rPr>
              <w:t xml:space="preserve">), </w:t>
            </w:r>
            <w:r>
              <w:rPr>
                <w:rFonts w:ascii="Times New Roman" w:hAnsi="Times New Roman"/>
                <w:iCs/>
                <w:color w:val="000000" w:themeColor="text1"/>
                <w:sz w:val="24"/>
                <w:szCs w:val="24"/>
              </w:rPr>
              <w:t xml:space="preserve">gan nākotnē </w:t>
            </w:r>
            <w:r>
              <w:rPr>
                <w:rFonts w:ascii="Times New Roman" w:hAnsi="Times New Roman"/>
                <w:color w:val="000000" w:themeColor="text1"/>
                <w:sz w:val="24"/>
                <w:szCs w:val="24"/>
                <w:shd w:val="clear" w:color="auto" w:fill="FFFFFF"/>
              </w:rPr>
              <w:t xml:space="preserve">mainoties šo normatīvo aktu regulējumam, tajā skaitā, </w:t>
            </w:r>
            <w:r>
              <w:rPr>
                <w:rFonts w:ascii="Times New Roman" w:eastAsia="Times New Roman" w:hAnsi="Times New Roman"/>
                <w:color w:val="000000" w:themeColor="text1"/>
                <w:sz w:val="24"/>
                <w:szCs w:val="24"/>
                <w:lang w:eastAsia="lv-LV"/>
              </w:rPr>
              <w:t>p</w:t>
            </w:r>
            <w:r>
              <w:rPr>
                <w:rFonts w:ascii="Times New Roman" w:hAnsi="Times New Roman"/>
                <w:color w:val="000000" w:themeColor="text1"/>
                <w:sz w:val="24"/>
                <w:szCs w:val="24"/>
              </w:rPr>
              <w:t>amatojoties uz Ekonomikas ministrijas izstrādātajiem grozījumiem likumā “Par zemes dzīlēm”, kas stājās spēkā 2020.g</w:t>
            </w:r>
            <w:r>
              <w:rPr>
                <w:rFonts w:ascii="Times New Roman" w:hAnsi="Times New Roman"/>
                <w:color w:val="000000" w:themeColor="text1"/>
                <w:sz w:val="24"/>
                <w:szCs w:val="24"/>
              </w:rPr>
              <w:t xml:space="preserve">ada 1.janvārī, precizēt </w:t>
            </w:r>
            <w:r>
              <w:rPr>
                <w:rFonts w:ascii="Times New Roman" w:hAnsi="Times New Roman"/>
                <w:iCs/>
                <w:color w:val="000000" w:themeColor="text1"/>
                <w:sz w:val="24"/>
                <w:szCs w:val="24"/>
              </w:rPr>
              <w:t xml:space="preserve">MK noteikumus Nr. 631 </w:t>
            </w:r>
            <w:r>
              <w:rPr>
                <w:rFonts w:ascii="Times New Roman" w:hAnsi="Times New Roman"/>
                <w:color w:val="000000" w:themeColor="text1"/>
                <w:sz w:val="24"/>
                <w:szCs w:val="24"/>
              </w:rPr>
              <w:t xml:space="preserve"> attiecībā uz ogļūdeņražu jautājumu administrēšanas funkciju nodošanu Būvniecības valsts kontroles birojam (turpmāk – BVKB);</w:t>
            </w:r>
          </w:p>
          <w:p w14:paraId="45F1F5BB" w14:textId="77777777" w:rsidR="004B6D1F" w:rsidRDefault="00E220D1">
            <w:pPr>
              <w:pStyle w:val="ListParagraph"/>
              <w:numPr>
                <w:ilvl w:val="0"/>
                <w:numId w:val="12"/>
              </w:numPr>
              <w:spacing w:after="0" w:line="240" w:lineRule="auto"/>
              <w:ind w:left="251" w:firstLine="0"/>
              <w:jc w:val="both"/>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 xml:space="preserve">par </w:t>
            </w:r>
            <w:r>
              <w:rPr>
                <w:rFonts w:ascii="Times New Roman" w:hAnsi="Times New Roman"/>
                <w:iCs/>
                <w:color w:val="000000" w:themeColor="text1"/>
                <w:sz w:val="24"/>
                <w:szCs w:val="24"/>
              </w:rPr>
              <w:t xml:space="preserve">MK noteikumos Nr.631 </w:t>
            </w:r>
            <w:r>
              <w:rPr>
                <w:rFonts w:ascii="Times New Roman" w:hAnsi="Times New Roman"/>
                <w:color w:val="000000" w:themeColor="text1"/>
                <w:sz w:val="24"/>
                <w:szCs w:val="24"/>
                <w:shd w:val="clear" w:color="auto" w:fill="FFFFFF"/>
              </w:rPr>
              <w:t>noteikto būvju būvniecības procesa kontroli un tiesiskumu, p</w:t>
            </w:r>
            <w:r>
              <w:rPr>
                <w:rFonts w:ascii="Times New Roman" w:hAnsi="Times New Roman"/>
                <w:color w:val="000000" w:themeColor="text1"/>
                <w:sz w:val="24"/>
                <w:szCs w:val="24"/>
                <w:shd w:val="clear" w:color="auto" w:fill="FFFFFF"/>
              </w:rPr>
              <w:t>ildot būvvaldes funkcijas, par atbildīgo noteikt BVKB.</w:t>
            </w:r>
          </w:p>
          <w:p w14:paraId="45F1F5BC" w14:textId="77777777" w:rsidR="004B6D1F" w:rsidRDefault="00E220D1">
            <w:pPr>
              <w:ind w:firstLine="251"/>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Noteikumu projekts stāsies spēkā vispārējā kārtībā atbilstoši Oficiālo publikāciju un tiesiskās informācijas likumam.</w:t>
            </w:r>
          </w:p>
          <w:p w14:paraId="45F1F5BD" w14:textId="77777777" w:rsidR="004B6D1F" w:rsidRDefault="004B6D1F">
            <w:pPr>
              <w:spacing w:after="0" w:line="240" w:lineRule="auto"/>
              <w:jc w:val="both"/>
              <w:rPr>
                <w:rFonts w:ascii="Times New Roman" w:hAnsi="Times New Roman"/>
                <w:color w:val="000000" w:themeColor="text1"/>
                <w:sz w:val="24"/>
                <w:szCs w:val="24"/>
              </w:rPr>
            </w:pPr>
          </w:p>
        </w:tc>
      </w:tr>
    </w:tbl>
    <w:p w14:paraId="45F1F5BF" w14:textId="77777777" w:rsidR="004B6D1F" w:rsidRDefault="004B6D1F">
      <w:pPr>
        <w:tabs>
          <w:tab w:val="left" w:pos="1610"/>
          <w:tab w:val="left" w:pos="2332"/>
        </w:tabs>
        <w:rPr>
          <w:rFonts w:ascii="Times New Roman" w:hAnsi="Times New Roman"/>
          <w:color w:val="000000" w:themeColor="text1"/>
          <w:sz w:val="24"/>
          <w:szCs w:val="24"/>
        </w:rPr>
      </w:pPr>
    </w:p>
    <w:tbl>
      <w:tblPr>
        <w:tblpPr w:leftFromText="180" w:rightFromText="180" w:vertAnchor="text" w:tblpY="1"/>
        <w:tblOverlap w:val="neve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5"/>
        <w:gridCol w:w="2680"/>
        <w:gridCol w:w="5896"/>
      </w:tblGrid>
      <w:tr w:rsidR="004B6D1F" w14:paraId="45F1F5C1" w14:textId="77777777">
        <w:trPr>
          <w:cantSplit/>
        </w:trPr>
        <w:tc>
          <w:tcPr>
            <w:tcW w:w="5000" w:type="pct"/>
            <w:gridSpan w:val="3"/>
            <w:vAlign w:val="center"/>
            <w:hideMark/>
          </w:tcPr>
          <w:p w14:paraId="45F1F5C0" w14:textId="77777777" w:rsidR="004B6D1F" w:rsidRDefault="00E220D1">
            <w:pPr>
              <w:keepLines/>
              <w:spacing w:after="0" w:line="240" w:lineRule="auto"/>
              <w:contextual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I. Tiesību akta projekta izstrādes nepieciešamība</w:t>
            </w:r>
          </w:p>
        </w:tc>
      </w:tr>
      <w:tr w:rsidR="004B6D1F" w14:paraId="45F1F5C5" w14:textId="77777777">
        <w:trPr>
          <w:cantSplit/>
        </w:trPr>
        <w:tc>
          <w:tcPr>
            <w:tcW w:w="309" w:type="pct"/>
            <w:hideMark/>
          </w:tcPr>
          <w:p w14:paraId="45F1F5C2" w14:textId="77777777" w:rsidR="004B6D1F" w:rsidRDefault="00E220D1">
            <w:pPr>
              <w:keepLines/>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1466" w:type="pct"/>
            <w:hideMark/>
          </w:tcPr>
          <w:p w14:paraId="45F1F5C3" w14:textId="77777777" w:rsidR="004B6D1F" w:rsidRDefault="00E220D1">
            <w:pPr>
              <w:keepLines/>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Pamatojums</w:t>
            </w:r>
          </w:p>
        </w:tc>
        <w:tc>
          <w:tcPr>
            <w:tcW w:w="3226" w:type="pct"/>
            <w:hideMark/>
          </w:tcPr>
          <w:p w14:paraId="45F1F5C4" w14:textId="77777777" w:rsidR="004B6D1F" w:rsidRDefault="00E220D1">
            <w:pPr>
              <w:spacing w:after="0" w:line="240" w:lineRule="auto"/>
              <w:ind w:firstLine="26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Noteikumu projekts sagatavots pēc Ekonomikas ministrijas iniciatīvas ar mērķi  uzlabot tiesisko regulējumu novēršot  </w:t>
            </w:r>
            <w:r>
              <w:rPr>
                <w:rFonts w:ascii="Times New Roman" w:hAnsi="Times New Roman"/>
                <w:iCs/>
                <w:color w:val="000000" w:themeColor="text1"/>
                <w:sz w:val="24"/>
                <w:szCs w:val="24"/>
              </w:rPr>
              <w:t xml:space="preserve"> </w:t>
            </w:r>
            <w:r>
              <w:rPr>
                <w:rFonts w:ascii="Times New Roman" w:hAnsi="Times New Roman"/>
                <w:color w:val="000000" w:themeColor="text1"/>
                <w:sz w:val="24"/>
                <w:szCs w:val="24"/>
              </w:rPr>
              <w:t xml:space="preserve">normatīvā akta tiesību normu  dublēšanos </w:t>
            </w:r>
            <w:r>
              <w:rPr>
                <w:rFonts w:ascii="Times New Roman" w:hAnsi="Times New Roman"/>
                <w:iCs/>
                <w:color w:val="000000" w:themeColor="text1"/>
                <w:sz w:val="24"/>
                <w:szCs w:val="24"/>
              </w:rPr>
              <w:t xml:space="preserve">saistībā ar </w:t>
            </w:r>
            <w:r>
              <w:rPr>
                <w:rFonts w:ascii="Times New Roman" w:hAnsi="Times New Roman"/>
                <w:color w:val="000000" w:themeColor="text1"/>
                <w:sz w:val="24"/>
                <w:szCs w:val="24"/>
              </w:rPr>
              <w:t xml:space="preserve">ogļūdeņražu meklēšanas, izpētes un ieguves jautājumiem jūrā, </w:t>
            </w:r>
            <w:r>
              <w:rPr>
                <w:rFonts w:ascii="Times New Roman" w:hAnsi="Times New Roman"/>
                <w:iCs/>
                <w:color w:val="000000" w:themeColor="text1"/>
                <w:sz w:val="24"/>
                <w:szCs w:val="24"/>
              </w:rPr>
              <w:t>veikt atsevišķus redakci</w:t>
            </w:r>
            <w:r>
              <w:rPr>
                <w:rFonts w:ascii="Times New Roman" w:hAnsi="Times New Roman"/>
                <w:iCs/>
                <w:color w:val="000000" w:themeColor="text1"/>
                <w:sz w:val="24"/>
                <w:szCs w:val="24"/>
              </w:rPr>
              <w:t xml:space="preserve">onālus uzlabojumus novēršot atšķirības ar </w:t>
            </w:r>
            <w:r>
              <w:rPr>
                <w:rFonts w:ascii="Times New Roman" w:hAnsi="Times New Roman"/>
                <w:color w:val="000000" w:themeColor="text1"/>
                <w:sz w:val="24"/>
                <w:szCs w:val="24"/>
              </w:rPr>
              <w:t xml:space="preserve"> Noteikumiem Nr.805, </w:t>
            </w:r>
            <w:r>
              <w:rPr>
                <w:color w:val="000000" w:themeColor="text1"/>
                <w:shd w:val="clear" w:color="auto" w:fill="FFFFFF"/>
              </w:rPr>
              <w:t xml:space="preserve"> </w:t>
            </w:r>
            <w:r>
              <w:rPr>
                <w:rFonts w:ascii="Times New Roman" w:hAnsi="Times New Roman"/>
                <w:color w:val="000000" w:themeColor="text1"/>
                <w:sz w:val="24"/>
                <w:szCs w:val="24"/>
                <w:shd w:val="clear" w:color="auto" w:fill="FFFFFF"/>
              </w:rPr>
              <w:t>par noteikto</w:t>
            </w:r>
            <w:r>
              <w:rPr>
                <w:color w:val="000000" w:themeColor="text1"/>
                <w:shd w:val="clear" w:color="auto" w:fill="FFFFFF"/>
              </w:rPr>
              <w:t xml:space="preserve"> </w:t>
            </w:r>
            <w:r>
              <w:rPr>
                <w:rFonts w:ascii="Times New Roman" w:hAnsi="Times New Roman"/>
                <w:color w:val="000000" w:themeColor="text1"/>
                <w:sz w:val="24"/>
                <w:szCs w:val="24"/>
                <w:shd w:val="clear" w:color="auto" w:fill="FFFFFF"/>
              </w:rPr>
              <w:t xml:space="preserve">būvju būvniecības procesa kontroli un tiesiskumu, pildot būvvaldes funkcijas, par atbildīgo noteikt BVKB, </w:t>
            </w:r>
            <w:r>
              <w:rPr>
                <w:rFonts w:ascii="Times New Roman" w:hAnsi="Times New Roman"/>
                <w:color w:val="000000" w:themeColor="text1"/>
                <w:sz w:val="24"/>
                <w:szCs w:val="24"/>
              </w:rPr>
              <w:t>tajā skaitā</w:t>
            </w:r>
            <w:r>
              <w:rPr>
                <w:rFonts w:ascii="Times New Roman" w:hAnsi="Times New Roman"/>
                <w:iCs/>
                <w:color w:val="000000" w:themeColor="text1"/>
                <w:sz w:val="24"/>
                <w:szCs w:val="24"/>
              </w:rPr>
              <w:t xml:space="preserve"> </w:t>
            </w:r>
            <w:r>
              <w:rPr>
                <w:rFonts w:ascii="Times New Roman" w:hAnsi="Times New Roman"/>
                <w:color w:val="000000" w:themeColor="text1"/>
                <w:sz w:val="24"/>
                <w:szCs w:val="24"/>
              </w:rPr>
              <w:t xml:space="preserve">turpinot </w:t>
            </w:r>
            <w:r>
              <w:rPr>
                <w:rFonts w:ascii="Times New Roman" w:hAnsi="Times New Roman"/>
                <w:color w:val="000000" w:themeColor="text1"/>
                <w:sz w:val="24"/>
                <w:szCs w:val="24"/>
              </w:rPr>
              <w:lastRenderedPageBreak/>
              <w:t>precizēt tiesisko regulējumu attiecībā uz enerģētikas politikas īstenošanas funkciju un uzdevumu nodošanu BVKB.</w:t>
            </w:r>
          </w:p>
        </w:tc>
      </w:tr>
      <w:tr w:rsidR="004B6D1F" w14:paraId="45F1F5F3" w14:textId="77777777">
        <w:trPr>
          <w:cantSplit/>
          <w:trHeight w:val="567"/>
        </w:trPr>
        <w:tc>
          <w:tcPr>
            <w:tcW w:w="309" w:type="pct"/>
            <w:hideMark/>
          </w:tcPr>
          <w:p w14:paraId="45F1F5C6" w14:textId="77777777" w:rsidR="004B6D1F" w:rsidRDefault="00E220D1">
            <w:pPr>
              <w:keepLines/>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 2.</w:t>
            </w:r>
          </w:p>
        </w:tc>
        <w:tc>
          <w:tcPr>
            <w:tcW w:w="1466" w:type="pct"/>
            <w:hideMark/>
          </w:tcPr>
          <w:p w14:paraId="45F1F5C7" w14:textId="77777777" w:rsidR="004B6D1F" w:rsidRDefault="00E220D1">
            <w:pPr>
              <w:keepLines/>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Pašreizējā s</w:t>
            </w:r>
            <w:r>
              <w:rPr>
                <w:rFonts w:ascii="Times New Roman" w:hAnsi="Times New Roman"/>
                <w:color w:val="000000" w:themeColor="text1"/>
                <w:sz w:val="24"/>
                <w:szCs w:val="24"/>
              </w:rPr>
              <w:t>ituācija un problēmas, kuru risināšanai tiesību akta projekts izstrādāts, tiesiskā regulējuma mērķis un būtība</w:t>
            </w:r>
          </w:p>
          <w:p w14:paraId="45F1F5C8" w14:textId="77777777" w:rsidR="004B6D1F" w:rsidRDefault="004B6D1F">
            <w:pPr>
              <w:rPr>
                <w:rFonts w:ascii="Times New Roman" w:hAnsi="Times New Roman"/>
                <w:color w:val="000000" w:themeColor="text1"/>
                <w:sz w:val="24"/>
                <w:szCs w:val="24"/>
              </w:rPr>
            </w:pPr>
          </w:p>
          <w:p w14:paraId="45F1F5C9" w14:textId="77777777" w:rsidR="004B6D1F" w:rsidRDefault="004B6D1F">
            <w:pPr>
              <w:rPr>
                <w:rFonts w:ascii="Times New Roman" w:hAnsi="Times New Roman"/>
                <w:color w:val="000000" w:themeColor="text1"/>
                <w:sz w:val="24"/>
                <w:szCs w:val="24"/>
              </w:rPr>
            </w:pPr>
          </w:p>
          <w:p w14:paraId="45F1F5CA" w14:textId="77777777" w:rsidR="004B6D1F" w:rsidRDefault="004B6D1F">
            <w:pPr>
              <w:rPr>
                <w:rFonts w:ascii="Times New Roman" w:hAnsi="Times New Roman"/>
                <w:color w:val="000000" w:themeColor="text1"/>
                <w:sz w:val="24"/>
                <w:szCs w:val="24"/>
              </w:rPr>
            </w:pPr>
          </w:p>
          <w:p w14:paraId="45F1F5CB" w14:textId="77777777" w:rsidR="004B6D1F" w:rsidRDefault="004B6D1F">
            <w:pPr>
              <w:rPr>
                <w:rFonts w:ascii="Times New Roman" w:hAnsi="Times New Roman"/>
                <w:color w:val="000000" w:themeColor="text1"/>
                <w:sz w:val="24"/>
                <w:szCs w:val="24"/>
              </w:rPr>
            </w:pPr>
          </w:p>
          <w:p w14:paraId="45F1F5CC" w14:textId="77777777" w:rsidR="004B6D1F" w:rsidRDefault="004B6D1F">
            <w:pPr>
              <w:rPr>
                <w:rFonts w:ascii="Times New Roman" w:hAnsi="Times New Roman"/>
                <w:color w:val="000000" w:themeColor="text1"/>
                <w:sz w:val="24"/>
                <w:szCs w:val="24"/>
              </w:rPr>
            </w:pPr>
          </w:p>
          <w:p w14:paraId="45F1F5CD" w14:textId="77777777" w:rsidR="004B6D1F" w:rsidRDefault="004B6D1F">
            <w:pPr>
              <w:rPr>
                <w:rFonts w:ascii="Times New Roman" w:hAnsi="Times New Roman"/>
                <w:color w:val="000000" w:themeColor="text1"/>
                <w:sz w:val="24"/>
                <w:szCs w:val="24"/>
              </w:rPr>
            </w:pPr>
          </w:p>
          <w:p w14:paraId="45F1F5CE" w14:textId="77777777" w:rsidR="004B6D1F" w:rsidRDefault="004B6D1F">
            <w:pPr>
              <w:rPr>
                <w:rFonts w:ascii="Times New Roman" w:hAnsi="Times New Roman"/>
                <w:color w:val="000000" w:themeColor="text1"/>
                <w:sz w:val="24"/>
                <w:szCs w:val="24"/>
              </w:rPr>
            </w:pPr>
          </w:p>
          <w:p w14:paraId="45F1F5CF" w14:textId="77777777" w:rsidR="004B6D1F" w:rsidRDefault="004B6D1F">
            <w:pPr>
              <w:rPr>
                <w:rFonts w:ascii="Times New Roman" w:hAnsi="Times New Roman"/>
                <w:color w:val="000000" w:themeColor="text1"/>
                <w:sz w:val="24"/>
                <w:szCs w:val="24"/>
              </w:rPr>
            </w:pPr>
          </w:p>
          <w:p w14:paraId="45F1F5D0" w14:textId="77777777" w:rsidR="004B6D1F" w:rsidRDefault="004B6D1F">
            <w:pPr>
              <w:rPr>
                <w:rFonts w:ascii="Times New Roman" w:hAnsi="Times New Roman"/>
                <w:color w:val="000000" w:themeColor="text1"/>
                <w:sz w:val="24"/>
                <w:szCs w:val="24"/>
              </w:rPr>
            </w:pPr>
          </w:p>
          <w:p w14:paraId="45F1F5D1" w14:textId="77777777" w:rsidR="004B6D1F" w:rsidRDefault="004B6D1F">
            <w:pPr>
              <w:rPr>
                <w:rFonts w:ascii="Times New Roman" w:hAnsi="Times New Roman"/>
                <w:color w:val="000000" w:themeColor="text1"/>
                <w:sz w:val="24"/>
                <w:szCs w:val="24"/>
              </w:rPr>
            </w:pPr>
          </w:p>
          <w:p w14:paraId="45F1F5D2" w14:textId="77777777" w:rsidR="004B6D1F" w:rsidRDefault="004B6D1F">
            <w:pPr>
              <w:rPr>
                <w:rFonts w:ascii="Times New Roman" w:hAnsi="Times New Roman"/>
                <w:color w:val="000000" w:themeColor="text1"/>
                <w:sz w:val="24"/>
                <w:szCs w:val="24"/>
              </w:rPr>
            </w:pPr>
          </w:p>
          <w:p w14:paraId="45F1F5D3" w14:textId="77777777" w:rsidR="004B6D1F" w:rsidRDefault="004B6D1F">
            <w:pPr>
              <w:rPr>
                <w:rFonts w:ascii="Times New Roman" w:hAnsi="Times New Roman"/>
                <w:color w:val="000000" w:themeColor="text1"/>
                <w:sz w:val="24"/>
                <w:szCs w:val="24"/>
              </w:rPr>
            </w:pPr>
          </w:p>
          <w:p w14:paraId="45F1F5D4" w14:textId="77777777" w:rsidR="004B6D1F" w:rsidRDefault="004B6D1F">
            <w:pPr>
              <w:rPr>
                <w:rFonts w:ascii="Times New Roman" w:hAnsi="Times New Roman"/>
                <w:color w:val="000000" w:themeColor="text1"/>
                <w:sz w:val="24"/>
                <w:szCs w:val="24"/>
              </w:rPr>
            </w:pPr>
          </w:p>
          <w:p w14:paraId="45F1F5D5" w14:textId="77777777" w:rsidR="004B6D1F" w:rsidRDefault="004B6D1F">
            <w:pPr>
              <w:rPr>
                <w:rFonts w:ascii="Times New Roman" w:hAnsi="Times New Roman"/>
                <w:color w:val="000000" w:themeColor="text1"/>
                <w:sz w:val="24"/>
                <w:szCs w:val="24"/>
              </w:rPr>
            </w:pPr>
          </w:p>
          <w:p w14:paraId="45F1F5D6" w14:textId="77777777" w:rsidR="004B6D1F" w:rsidRDefault="004B6D1F">
            <w:pPr>
              <w:rPr>
                <w:rFonts w:ascii="Times New Roman" w:hAnsi="Times New Roman"/>
                <w:color w:val="000000" w:themeColor="text1"/>
                <w:sz w:val="24"/>
                <w:szCs w:val="24"/>
              </w:rPr>
            </w:pPr>
          </w:p>
          <w:p w14:paraId="45F1F5D7" w14:textId="77777777" w:rsidR="004B6D1F" w:rsidRDefault="004B6D1F">
            <w:pPr>
              <w:rPr>
                <w:rFonts w:ascii="Times New Roman" w:hAnsi="Times New Roman"/>
                <w:color w:val="000000" w:themeColor="text1"/>
                <w:sz w:val="24"/>
                <w:szCs w:val="24"/>
              </w:rPr>
            </w:pPr>
          </w:p>
          <w:p w14:paraId="45F1F5D8" w14:textId="77777777" w:rsidR="004B6D1F" w:rsidRDefault="004B6D1F">
            <w:pPr>
              <w:rPr>
                <w:rFonts w:ascii="Times New Roman" w:hAnsi="Times New Roman"/>
                <w:color w:val="000000" w:themeColor="text1"/>
                <w:sz w:val="24"/>
                <w:szCs w:val="24"/>
              </w:rPr>
            </w:pPr>
          </w:p>
          <w:p w14:paraId="45F1F5D9" w14:textId="77777777" w:rsidR="004B6D1F" w:rsidRDefault="004B6D1F">
            <w:pPr>
              <w:rPr>
                <w:rFonts w:ascii="Times New Roman" w:hAnsi="Times New Roman"/>
                <w:color w:val="000000" w:themeColor="text1"/>
                <w:sz w:val="24"/>
                <w:szCs w:val="24"/>
              </w:rPr>
            </w:pPr>
          </w:p>
          <w:p w14:paraId="45F1F5DA" w14:textId="77777777" w:rsidR="004B6D1F" w:rsidRDefault="004B6D1F">
            <w:pPr>
              <w:rPr>
                <w:rFonts w:ascii="Times New Roman" w:hAnsi="Times New Roman"/>
                <w:color w:val="000000" w:themeColor="text1"/>
                <w:sz w:val="24"/>
                <w:szCs w:val="24"/>
              </w:rPr>
            </w:pPr>
          </w:p>
          <w:p w14:paraId="45F1F5DB" w14:textId="77777777" w:rsidR="004B6D1F" w:rsidRDefault="004B6D1F">
            <w:pPr>
              <w:rPr>
                <w:rFonts w:ascii="Times New Roman" w:hAnsi="Times New Roman"/>
                <w:color w:val="000000" w:themeColor="text1"/>
                <w:sz w:val="24"/>
                <w:szCs w:val="24"/>
              </w:rPr>
            </w:pPr>
          </w:p>
          <w:p w14:paraId="45F1F5DC" w14:textId="77777777" w:rsidR="004B6D1F" w:rsidRDefault="004B6D1F">
            <w:pPr>
              <w:rPr>
                <w:rFonts w:ascii="Times New Roman" w:hAnsi="Times New Roman"/>
                <w:color w:val="000000" w:themeColor="text1"/>
                <w:sz w:val="24"/>
                <w:szCs w:val="24"/>
              </w:rPr>
            </w:pPr>
          </w:p>
          <w:p w14:paraId="45F1F5DD" w14:textId="77777777" w:rsidR="004B6D1F" w:rsidRDefault="004B6D1F">
            <w:pPr>
              <w:rPr>
                <w:rFonts w:ascii="Times New Roman" w:hAnsi="Times New Roman"/>
                <w:color w:val="000000" w:themeColor="text1"/>
                <w:sz w:val="24"/>
                <w:szCs w:val="24"/>
              </w:rPr>
            </w:pPr>
          </w:p>
          <w:p w14:paraId="45F1F5DE" w14:textId="77777777" w:rsidR="004B6D1F" w:rsidRDefault="004B6D1F">
            <w:pPr>
              <w:rPr>
                <w:rFonts w:ascii="Times New Roman" w:hAnsi="Times New Roman"/>
                <w:color w:val="000000" w:themeColor="text1"/>
                <w:sz w:val="24"/>
                <w:szCs w:val="24"/>
              </w:rPr>
            </w:pPr>
          </w:p>
          <w:p w14:paraId="45F1F5DF" w14:textId="77777777" w:rsidR="004B6D1F" w:rsidRDefault="004B6D1F">
            <w:pPr>
              <w:rPr>
                <w:rFonts w:ascii="Times New Roman" w:hAnsi="Times New Roman"/>
                <w:color w:val="000000" w:themeColor="text1"/>
                <w:sz w:val="24"/>
                <w:szCs w:val="24"/>
              </w:rPr>
            </w:pPr>
          </w:p>
          <w:p w14:paraId="45F1F5E0" w14:textId="77777777" w:rsidR="004B6D1F" w:rsidRDefault="004B6D1F">
            <w:pPr>
              <w:rPr>
                <w:rFonts w:ascii="Times New Roman" w:hAnsi="Times New Roman"/>
                <w:color w:val="000000" w:themeColor="text1"/>
                <w:sz w:val="24"/>
                <w:szCs w:val="24"/>
              </w:rPr>
            </w:pPr>
          </w:p>
          <w:p w14:paraId="45F1F5E1" w14:textId="77777777" w:rsidR="004B6D1F" w:rsidRDefault="004B6D1F">
            <w:pPr>
              <w:rPr>
                <w:rFonts w:ascii="Times New Roman" w:hAnsi="Times New Roman"/>
                <w:color w:val="000000" w:themeColor="text1"/>
                <w:sz w:val="24"/>
                <w:szCs w:val="24"/>
              </w:rPr>
            </w:pPr>
          </w:p>
          <w:p w14:paraId="45F1F5E2" w14:textId="77777777" w:rsidR="004B6D1F" w:rsidRDefault="004B6D1F">
            <w:pPr>
              <w:rPr>
                <w:rFonts w:ascii="Times New Roman" w:hAnsi="Times New Roman"/>
                <w:color w:val="000000" w:themeColor="text1"/>
                <w:sz w:val="24"/>
                <w:szCs w:val="24"/>
              </w:rPr>
            </w:pPr>
          </w:p>
          <w:p w14:paraId="45F1F5E3" w14:textId="77777777" w:rsidR="004B6D1F" w:rsidRDefault="004B6D1F">
            <w:pPr>
              <w:rPr>
                <w:rFonts w:ascii="Times New Roman" w:hAnsi="Times New Roman"/>
                <w:color w:val="000000" w:themeColor="text1"/>
                <w:sz w:val="24"/>
                <w:szCs w:val="24"/>
              </w:rPr>
            </w:pPr>
          </w:p>
          <w:p w14:paraId="45F1F5E4" w14:textId="77777777" w:rsidR="004B6D1F" w:rsidRDefault="004B6D1F">
            <w:pPr>
              <w:ind w:firstLine="720"/>
              <w:rPr>
                <w:rFonts w:ascii="Times New Roman" w:hAnsi="Times New Roman"/>
                <w:color w:val="000000" w:themeColor="text1"/>
                <w:sz w:val="24"/>
                <w:szCs w:val="24"/>
              </w:rPr>
            </w:pPr>
          </w:p>
          <w:p w14:paraId="45F1F5E5" w14:textId="77777777" w:rsidR="004B6D1F" w:rsidRDefault="00E220D1">
            <w:pPr>
              <w:tabs>
                <w:tab w:val="left" w:pos="720"/>
              </w:tabs>
              <w:rPr>
                <w:rFonts w:ascii="Times New Roman" w:hAnsi="Times New Roman"/>
                <w:color w:val="000000" w:themeColor="text1"/>
                <w:sz w:val="24"/>
                <w:szCs w:val="24"/>
              </w:rPr>
            </w:pPr>
            <w:r>
              <w:rPr>
                <w:rFonts w:ascii="Times New Roman" w:hAnsi="Times New Roman"/>
                <w:color w:val="000000" w:themeColor="text1"/>
                <w:sz w:val="24"/>
                <w:szCs w:val="24"/>
              </w:rPr>
              <w:tab/>
            </w:r>
          </w:p>
        </w:tc>
        <w:tc>
          <w:tcPr>
            <w:tcW w:w="3226" w:type="pct"/>
          </w:tcPr>
          <w:p w14:paraId="45F1F5E6" w14:textId="77777777" w:rsidR="004B6D1F" w:rsidRDefault="00E220D1">
            <w:pPr>
              <w:pStyle w:val="Heading4"/>
              <w:shd w:val="clear" w:color="auto" w:fill="FFFFFF"/>
              <w:ind w:firstLine="264"/>
              <w:jc w:val="both"/>
              <w:rPr>
                <w:rFonts w:ascii="Times New Roman" w:hAnsi="Times New Roman" w:cs="Times New Roman"/>
                <w:i w:val="0"/>
                <w:iCs w:val="0"/>
                <w:color w:val="000000" w:themeColor="text1"/>
                <w:sz w:val="24"/>
                <w:szCs w:val="24"/>
              </w:rPr>
            </w:pPr>
            <w:r>
              <w:rPr>
                <w:rFonts w:ascii="Times New Roman" w:hAnsi="Times New Roman" w:cs="Times New Roman"/>
                <w:i w:val="0"/>
                <w:iCs w:val="0"/>
                <w:color w:val="000000" w:themeColor="text1"/>
                <w:sz w:val="24"/>
                <w:szCs w:val="24"/>
              </w:rPr>
              <w:lastRenderedPageBreak/>
              <w:t xml:space="preserve">Izvērtējot pašreizējo situāciju, konstatējams, ka: </w:t>
            </w:r>
          </w:p>
          <w:p w14:paraId="45F1F5E7" w14:textId="77777777" w:rsidR="004B6D1F" w:rsidRDefault="00E220D1">
            <w:pPr>
              <w:pStyle w:val="Heading4"/>
              <w:numPr>
                <w:ilvl w:val="0"/>
                <w:numId w:val="13"/>
              </w:numPr>
              <w:shd w:val="clear" w:color="auto" w:fill="FFFFFF"/>
              <w:jc w:val="both"/>
              <w:rPr>
                <w:rFonts w:ascii="Times New Roman" w:hAnsi="Times New Roman" w:cs="Times New Roman"/>
                <w:i w:val="0"/>
                <w:iCs w:val="0"/>
                <w:color w:val="000000" w:themeColor="text1"/>
                <w:sz w:val="24"/>
                <w:szCs w:val="24"/>
              </w:rPr>
            </w:pPr>
            <w:r>
              <w:rPr>
                <w:rFonts w:ascii="Times New Roman" w:eastAsia="Times New Roman" w:hAnsi="Times New Roman"/>
                <w:i w:val="0"/>
                <w:iCs w:val="0"/>
                <w:color w:val="000000" w:themeColor="text1"/>
                <w:sz w:val="24"/>
                <w:szCs w:val="24"/>
                <w:lang w:eastAsia="lv-LV"/>
              </w:rPr>
              <w:t xml:space="preserve"> MK noteikumi Nr. 631 </w:t>
            </w:r>
            <w:r>
              <w:rPr>
                <w:rFonts w:ascii="Times New Roman" w:hAnsi="Times New Roman" w:cs="Times New Roman"/>
                <w:i w:val="0"/>
                <w:iCs w:val="0"/>
                <w:color w:val="000000" w:themeColor="text1"/>
                <w:sz w:val="24"/>
                <w:szCs w:val="24"/>
              </w:rPr>
              <w:t xml:space="preserve">izdoti pamatojoties uz </w:t>
            </w:r>
            <w:r>
              <w:rPr>
                <w:rFonts w:asciiTheme="minorHAnsi" w:eastAsiaTheme="minorHAnsi" w:hAnsiTheme="minorHAnsi" w:cstheme="minorBidi"/>
                <w:i w:val="0"/>
                <w:iCs w:val="0"/>
                <w:color w:val="000000" w:themeColor="text1"/>
              </w:rPr>
              <w:t xml:space="preserve"> </w:t>
            </w:r>
            <w:hyperlink r:id="rId9" w:tgtFrame="_blank" w:history="1">
              <w:r>
                <w:rPr>
                  <w:rStyle w:val="Hyperlink"/>
                  <w:rFonts w:ascii="Times New Roman" w:hAnsi="Times New Roman" w:cs="Times New Roman"/>
                  <w:i w:val="0"/>
                  <w:iCs w:val="0"/>
                  <w:color w:val="000000" w:themeColor="text1"/>
                  <w:sz w:val="24"/>
                  <w:szCs w:val="24"/>
                  <w:u w:val="none"/>
                </w:rPr>
                <w:t>Jūras vides aizsardzības un pārvaldības likuma</w:t>
              </w:r>
            </w:hyperlink>
            <w:r>
              <w:rPr>
                <w:rFonts w:ascii="Times New Roman" w:hAnsi="Times New Roman" w:cs="Times New Roman"/>
                <w:i w:val="0"/>
                <w:iCs w:val="0"/>
                <w:color w:val="000000" w:themeColor="text1"/>
                <w:sz w:val="24"/>
                <w:szCs w:val="24"/>
              </w:rPr>
              <w:br/>
            </w:r>
            <w:hyperlink r:id="rId10" w:anchor="p19" w:tgtFrame="_blank" w:history="1">
              <w:r>
                <w:rPr>
                  <w:rStyle w:val="Hyperlink"/>
                  <w:rFonts w:ascii="Times New Roman" w:hAnsi="Times New Roman" w:cs="Times New Roman"/>
                  <w:i w:val="0"/>
                  <w:iCs w:val="0"/>
                  <w:color w:val="000000" w:themeColor="text1"/>
                  <w:sz w:val="24"/>
                  <w:szCs w:val="24"/>
                  <w:u w:val="none"/>
                </w:rPr>
                <w:t>19.panta</w:t>
              </w:r>
            </w:hyperlink>
            <w:r>
              <w:rPr>
                <w:rFonts w:ascii="Times New Roman" w:hAnsi="Times New Roman" w:cs="Times New Roman"/>
                <w:i w:val="0"/>
                <w:iCs w:val="0"/>
                <w:color w:val="000000" w:themeColor="text1"/>
                <w:sz w:val="24"/>
                <w:szCs w:val="24"/>
              </w:rPr>
              <w:t> ceturtās daļas 1., 2., 3. un 4. punktu.</w:t>
            </w:r>
          </w:p>
          <w:p w14:paraId="45F1F5E8" w14:textId="77777777" w:rsidR="004B6D1F" w:rsidRDefault="00E220D1">
            <w:pPr>
              <w:pStyle w:val="Heading4"/>
              <w:numPr>
                <w:ilvl w:val="0"/>
                <w:numId w:val="13"/>
              </w:numPr>
              <w:shd w:val="clear" w:color="auto" w:fill="FFFFFF"/>
              <w:jc w:val="both"/>
              <w:rPr>
                <w:rFonts w:ascii="Times New Roman" w:hAnsi="Times New Roman" w:cs="Times New Roman"/>
                <w:i w:val="0"/>
                <w:iCs w:val="0"/>
                <w:color w:val="000000" w:themeColor="text1"/>
                <w:sz w:val="24"/>
                <w:szCs w:val="24"/>
              </w:rPr>
            </w:pPr>
            <w:r>
              <w:rPr>
                <w:rFonts w:ascii="Times New Roman" w:hAnsi="Times New Roman" w:cs="Times New Roman"/>
                <w:i w:val="0"/>
                <w:iCs w:val="0"/>
                <w:color w:val="000000" w:themeColor="text1"/>
                <w:sz w:val="24"/>
                <w:szCs w:val="24"/>
              </w:rPr>
              <w:t xml:space="preserve">Noteikumi Nr. 805 ir izdoti pamatojoties uz </w:t>
            </w:r>
            <w:r>
              <w:rPr>
                <w:rFonts w:ascii="Times New Roman" w:hAnsi="Times New Roman" w:cs="Times New Roman"/>
                <w:i w:val="0"/>
                <w:iCs w:val="0"/>
                <w:color w:val="000000" w:themeColor="text1"/>
                <w:sz w:val="24"/>
                <w:szCs w:val="24"/>
                <w:shd w:val="clear" w:color="auto" w:fill="FFFFFF"/>
              </w:rPr>
              <w:t>likuma "Par zemes dzīlēm" 4. panta ceturto daļu,</w:t>
            </w:r>
            <w:r>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shd w:val="clear" w:color="auto" w:fill="FFFFFF"/>
              </w:rPr>
              <w:t xml:space="preserve">10. panta ceturto, septīto, desmito un trīspadsmito daļu  un </w:t>
            </w:r>
            <w:r>
              <w:rPr>
                <w:rFonts w:ascii="Times New Roman" w:hAnsi="Times New Roman"/>
                <w:i w:val="0"/>
                <w:iCs w:val="0"/>
                <w:color w:val="000000" w:themeColor="text1"/>
                <w:sz w:val="24"/>
                <w:szCs w:val="24"/>
              </w:rPr>
              <w:t>Valsts pārvaldes iekārtas likuma 13. pantu</w:t>
            </w:r>
            <w:r>
              <w:rPr>
                <w:rFonts w:ascii="Times New Roman" w:hAnsi="Times New Roman" w:cs="Times New Roman"/>
                <w:i w:val="0"/>
                <w:iCs w:val="0"/>
                <w:color w:val="000000" w:themeColor="text1"/>
                <w:sz w:val="24"/>
                <w:szCs w:val="24"/>
              </w:rPr>
              <w:t xml:space="preserve">. </w:t>
            </w:r>
          </w:p>
          <w:p w14:paraId="45F1F5E9" w14:textId="77777777" w:rsidR="004B6D1F" w:rsidRDefault="00E220D1">
            <w:pPr>
              <w:pStyle w:val="Heading4"/>
              <w:shd w:val="clear" w:color="auto" w:fill="FFFFFF"/>
              <w:ind w:firstLine="264"/>
              <w:jc w:val="both"/>
              <w:rPr>
                <w:rFonts w:ascii="Times New Roman" w:eastAsia="Times New Roman" w:hAnsi="Times New Roman" w:cs="Times New Roman"/>
                <w:i w:val="0"/>
                <w:iCs w:val="0"/>
                <w:color w:val="000000" w:themeColor="text1"/>
                <w:sz w:val="24"/>
                <w:szCs w:val="24"/>
                <w:lang w:eastAsia="lv-LV"/>
              </w:rPr>
            </w:pPr>
            <w:r>
              <w:rPr>
                <w:rFonts w:ascii="Times New Roman" w:hAnsi="Times New Roman" w:cs="Times New Roman"/>
                <w:i w:val="0"/>
                <w:iCs w:val="0"/>
                <w:color w:val="000000" w:themeColor="text1"/>
                <w:sz w:val="24"/>
                <w:szCs w:val="24"/>
                <w:shd w:val="clear" w:color="auto" w:fill="FFFFFF"/>
              </w:rPr>
              <w:t>Likuma "Par zemes dzīlēm" 4. panta ceturtā daļa nosaka, ka  Ministru kabinets reglamentē ogļūdeņražu licenču laukumu noteikšanas kārtību kā arī  licen</w:t>
            </w:r>
            <w:r>
              <w:rPr>
                <w:rFonts w:ascii="Times New Roman" w:hAnsi="Times New Roman" w:cs="Times New Roman"/>
                <w:i w:val="0"/>
                <w:iCs w:val="0"/>
                <w:color w:val="000000" w:themeColor="text1"/>
                <w:sz w:val="24"/>
                <w:szCs w:val="24"/>
                <w:shd w:val="clear" w:color="auto" w:fill="FFFFFF"/>
              </w:rPr>
              <w:t>ces atcelšanas nosacījumus. Tāpat arī likuma "Par zemes dzīlēm" 10. panta desmitā daļa nosaka zemes dzīļu izmantošanas licenču izsniegšanas konkursa vai izsoles vispārējo kārtību un trīspadsmitā daļa  paredz ogļūdeņražu meklēšanas, izpētes un ieguves licen</w:t>
            </w:r>
            <w:r>
              <w:rPr>
                <w:rFonts w:ascii="Times New Roman" w:hAnsi="Times New Roman" w:cs="Times New Roman"/>
                <w:i w:val="0"/>
                <w:iCs w:val="0"/>
                <w:color w:val="000000" w:themeColor="text1"/>
                <w:sz w:val="24"/>
                <w:szCs w:val="24"/>
                <w:shd w:val="clear" w:color="auto" w:fill="FFFFFF"/>
              </w:rPr>
              <w:t xml:space="preserve">ces atsavināšanas kārtību. </w:t>
            </w:r>
            <w:r>
              <w:rPr>
                <w:rFonts w:ascii="Times New Roman" w:hAnsi="Times New Roman" w:cs="Times New Roman"/>
                <w:i w:val="0"/>
                <w:iCs w:val="0"/>
                <w:color w:val="000000" w:themeColor="text1"/>
                <w:sz w:val="24"/>
                <w:szCs w:val="24"/>
              </w:rPr>
              <w:t xml:space="preserve">Savukārt </w:t>
            </w:r>
            <w:r>
              <w:rPr>
                <w:rFonts w:ascii="Times New Roman" w:hAnsi="Times New Roman" w:cs="Times New Roman"/>
                <w:i w:val="0"/>
                <w:iCs w:val="0"/>
                <w:color w:val="000000" w:themeColor="text1"/>
                <w:sz w:val="24"/>
                <w:szCs w:val="24"/>
                <w:shd w:val="clear" w:color="auto" w:fill="FFFFFF"/>
              </w:rPr>
              <w:t>Jūras vides aizsardzības un pārvaldības likumā 19. panta ceturtās daļas 1., 2. un 3. punkta</w:t>
            </w:r>
            <w:r>
              <w:rPr>
                <w:rFonts w:ascii="Times New Roman" w:hAnsi="Times New Roman" w:cs="Times New Roman"/>
                <w:i w:val="0"/>
                <w:iCs w:val="0"/>
                <w:color w:val="000000" w:themeColor="text1"/>
                <w:sz w:val="24"/>
                <w:szCs w:val="24"/>
              </w:rPr>
              <w:t xml:space="preserve">  deleģējums arī noteic, ka </w:t>
            </w:r>
            <w:r>
              <w:rPr>
                <w:rFonts w:ascii="Times New Roman" w:eastAsia="Times New Roman" w:hAnsi="Times New Roman" w:cs="Times New Roman"/>
                <w:i w:val="0"/>
                <w:iCs w:val="0"/>
                <w:color w:val="000000" w:themeColor="text1"/>
                <w:sz w:val="24"/>
                <w:szCs w:val="24"/>
                <w:lang w:eastAsia="lv-LV"/>
              </w:rPr>
              <w:t xml:space="preserve"> Ministru kabinets reglamentē  kārtību, kādā nosakāms licences laukums jūrā</w:t>
            </w:r>
            <w:r>
              <w:rPr>
                <w:rFonts w:ascii="Times New Roman" w:hAnsi="Times New Roman" w:cs="Times New Roman"/>
                <w:i w:val="0"/>
                <w:iCs w:val="0"/>
                <w:color w:val="000000" w:themeColor="text1"/>
                <w:sz w:val="24"/>
                <w:szCs w:val="24"/>
                <w:lang w:eastAsia="lv-LV"/>
              </w:rPr>
              <w:t>,</w:t>
            </w:r>
            <w:r>
              <w:rPr>
                <w:rFonts w:ascii="Times New Roman" w:hAnsi="Times New Roman" w:cs="Times New Roman"/>
                <w:i w:val="0"/>
                <w:iCs w:val="0"/>
                <w:color w:val="000000" w:themeColor="text1"/>
                <w:sz w:val="24"/>
                <w:szCs w:val="24"/>
                <w:shd w:val="clear" w:color="auto" w:fill="FFFFFF"/>
              </w:rPr>
              <w:t xml:space="preserve"> </w:t>
            </w:r>
            <w:r>
              <w:rPr>
                <w:rFonts w:ascii="Times New Roman" w:eastAsia="Times New Roman" w:hAnsi="Times New Roman" w:cs="Times New Roman"/>
                <w:i w:val="0"/>
                <w:iCs w:val="0"/>
                <w:color w:val="000000" w:themeColor="text1"/>
                <w:sz w:val="24"/>
                <w:szCs w:val="24"/>
                <w:lang w:eastAsia="lv-LV"/>
              </w:rPr>
              <w:t xml:space="preserve"> kārtību, kādā rīkojams </w:t>
            </w:r>
            <w:r>
              <w:rPr>
                <w:rFonts w:ascii="Times New Roman" w:eastAsia="Times New Roman" w:hAnsi="Times New Roman" w:cs="Times New Roman"/>
                <w:i w:val="0"/>
                <w:iCs w:val="0"/>
                <w:color w:val="000000" w:themeColor="text1"/>
                <w:sz w:val="24"/>
                <w:szCs w:val="24"/>
                <w:lang w:eastAsia="lv-LV"/>
              </w:rPr>
              <w:t>konkurss par tiesībām izmantot atļaujas vai licences laukumu jūrā, kārtību, kādā izsniedzama, apturama vai atceļama atļauja vai licence.</w:t>
            </w:r>
          </w:p>
          <w:p w14:paraId="45F1F5EA" w14:textId="77777777" w:rsidR="004B6D1F" w:rsidRDefault="00E220D1">
            <w:pPr>
              <w:pStyle w:val="Heading4"/>
              <w:shd w:val="clear" w:color="auto" w:fill="FFFFFF"/>
              <w:ind w:firstLine="264"/>
              <w:jc w:val="both"/>
              <w:rPr>
                <w:rFonts w:ascii="Times New Roman" w:eastAsia="Times New Roman" w:hAnsi="Times New Roman" w:cs="Times New Roman"/>
                <w:i w:val="0"/>
                <w:iCs w:val="0"/>
                <w:color w:val="000000" w:themeColor="text1"/>
                <w:sz w:val="24"/>
                <w:szCs w:val="24"/>
                <w:lang w:eastAsia="lv-LV"/>
              </w:rPr>
            </w:pPr>
            <w:r>
              <w:rPr>
                <w:rFonts w:ascii="Times New Roman" w:hAnsi="Times New Roman" w:cs="Times New Roman"/>
                <w:i w:val="0"/>
                <w:iCs w:val="0"/>
                <w:color w:val="000000" w:themeColor="text1"/>
                <w:sz w:val="24"/>
                <w:szCs w:val="24"/>
              </w:rPr>
              <w:t xml:space="preserve">Līdz ar to, lai novērstu normu dublēšanos, tiek veikti grozījumi </w:t>
            </w:r>
            <w:r>
              <w:rPr>
                <w:rFonts w:ascii="Times New Roman" w:eastAsia="Times New Roman" w:hAnsi="Times New Roman" w:cs="Times New Roman"/>
                <w:i w:val="0"/>
                <w:iCs w:val="0"/>
                <w:color w:val="000000" w:themeColor="text1"/>
                <w:sz w:val="24"/>
                <w:szCs w:val="24"/>
                <w:lang w:eastAsia="lv-LV"/>
              </w:rPr>
              <w:t>MK noteikumos Nr. 631, izslēdzot ogļūdeņražu meklēšana</w:t>
            </w:r>
            <w:r>
              <w:rPr>
                <w:rFonts w:ascii="Times New Roman" w:eastAsia="Times New Roman" w:hAnsi="Times New Roman" w:cs="Times New Roman"/>
                <w:i w:val="0"/>
                <w:iCs w:val="0"/>
                <w:color w:val="000000" w:themeColor="text1"/>
                <w:sz w:val="24"/>
                <w:szCs w:val="24"/>
                <w:lang w:eastAsia="lv-LV"/>
              </w:rPr>
              <w:t>s vai izpētes un ieguves jautājumus</w:t>
            </w:r>
            <w:r>
              <w:rPr>
                <w:rFonts w:ascii="Times New Roman" w:hAnsi="Times New Roman" w:cs="Times New Roman"/>
                <w:i w:val="0"/>
                <w:iCs w:val="0"/>
                <w:color w:val="000000" w:themeColor="text1"/>
                <w:sz w:val="24"/>
                <w:szCs w:val="24"/>
              </w:rPr>
              <w:t xml:space="preserve"> par kārtību kādā nosakāms licences laukums jūrā, rīkojams konkurss par tiesībām izmantot licences laukumu jūrā kā arī kārtību kādā izsniedzama licence laukuma izmantošanai jūrā. Pēc Noteikumu projekta stāšanās spēkā turp</w:t>
            </w:r>
            <w:r>
              <w:rPr>
                <w:rFonts w:ascii="Times New Roman" w:hAnsi="Times New Roman" w:cs="Times New Roman"/>
                <w:i w:val="0"/>
                <w:iCs w:val="0"/>
                <w:color w:val="000000" w:themeColor="text1"/>
                <w:sz w:val="24"/>
                <w:szCs w:val="24"/>
              </w:rPr>
              <w:t xml:space="preserve">māk </w:t>
            </w:r>
            <w:r>
              <w:rPr>
                <w:rFonts w:ascii="Times New Roman" w:hAnsi="Times New Roman" w:cs="Times New Roman"/>
                <w:i w:val="0"/>
                <w:iCs w:val="0"/>
                <w:color w:val="000000" w:themeColor="text1"/>
                <w:sz w:val="24"/>
                <w:szCs w:val="24"/>
                <w:shd w:val="clear" w:color="auto" w:fill="FFFFFF"/>
              </w:rPr>
              <w:t xml:space="preserve">minētos ogļūdeņražu jautājumus regulēs </w:t>
            </w:r>
            <w:r>
              <w:rPr>
                <w:rFonts w:ascii="Times New Roman" w:hAnsi="Times New Roman" w:cs="Times New Roman"/>
                <w:i w:val="0"/>
                <w:iCs w:val="0"/>
                <w:color w:val="000000" w:themeColor="text1"/>
                <w:sz w:val="24"/>
                <w:szCs w:val="24"/>
              </w:rPr>
              <w:t>Noteikumi Nr.805</w:t>
            </w:r>
            <w:r>
              <w:rPr>
                <w:rFonts w:ascii="Times New Roman" w:eastAsia="Times New Roman" w:hAnsi="Times New Roman" w:cs="Times New Roman"/>
                <w:i w:val="0"/>
                <w:iCs w:val="0"/>
                <w:color w:val="000000" w:themeColor="text1"/>
                <w:sz w:val="24"/>
                <w:szCs w:val="24"/>
                <w:lang w:eastAsia="lv-LV"/>
              </w:rPr>
              <w:t>.</w:t>
            </w:r>
          </w:p>
          <w:p w14:paraId="45F1F5EB" w14:textId="77777777" w:rsidR="004B6D1F" w:rsidRDefault="00E220D1">
            <w:pPr>
              <w:pStyle w:val="Heading4"/>
              <w:shd w:val="clear" w:color="auto" w:fill="FFFFFF"/>
              <w:ind w:firstLine="264"/>
              <w:jc w:val="both"/>
              <w:rPr>
                <w:rFonts w:ascii="Times New Roman" w:hAnsi="Times New Roman" w:cs="Times New Roman"/>
                <w:i w:val="0"/>
                <w:iCs w:val="0"/>
                <w:color w:val="000000" w:themeColor="text1"/>
                <w:sz w:val="24"/>
                <w:szCs w:val="24"/>
              </w:rPr>
            </w:pPr>
            <w:r>
              <w:rPr>
                <w:rFonts w:ascii="Times New Roman" w:eastAsia="Times New Roman" w:hAnsi="Times New Roman" w:cs="Times New Roman"/>
                <w:i w:val="0"/>
                <w:iCs w:val="0"/>
                <w:color w:val="000000" w:themeColor="text1"/>
                <w:sz w:val="24"/>
                <w:szCs w:val="24"/>
                <w:lang w:eastAsia="lv-LV"/>
              </w:rPr>
              <w:t>Noteikumu projekts paredz precizēt MK noteikumus Nr. 631, piedāvājot jaunu</w:t>
            </w:r>
            <w:r>
              <w:rPr>
                <w:rFonts w:ascii="Times New Roman" w:eastAsia="Times New Roman" w:hAnsi="Times New Roman" w:cs="Times New Roman"/>
                <w:i w:val="0"/>
                <w:iCs w:val="0"/>
                <w:color w:val="000000" w:themeColor="text1"/>
                <w:sz w:val="24"/>
                <w:szCs w:val="24"/>
              </w:rPr>
              <w:t xml:space="preserve"> 2.punkta redakciju,</w:t>
            </w:r>
            <w:r>
              <w:rPr>
                <w:rFonts w:ascii="Times New Roman" w:hAnsi="Times New Roman" w:cs="Times New Roman"/>
                <w:i w:val="0"/>
                <w:iCs w:val="0"/>
                <w:color w:val="000000" w:themeColor="text1"/>
                <w:sz w:val="24"/>
                <w:szCs w:val="24"/>
              </w:rPr>
              <w:t xml:space="preserve"> </w:t>
            </w:r>
            <w:r>
              <w:rPr>
                <w:rFonts w:ascii="Times New Roman" w:eastAsia="Times New Roman" w:hAnsi="Times New Roman" w:cs="Times New Roman"/>
                <w:i w:val="0"/>
                <w:iCs w:val="0"/>
                <w:color w:val="000000" w:themeColor="text1"/>
                <w:sz w:val="24"/>
                <w:szCs w:val="24"/>
                <w:lang w:eastAsia="lv-LV"/>
              </w:rPr>
              <w:t xml:space="preserve">kurā precizēts, ka noteikumu projektā atsevišķi noteiktais neattiecas </w:t>
            </w:r>
            <w:r>
              <w:rPr>
                <w:rFonts w:ascii="Times New Roman" w:hAnsi="Times New Roman" w:cs="Times New Roman"/>
                <w:i w:val="0"/>
                <w:iCs w:val="0"/>
                <w:color w:val="000000" w:themeColor="text1"/>
                <w:sz w:val="24"/>
                <w:szCs w:val="24"/>
              </w:rPr>
              <w:t>uz ogļūdeņražu izpēti un ieguvi, proti, licences laukuma noteikšana jūrā, kārtībā par konkursa rīkošanu par tiesībām izmantot licences laukumu jūrā, kā arī kārtība kādā izsniedzama licen</w:t>
            </w:r>
            <w:r>
              <w:rPr>
                <w:rFonts w:ascii="Times New Roman" w:hAnsi="Times New Roman" w:cs="Times New Roman"/>
                <w:i w:val="0"/>
                <w:iCs w:val="0"/>
                <w:color w:val="000000" w:themeColor="text1"/>
                <w:sz w:val="24"/>
                <w:szCs w:val="24"/>
              </w:rPr>
              <w:t xml:space="preserve">ce laukuma izmantošanai jūrā. </w:t>
            </w:r>
          </w:p>
          <w:p w14:paraId="45F1F5EC" w14:textId="77777777" w:rsidR="004B6D1F" w:rsidRDefault="00E220D1">
            <w:pPr>
              <w:pStyle w:val="Heading4"/>
              <w:shd w:val="clear" w:color="auto" w:fill="FFFFFF"/>
              <w:ind w:firstLine="264"/>
              <w:jc w:val="both"/>
              <w:rPr>
                <w:rFonts w:ascii="Times New Roman" w:hAnsi="Times New Roman" w:cs="Times New Roman"/>
                <w:i w:val="0"/>
                <w:iCs w:val="0"/>
                <w:color w:val="000000" w:themeColor="text1"/>
                <w:sz w:val="24"/>
                <w:szCs w:val="24"/>
              </w:rPr>
            </w:pPr>
            <w:r>
              <w:rPr>
                <w:rFonts w:ascii="Times New Roman" w:hAnsi="Times New Roman" w:cs="Times New Roman"/>
                <w:i w:val="0"/>
                <w:iCs w:val="0"/>
                <w:color w:val="000000" w:themeColor="text1"/>
                <w:sz w:val="24"/>
                <w:szCs w:val="24"/>
              </w:rPr>
              <w:t xml:space="preserve">Iepriekš minētā kārtība jau ir detalizēti atrunāta Noteikumos Nr. 805. Līdz ar to ar šiem grozījumiem tiek novērsta normu dublēšanās, normas kā arī atsevišķos punktos esošās atšķirības. Piemēram, salīdzinoši ar  MK noteikumu </w:t>
            </w:r>
            <w:r>
              <w:rPr>
                <w:rFonts w:ascii="Times New Roman" w:hAnsi="Times New Roman" w:cs="Times New Roman"/>
                <w:i w:val="0"/>
                <w:iCs w:val="0"/>
                <w:color w:val="000000" w:themeColor="text1"/>
                <w:sz w:val="24"/>
                <w:szCs w:val="24"/>
              </w:rPr>
              <w:t xml:space="preserve">Nr. 631 2. nodaļā iekļautajām prasībām, kas ir par laukuma noteikšanu jūrā, pēc Noteikumiem Nr. 805 ir jāaizpilda iesniegums, kas ir 1.pielikums “Iesniegums par zemes dzīļu </w:t>
            </w:r>
            <w:r>
              <w:rPr>
                <w:rFonts w:ascii="Times New Roman" w:hAnsi="Times New Roman" w:cs="Times New Roman"/>
                <w:i w:val="0"/>
                <w:iCs w:val="0"/>
                <w:color w:val="000000" w:themeColor="text1"/>
                <w:sz w:val="24"/>
                <w:szCs w:val="24"/>
              </w:rPr>
              <w:lastRenderedPageBreak/>
              <w:t>izmantošanas licences laukuma noteikšanu ogļūdeņražu meklēšanai vai ogļūdeņražu izp</w:t>
            </w:r>
            <w:r>
              <w:rPr>
                <w:rFonts w:ascii="Times New Roman" w:hAnsi="Times New Roman" w:cs="Times New Roman"/>
                <w:i w:val="0"/>
                <w:iCs w:val="0"/>
                <w:color w:val="000000" w:themeColor="text1"/>
                <w:sz w:val="24"/>
                <w:szCs w:val="24"/>
              </w:rPr>
              <w:t>ētei un ieguvei</w:t>
            </w:r>
            <w:r>
              <w:rPr>
                <w:rFonts w:ascii="Times New Roman" w:hAnsi="Times New Roman" w:cs="Times New Roman"/>
                <w:color w:val="000000" w:themeColor="text1"/>
                <w:sz w:val="24"/>
                <w:szCs w:val="24"/>
              </w:rPr>
              <w:t xml:space="preserve">”. </w:t>
            </w:r>
            <w:r>
              <w:rPr>
                <w:rFonts w:ascii="Times New Roman" w:hAnsi="Times New Roman" w:cs="Times New Roman"/>
                <w:i w:val="0"/>
                <w:iCs w:val="0"/>
                <w:color w:val="000000" w:themeColor="text1"/>
                <w:sz w:val="24"/>
                <w:szCs w:val="24"/>
              </w:rPr>
              <w:t>MK noteikumu Nr. 631. 2. nodaļā prasītā informācija ir krasi atšķirīga no Noteikumos Nr. 805 1. pielikumā iekļautajām prasībām. Tāpat arī informācija par  ogļūdeņražu izpētes un ieguves konkursu licences saņemšanai, konkursa prasības, kon</w:t>
            </w:r>
            <w:r>
              <w:rPr>
                <w:rFonts w:ascii="Times New Roman" w:hAnsi="Times New Roman" w:cs="Times New Roman"/>
                <w:i w:val="0"/>
                <w:iCs w:val="0"/>
                <w:color w:val="000000" w:themeColor="text1"/>
                <w:sz w:val="24"/>
                <w:szCs w:val="24"/>
              </w:rPr>
              <w:t>kursa norise un   ogļūdeņražu izpētes un ieguves darbu licencēšanas komisijas sastāvs un tās darbība Noteikumos Nr. 805 ir atšķirīga, daudz detālāka nekā  MK noteikumos Nr. 631 noteiktais.</w:t>
            </w:r>
          </w:p>
          <w:p w14:paraId="45F1F5ED" w14:textId="77777777" w:rsidR="004B6D1F" w:rsidRDefault="00E220D1">
            <w:pPr>
              <w:ind w:firstLine="264"/>
              <w:jc w:val="both"/>
              <w:rPr>
                <w:rFonts w:ascii="Times New Roman" w:hAnsi="Times New Roman"/>
                <w:color w:val="000000" w:themeColor="text1"/>
                <w:sz w:val="24"/>
                <w:szCs w:val="24"/>
              </w:rPr>
            </w:pPr>
            <w:r>
              <w:rPr>
                <w:rFonts w:ascii="Times New Roman" w:hAnsi="Times New Roman"/>
                <w:color w:val="000000" w:themeColor="text1"/>
                <w:sz w:val="24"/>
                <w:szCs w:val="24"/>
              </w:rPr>
              <w:t>Vienlaikus MK noteikumu  Nr. 631 10. nodaļā “</w:t>
            </w:r>
            <w:r>
              <w:rPr>
                <w:rFonts w:ascii="Times New Roman" w:hAnsi="Times New Roman"/>
                <w:color w:val="000000" w:themeColor="text1"/>
                <w:sz w:val="24"/>
                <w:szCs w:val="24"/>
                <w:shd w:val="clear" w:color="auto" w:fill="FFFFFF"/>
              </w:rPr>
              <w:t xml:space="preserve">Licences laukuma jūrā </w:t>
            </w:r>
            <w:r>
              <w:rPr>
                <w:rFonts w:ascii="Times New Roman" w:hAnsi="Times New Roman"/>
                <w:color w:val="000000" w:themeColor="text1"/>
                <w:sz w:val="24"/>
                <w:szCs w:val="24"/>
                <w:shd w:val="clear" w:color="auto" w:fill="FFFFFF"/>
              </w:rPr>
              <w:t>izmantošanai apturēšana vai anulēšana</w:t>
            </w:r>
            <w:r>
              <w:rPr>
                <w:rFonts w:ascii="Times New Roman" w:hAnsi="Times New Roman"/>
                <w:color w:val="000000" w:themeColor="text1"/>
                <w:sz w:val="24"/>
                <w:szCs w:val="24"/>
              </w:rPr>
              <w:t>” jau ir atrunāta atsevišķa kārtība, kādā licence jūrā apturama vai anulējama (atceļama), kas ir detālāka nekā  Noteikumos Nr. 805, kur 34. punkts noteic, ka licenci ogļūdeņražu izpētei un ieguvei aptur vai atceļ saskaņ</w:t>
            </w:r>
            <w:r>
              <w:rPr>
                <w:rFonts w:ascii="Times New Roman" w:hAnsi="Times New Roman"/>
                <w:color w:val="000000" w:themeColor="text1"/>
                <w:sz w:val="24"/>
                <w:szCs w:val="24"/>
              </w:rPr>
              <w:t>ā ar likuma “Par zemes dzīlēm” 16. pantu.</w:t>
            </w:r>
          </w:p>
          <w:p w14:paraId="45F1F5EE" w14:textId="77777777" w:rsidR="004B6D1F" w:rsidRDefault="00E220D1">
            <w:pPr>
              <w:ind w:firstLine="264"/>
              <w:jc w:val="both"/>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Ņemot vērā iepriekš minēto, tiek</w:t>
            </w:r>
            <w:r>
              <w:rPr>
                <w:rFonts w:ascii="Times New Roman" w:hAnsi="Times New Roman"/>
                <w:color w:val="000000" w:themeColor="text1"/>
                <w:sz w:val="24"/>
                <w:szCs w:val="24"/>
              </w:rPr>
              <w:t xml:space="preserve"> grozīti </w:t>
            </w:r>
            <w:r>
              <w:rPr>
                <w:rFonts w:ascii="Times New Roman" w:eastAsia="Times New Roman" w:hAnsi="Times New Roman"/>
                <w:color w:val="000000" w:themeColor="text1"/>
                <w:sz w:val="24"/>
                <w:szCs w:val="24"/>
                <w:lang w:eastAsia="lv-LV"/>
              </w:rPr>
              <w:t xml:space="preserve">MK noteikumi Nr. 631 </w:t>
            </w:r>
            <w:r>
              <w:rPr>
                <w:rFonts w:ascii="Times New Roman" w:hAnsi="Times New Roman"/>
                <w:color w:val="000000" w:themeColor="text1"/>
                <w:sz w:val="24"/>
                <w:szCs w:val="24"/>
              </w:rPr>
              <w:t xml:space="preserve"> un attiecībā uz dublējošām normām, turpmāk piemērojama   Noteikumos Nr.805 noteiktā kārtība.</w:t>
            </w:r>
          </w:p>
          <w:p w14:paraId="45F1F5EF" w14:textId="77777777" w:rsidR="004B6D1F" w:rsidRDefault="00E220D1">
            <w:pPr>
              <w:ind w:firstLine="264"/>
              <w:jc w:val="both"/>
              <w:rPr>
                <w:rFonts w:ascii="Times New Roman" w:hAnsi="Times New Roman"/>
                <w:color w:val="000000" w:themeColor="text1"/>
                <w:sz w:val="24"/>
                <w:szCs w:val="24"/>
              </w:rPr>
            </w:pPr>
            <w:r>
              <w:rPr>
                <w:rFonts w:ascii="Times New Roman" w:hAnsi="Times New Roman"/>
                <w:color w:val="000000" w:themeColor="text1"/>
                <w:sz w:val="24"/>
                <w:szCs w:val="24"/>
              </w:rPr>
              <w:t>Ogļūdeņražu meklēšanas, ogļūdeņražu izpētes un ieguves lic</w:t>
            </w:r>
            <w:r>
              <w:rPr>
                <w:rFonts w:ascii="Times New Roman" w:hAnsi="Times New Roman"/>
                <w:color w:val="000000" w:themeColor="text1"/>
                <w:sz w:val="24"/>
                <w:szCs w:val="24"/>
              </w:rPr>
              <w:t>enču administrēšanas funkcija tika nodota BVKB saskaņā ar grozījumiem likumā “Par zemes dzīlēm”, kas stājās spēkā ar 2020. gada 1. janvāri, kā arī saskaņā ar grozījumiem  Noteikumos Nr.805</w:t>
            </w:r>
            <w:r>
              <w:rPr>
                <w:rFonts w:ascii="Times New Roman" w:hAnsi="Times New Roman"/>
                <w:color w:val="000000" w:themeColor="text1"/>
              </w:rPr>
              <w:t xml:space="preserve">  </w:t>
            </w:r>
            <w:r>
              <w:rPr>
                <w:rFonts w:ascii="Times New Roman" w:hAnsi="Times New Roman"/>
                <w:color w:val="000000" w:themeColor="text1"/>
                <w:sz w:val="24"/>
                <w:szCs w:val="24"/>
              </w:rPr>
              <w:t>(Ministru kabineta 2019. gada 17. decembra noteikumi Nr. 685 “Groz</w:t>
            </w:r>
            <w:r>
              <w:rPr>
                <w:rFonts w:ascii="Times New Roman" w:hAnsi="Times New Roman"/>
                <w:color w:val="000000" w:themeColor="text1"/>
                <w:sz w:val="24"/>
                <w:szCs w:val="24"/>
              </w:rPr>
              <w:t>ījumi Ministru kabineta 2015. gada 22. decembra noteikumos Nr. 805 "Noteikumi par ogļūdeņražu meklēšanu, izpēti un ieguvi"”) un grozījumiem Ministru kabineta 2014. gada 30. septembra noteikumos Nr. 576 "Būvniecības valsts kontroles biroja nolikums" (Minist</w:t>
            </w:r>
            <w:r>
              <w:rPr>
                <w:rFonts w:ascii="Times New Roman" w:hAnsi="Times New Roman"/>
                <w:color w:val="000000" w:themeColor="text1"/>
                <w:sz w:val="24"/>
                <w:szCs w:val="24"/>
              </w:rPr>
              <w:t>ru kabineta 2019. gada 17. decembra noteikumi Nr. 687 “Grozījumi Ministru kabineta 2014. gada 30. septembra noteikumos Nr. 576 "Būvniecības valsts kontroles biroja nolikums"”).</w:t>
            </w:r>
          </w:p>
          <w:p w14:paraId="45F1F5F0" w14:textId="77777777" w:rsidR="004B6D1F" w:rsidRDefault="00E220D1">
            <w:pPr>
              <w:ind w:firstLine="264"/>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rPr>
              <w:t>Grozījumi likumā “Par zemes dzīlēm” arī nosaka, ka Zemes dzīļu fonda izmantošan</w:t>
            </w:r>
            <w:r>
              <w:rPr>
                <w:rFonts w:ascii="Times New Roman" w:hAnsi="Times New Roman"/>
                <w:color w:val="000000" w:themeColor="text1"/>
                <w:sz w:val="24"/>
                <w:szCs w:val="24"/>
              </w:rPr>
              <w:t xml:space="preserve">as pārraudzība pār ogļūdeņražiem administrēšanas funkciju ir nodota BVKB, t.sk. paredzot BVKB atbildību izsniegt licences ogļūdeņražu meklēšanai, izpētei un ieguvei.  </w:t>
            </w:r>
            <w:r>
              <w:rPr>
                <w:rFonts w:ascii="Times New Roman" w:hAnsi="Times New Roman"/>
                <w:color w:val="000000" w:themeColor="text1"/>
                <w:sz w:val="24"/>
                <w:szCs w:val="24"/>
              </w:rPr>
              <w:br/>
            </w:r>
            <w:r>
              <w:rPr>
                <w:rFonts w:ascii="Times New Roman" w:eastAsia="Times New Roman" w:hAnsi="Times New Roman"/>
                <w:color w:val="000000" w:themeColor="text1"/>
                <w:sz w:val="24"/>
                <w:szCs w:val="24"/>
                <w:lang w:eastAsia="lv-LV"/>
              </w:rPr>
              <w:t xml:space="preserve"> Tā kā kopš 2020. gada 1. janvāra BVKB pilda </w:t>
            </w:r>
            <w:r>
              <w:rPr>
                <w:rFonts w:ascii="Times New Roman" w:hAnsi="Times New Roman"/>
                <w:color w:val="000000" w:themeColor="text1"/>
                <w:sz w:val="24"/>
                <w:szCs w:val="24"/>
              </w:rPr>
              <w:t xml:space="preserve"> ogļūdeņražiem administrēšanas un kontroles funkcijas, atsevišķos punktos bija nepieciešams veikt grozījumus, attiecīgi,   MK noteikumu Nr. 631 </w:t>
            </w:r>
            <w:r>
              <w:rPr>
                <w:rFonts w:ascii="Times New Roman" w:eastAsia="Times New Roman" w:hAnsi="Times New Roman"/>
                <w:color w:val="000000" w:themeColor="text1"/>
                <w:sz w:val="24"/>
                <w:szCs w:val="24"/>
                <w:lang w:eastAsia="lv-LV"/>
              </w:rPr>
              <w:t xml:space="preserve">160. un 163. punktos paredzēts </w:t>
            </w:r>
            <w:r>
              <w:rPr>
                <w:rFonts w:ascii="Times New Roman" w:hAnsi="Times New Roman"/>
                <w:color w:val="000000" w:themeColor="text1"/>
                <w:sz w:val="24"/>
                <w:szCs w:val="24"/>
                <w:shd w:val="clear" w:color="auto" w:fill="FFFFFF"/>
              </w:rPr>
              <w:t xml:space="preserve"> aizstāt noteikumu tekstā vārdus "Ekonomikas ministrija" ar vārdiem "atbildīgā mi</w:t>
            </w:r>
            <w:r>
              <w:rPr>
                <w:rFonts w:ascii="Times New Roman" w:hAnsi="Times New Roman"/>
                <w:color w:val="000000" w:themeColor="text1"/>
                <w:sz w:val="24"/>
                <w:szCs w:val="24"/>
                <w:shd w:val="clear" w:color="auto" w:fill="FFFFFF"/>
              </w:rPr>
              <w:t xml:space="preserve">nistrija vai BVKB </w:t>
            </w:r>
            <w:r>
              <w:rPr>
                <w:rFonts w:ascii="Times New Roman" w:hAnsi="Times New Roman"/>
                <w:color w:val="000000" w:themeColor="text1"/>
                <w:sz w:val="24"/>
                <w:szCs w:val="24"/>
              </w:rPr>
              <w:t xml:space="preserve"> </w:t>
            </w:r>
            <w:r>
              <w:rPr>
                <w:rFonts w:ascii="Times New Roman" w:hAnsi="Times New Roman"/>
                <w:color w:val="000000" w:themeColor="text1"/>
                <w:sz w:val="24"/>
                <w:szCs w:val="24"/>
              </w:rPr>
              <w:lastRenderedPageBreak/>
              <w:t>ogļūdeņražu meklēšanas, izpētes un ieguves zemes dzīļu izmantošanas gadījumos</w:t>
            </w:r>
            <w:r>
              <w:rPr>
                <w:rFonts w:ascii="Times New Roman" w:hAnsi="Times New Roman"/>
                <w:color w:val="000000" w:themeColor="text1"/>
                <w:sz w:val="24"/>
                <w:szCs w:val="24"/>
                <w:shd w:val="clear" w:color="auto" w:fill="FFFFFF"/>
              </w:rPr>
              <w:t>".</w:t>
            </w:r>
            <w:bookmarkStart w:id="0" w:name="p15"/>
            <w:bookmarkStart w:id="1" w:name="p-440817"/>
            <w:bookmarkEnd w:id="0"/>
            <w:bookmarkEnd w:id="1"/>
          </w:p>
          <w:p w14:paraId="45F1F5F1" w14:textId="77777777" w:rsidR="004B6D1F" w:rsidRDefault="00E220D1">
            <w:pPr>
              <w:shd w:val="clear" w:color="auto" w:fill="FFFFFF"/>
              <w:spacing w:after="0" w:line="240" w:lineRule="auto"/>
              <w:ind w:firstLine="284"/>
              <w:jc w:val="both"/>
              <w:rPr>
                <w:rFonts w:ascii="Times New Roman" w:hAnsi="Times New Roman"/>
                <w:bCs/>
                <w:sz w:val="28"/>
                <w:szCs w:val="28"/>
              </w:rPr>
            </w:pPr>
            <w:r>
              <w:rPr>
                <w:rFonts w:ascii="Times New Roman" w:hAnsi="Times New Roman"/>
                <w:color w:val="000000" w:themeColor="text1"/>
                <w:sz w:val="24"/>
                <w:szCs w:val="24"/>
              </w:rPr>
              <w:t>MK noteikumu Nr. 631</w:t>
            </w:r>
            <w:r>
              <w:rPr>
                <w:rFonts w:ascii="Times New Roman" w:hAnsi="Times New Roman"/>
                <w:color w:val="000000" w:themeColor="text1"/>
                <w:sz w:val="24"/>
                <w:szCs w:val="24"/>
                <w:shd w:val="clear" w:color="auto" w:fill="FFFFFF"/>
              </w:rPr>
              <w:t xml:space="preserve"> attiecas uz būvēm jūrā, tai skaitā uz ogļūdeņražu </w:t>
            </w:r>
            <w:r>
              <w:rPr>
                <w:rFonts w:ascii="Times New Roman" w:eastAsia="Times New Roman" w:hAnsi="Times New Roman"/>
                <w:color w:val="000000" w:themeColor="text1"/>
                <w:sz w:val="24"/>
                <w:szCs w:val="24"/>
                <w:lang w:eastAsia="lv-LV"/>
              </w:rPr>
              <w:t xml:space="preserve">izpētes un ieguves urbumiem, </w:t>
            </w:r>
            <w:r>
              <w:rPr>
                <w:rFonts w:ascii="Times New Roman" w:hAnsi="Times New Roman"/>
                <w:color w:val="000000" w:themeColor="text1"/>
                <w:sz w:val="24"/>
                <w:szCs w:val="24"/>
                <w:shd w:val="clear" w:color="auto" w:fill="FFFFFF"/>
              </w:rPr>
              <w:t xml:space="preserve">izņemot ostu hidrotehniskās, vides aizsardzības, sakaru, </w:t>
            </w:r>
            <w:r>
              <w:rPr>
                <w:rFonts w:ascii="Times New Roman" w:hAnsi="Times New Roman"/>
                <w:color w:val="000000" w:themeColor="text1"/>
                <w:sz w:val="24"/>
                <w:szCs w:val="24"/>
                <w:shd w:val="clear" w:color="auto" w:fill="FFFFFF"/>
              </w:rPr>
              <w:t>transporta, robežapsardzības, valsts aizsardzības un militārās būves jūrā.</w:t>
            </w:r>
          </w:p>
          <w:p w14:paraId="45F1F5F2" w14:textId="77777777" w:rsidR="004B6D1F" w:rsidRDefault="00E220D1">
            <w:pPr>
              <w:shd w:val="clear" w:color="auto" w:fill="FFFFFF"/>
              <w:spacing w:after="0" w:line="240" w:lineRule="auto"/>
              <w:ind w:firstLine="284"/>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 xml:space="preserve">Ņemot vērā būvju jūrā būvniecības specifiku, bija nepieciešams </w:t>
            </w:r>
            <w:r>
              <w:rPr>
                <w:rFonts w:ascii="Times New Roman" w:hAnsi="Times New Roman"/>
                <w:color w:val="000000" w:themeColor="text1"/>
                <w:sz w:val="24"/>
                <w:szCs w:val="24"/>
                <w:shd w:val="clear" w:color="auto" w:fill="FFFFFF"/>
              </w:rPr>
              <w:t>par noteikto būvju būvniecības procesa kontroli un tiesiskumu, pildot būvvaldes funkcijas, par atbildīgo noteikt BVKB,</w:t>
            </w:r>
            <w:r>
              <w:rPr>
                <w:rFonts w:ascii="Times New Roman" w:hAnsi="Times New Roman"/>
                <w:color w:val="000000" w:themeColor="text1"/>
                <w:sz w:val="24"/>
                <w:szCs w:val="24"/>
                <w:shd w:val="clear" w:color="auto" w:fill="FFFFFF"/>
              </w:rPr>
              <w:t xml:space="preserve"> nevis Ekonomikas ministriju kā tas bija līdz šim. </w:t>
            </w:r>
            <w:r>
              <w:rPr>
                <w:rFonts w:ascii="Times New Roman" w:hAnsi="Times New Roman"/>
                <w:bCs/>
                <w:sz w:val="24"/>
                <w:szCs w:val="24"/>
              </w:rPr>
              <w:t xml:space="preserve"> 2021. gada 19. maijā stājās spēka likumprojekts “</w:t>
            </w:r>
            <w:bookmarkStart w:id="2" w:name="_Hlk62821221"/>
            <w:r>
              <w:rPr>
                <w:rFonts w:ascii="Times New Roman" w:hAnsi="Times New Roman"/>
                <w:bCs/>
                <w:sz w:val="24"/>
                <w:szCs w:val="24"/>
                <w:shd w:val="clear" w:color="auto" w:fill="FFFFFF"/>
              </w:rPr>
              <w:t>Grozījumi Būvniecības likumā</w:t>
            </w:r>
            <w:r>
              <w:rPr>
                <w:rFonts w:ascii="Times New Roman" w:hAnsi="Times New Roman"/>
                <w:bCs/>
                <w:sz w:val="24"/>
                <w:szCs w:val="24"/>
              </w:rPr>
              <w:t>”</w:t>
            </w:r>
            <w:bookmarkEnd w:id="2"/>
            <w:r>
              <w:rPr>
                <w:rFonts w:ascii="Times New Roman" w:hAnsi="Times New Roman"/>
                <w:bCs/>
                <w:sz w:val="24"/>
                <w:szCs w:val="24"/>
              </w:rPr>
              <w:t xml:space="preserve">, kur  </w:t>
            </w:r>
            <w:r>
              <w:rPr>
                <w:rFonts w:ascii="Times New Roman" w:hAnsi="Times New Roman"/>
                <w:color w:val="000000" w:themeColor="text1"/>
                <w:sz w:val="24"/>
                <w:szCs w:val="24"/>
                <w:shd w:val="clear" w:color="auto" w:fill="FFFFFF"/>
              </w:rPr>
              <w:t>6.</w:t>
            </w:r>
            <w:r>
              <w:rPr>
                <w:rFonts w:ascii="Times New Roman" w:hAnsi="Times New Roman"/>
                <w:color w:val="000000" w:themeColor="text1"/>
                <w:sz w:val="24"/>
                <w:szCs w:val="24"/>
                <w:shd w:val="clear" w:color="auto" w:fill="FFFFFF"/>
                <w:vertAlign w:val="superscript"/>
              </w:rPr>
              <w:t>1</w:t>
            </w:r>
            <w:r>
              <w:rPr>
                <w:rFonts w:ascii="Times New Roman" w:hAnsi="Times New Roman"/>
                <w:color w:val="000000" w:themeColor="text1"/>
                <w:sz w:val="24"/>
                <w:szCs w:val="24"/>
                <w:shd w:val="clear" w:color="auto" w:fill="FFFFFF"/>
              </w:rPr>
              <w:t>panta papildināts ar 1.</w:t>
            </w:r>
            <w:r>
              <w:rPr>
                <w:rFonts w:ascii="Times New Roman" w:hAnsi="Times New Roman"/>
                <w:color w:val="000000" w:themeColor="text1"/>
                <w:sz w:val="24"/>
                <w:szCs w:val="24"/>
                <w:shd w:val="clear" w:color="auto" w:fill="FFFFFF"/>
                <w:vertAlign w:val="superscript"/>
              </w:rPr>
              <w:t>1</w:t>
            </w:r>
            <w:r>
              <w:rPr>
                <w:rFonts w:ascii="Times New Roman" w:hAnsi="Times New Roman"/>
                <w:color w:val="000000" w:themeColor="text1"/>
                <w:sz w:val="24"/>
                <w:szCs w:val="24"/>
                <w:shd w:val="clear" w:color="auto" w:fill="FFFFFF"/>
              </w:rPr>
              <w:t> daļu b) apakšpunktu,</w:t>
            </w:r>
            <w:r>
              <w:rPr>
                <w:rFonts w:ascii="Times New Roman" w:hAnsi="Times New Roman"/>
                <w:color w:val="000000" w:themeColor="text1"/>
                <w:sz w:val="24"/>
                <w:szCs w:val="24"/>
              </w:rPr>
              <w:t xml:space="preserve"> kurā  BVKB noteikts pienākums</w:t>
            </w:r>
            <w:r>
              <w:rPr>
                <w:rFonts w:ascii="Times New Roman" w:hAnsi="Times New Roman"/>
                <w:color w:val="000000" w:themeColor="text1"/>
                <w:sz w:val="24"/>
                <w:szCs w:val="24"/>
                <w:shd w:val="clear" w:color="auto" w:fill="FFFFFF"/>
              </w:rPr>
              <w:t xml:space="preserve"> pildīt būvniecības jomas </w:t>
            </w:r>
            <w:bookmarkStart w:id="3" w:name="_Hlk78984320"/>
            <w:r>
              <w:rPr>
                <w:rFonts w:ascii="Times New Roman" w:hAnsi="Times New Roman"/>
                <w:color w:val="000000" w:themeColor="text1"/>
                <w:sz w:val="24"/>
                <w:szCs w:val="24"/>
                <w:shd w:val="clear" w:color="auto" w:fill="FFFFFF"/>
              </w:rPr>
              <w:t>normatīvajos ak</w:t>
            </w:r>
            <w:r>
              <w:rPr>
                <w:rFonts w:ascii="Times New Roman" w:hAnsi="Times New Roman"/>
                <w:color w:val="000000" w:themeColor="text1"/>
                <w:sz w:val="24"/>
                <w:szCs w:val="24"/>
                <w:shd w:val="clear" w:color="auto" w:fill="FFFFFF"/>
              </w:rPr>
              <w:t xml:space="preserve">tos noteiktās būvvaldes funkcijas attiecībā uz  būvju būvniecību Latvijas Republikas iekšējos jūras ūdeņos, teritoriālajā jūrā un ekskluzīvajā ekonomiskajā zonā. </w:t>
            </w:r>
            <w:bookmarkEnd w:id="3"/>
          </w:p>
        </w:tc>
      </w:tr>
      <w:tr w:rsidR="004B6D1F" w14:paraId="45F1F5F7" w14:textId="77777777">
        <w:trPr>
          <w:cantSplit/>
        </w:trPr>
        <w:tc>
          <w:tcPr>
            <w:tcW w:w="309" w:type="pct"/>
            <w:hideMark/>
          </w:tcPr>
          <w:p w14:paraId="45F1F5F4" w14:textId="77777777" w:rsidR="004B6D1F" w:rsidRDefault="00E220D1">
            <w:pPr>
              <w:keepLines/>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3.</w:t>
            </w:r>
          </w:p>
        </w:tc>
        <w:tc>
          <w:tcPr>
            <w:tcW w:w="1466" w:type="pct"/>
            <w:hideMark/>
          </w:tcPr>
          <w:p w14:paraId="45F1F5F5" w14:textId="77777777" w:rsidR="004B6D1F" w:rsidRDefault="00E220D1">
            <w:pPr>
              <w:keepLines/>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Projekta izstrādē iesaistītās institūcijas un publiskas personas </w:t>
            </w:r>
            <w:r>
              <w:rPr>
                <w:rFonts w:ascii="Times New Roman" w:hAnsi="Times New Roman"/>
                <w:color w:val="000000" w:themeColor="text1"/>
                <w:sz w:val="24"/>
                <w:szCs w:val="24"/>
              </w:rPr>
              <w:t>kapitālsabiedrības</w:t>
            </w:r>
          </w:p>
        </w:tc>
        <w:tc>
          <w:tcPr>
            <w:tcW w:w="3226" w:type="pct"/>
            <w:hideMark/>
          </w:tcPr>
          <w:p w14:paraId="45F1F5F6" w14:textId="77777777" w:rsidR="004B6D1F" w:rsidRDefault="00E220D1">
            <w:pPr>
              <w:keepLines/>
              <w:spacing w:after="0" w:line="240" w:lineRule="auto"/>
              <w:contextualSpacing/>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lv-LV"/>
              </w:rPr>
              <w:t>Ekonomikas ministrija, BVKB.</w:t>
            </w:r>
          </w:p>
        </w:tc>
      </w:tr>
      <w:tr w:rsidR="004B6D1F" w14:paraId="45F1F5FB" w14:textId="77777777">
        <w:trPr>
          <w:cantSplit/>
        </w:trPr>
        <w:tc>
          <w:tcPr>
            <w:tcW w:w="309" w:type="pct"/>
            <w:hideMark/>
          </w:tcPr>
          <w:p w14:paraId="45F1F5F8" w14:textId="77777777" w:rsidR="004B6D1F" w:rsidRDefault="00E220D1">
            <w:pPr>
              <w:keepLines/>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1466" w:type="pct"/>
            <w:hideMark/>
          </w:tcPr>
          <w:p w14:paraId="45F1F5F9" w14:textId="77777777" w:rsidR="004B6D1F" w:rsidRDefault="00E220D1">
            <w:pPr>
              <w:keepLines/>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Cita informācija</w:t>
            </w:r>
          </w:p>
        </w:tc>
        <w:tc>
          <w:tcPr>
            <w:tcW w:w="3226" w:type="pct"/>
            <w:hideMark/>
          </w:tcPr>
          <w:p w14:paraId="45F1F5FA" w14:textId="77777777" w:rsidR="004B6D1F" w:rsidRDefault="00E220D1">
            <w:pPr>
              <w:keepLines/>
              <w:spacing w:after="0" w:line="240" w:lineRule="auto"/>
              <w:contextualSpacing/>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lv-LV"/>
              </w:rPr>
              <w:t>Nav</w:t>
            </w:r>
          </w:p>
        </w:tc>
      </w:tr>
    </w:tbl>
    <w:p w14:paraId="45F1F5FC" w14:textId="77777777" w:rsidR="004B6D1F" w:rsidRDefault="004B6D1F">
      <w:pPr>
        <w:pStyle w:val="Title"/>
        <w:contextualSpacing/>
        <w:jc w:val="both"/>
        <w:rPr>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93"/>
        <w:gridCol w:w="5804"/>
      </w:tblGrid>
      <w:tr w:rsidR="004B6D1F" w14:paraId="45F1F5FE" w14:textId="77777777">
        <w:trPr>
          <w:cantSplit/>
        </w:trPr>
        <w:tc>
          <w:tcPr>
            <w:tcW w:w="5000" w:type="pct"/>
            <w:gridSpan w:val="3"/>
            <w:vAlign w:val="center"/>
            <w:hideMark/>
          </w:tcPr>
          <w:p w14:paraId="45F1F5FD" w14:textId="77777777" w:rsidR="004B6D1F" w:rsidRDefault="00E220D1">
            <w:pPr>
              <w:spacing w:after="0" w:line="240" w:lineRule="auto"/>
              <w:contextual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II. Tiesību akta projekta ietekme uz sabiedrību, tautsaimniecības attīstību un administratīvo slogu</w:t>
            </w:r>
          </w:p>
        </w:tc>
      </w:tr>
      <w:tr w:rsidR="004B6D1F" w14:paraId="45F1F602" w14:textId="77777777">
        <w:trPr>
          <w:cantSplit/>
        </w:trPr>
        <w:tc>
          <w:tcPr>
            <w:tcW w:w="311" w:type="pct"/>
            <w:hideMark/>
          </w:tcPr>
          <w:p w14:paraId="45F1F5FF" w14:textId="77777777" w:rsidR="004B6D1F" w:rsidRDefault="00E220D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1486" w:type="pct"/>
            <w:hideMark/>
          </w:tcPr>
          <w:p w14:paraId="45F1F600" w14:textId="77777777" w:rsidR="004B6D1F" w:rsidRDefault="00E220D1">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Sabiedrības mērķgrupas, kuras tiesiskais regulējums ietekmē vai varētu </w:t>
            </w:r>
            <w:r>
              <w:rPr>
                <w:rFonts w:ascii="Times New Roman" w:hAnsi="Times New Roman"/>
                <w:color w:val="000000" w:themeColor="text1"/>
                <w:sz w:val="24"/>
                <w:szCs w:val="24"/>
              </w:rPr>
              <w:t>ietekmēt</w:t>
            </w:r>
          </w:p>
        </w:tc>
        <w:tc>
          <w:tcPr>
            <w:tcW w:w="3203" w:type="pct"/>
            <w:hideMark/>
          </w:tcPr>
          <w:p w14:paraId="45F1F601" w14:textId="77777777" w:rsidR="004B6D1F" w:rsidRDefault="00E220D1">
            <w:pPr>
              <w:ind w:firstLine="281"/>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lv-LV"/>
              </w:rPr>
              <w:t>Ņemot vērā, ka Noteikumos Nr.805 jau ietverts minēto ogļūdeņražu jautājumu regulējums, tad Noteikumu projekta tiesiskais regulējums, novēršot normu dublēšanu, nerada papildus ietekmi uz sabiedrību un tautsaimniecību.</w:t>
            </w:r>
          </w:p>
        </w:tc>
      </w:tr>
      <w:tr w:rsidR="004B6D1F" w14:paraId="45F1F606" w14:textId="77777777">
        <w:trPr>
          <w:cantSplit/>
        </w:trPr>
        <w:tc>
          <w:tcPr>
            <w:tcW w:w="311" w:type="pct"/>
            <w:hideMark/>
          </w:tcPr>
          <w:p w14:paraId="45F1F603" w14:textId="77777777" w:rsidR="004B6D1F" w:rsidRDefault="00E220D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1486" w:type="pct"/>
            <w:hideMark/>
          </w:tcPr>
          <w:p w14:paraId="45F1F604" w14:textId="77777777" w:rsidR="004B6D1F" w:rsidRDefault="00E220D1">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Tiesiskā </w:t>
            </w:r>
            <w:r>
              <w:rPr>
                <w:rFonts w:ascii="Times New Roman" w:hAnsi="Times New Roman"/>
                <w:color w:val="000000" w:themeColor="text1"/>
                <w:sz w:val="24"/>
                <w:szCs w:val="24"/>
              </w:rPr>
              <w:t>regulējuma ietekme uz tautsaimniecību un administratīvo slogu</w:t>
            </w:r>
          </w:p>
        </w:tc>
        <w:tc>
          <w:tcPr>
            <w:tcW w:w="3203" w:type="pct"/>
          </w:tcPr>
          <w:p w14:paraId="45F1F605" w14:textId="77777777" w:rsidR="004B6D1F" w:rsidRDefault="00E220D1">
            <w:pPr>
              <w:spacing w:after="0" w:line="240" w:lineRule="auto"/>
              <w:jc w:val="both"/>
              <w:rPr>
                <w:rFonts w:ascii="Times New Roman" w:eastAsia="Times New Roman" w:hAnsi="Times New Roman"/>
                <w:color w:val="000000" w:themeColor="text1"/>
                <w:sz w:val="24"/>
                <w:szCs w:val="24"/>
                <w:lang w:eastAsia="lv-LV"/>
              </w:rPr>
            </w:pPr>
            <w:r>
              <w:rPr>
                <w:rFonts w:ascii="Times New Roman" w:hAnsi="Times New Roman"/>
                <w:color w:val="000000" w:themeColor="text1"/>
                <w:sz w:val="24"/>
                <w:szCs w:val="24"/>
              </w:rPr>
              <w:t>Projekts šo jomu neskar.</w:t>
            </w:r>
          </w:p>
        </w:tc>
      </w:tr>
      <w:tr w:rsidR="004B6D1F" w14:paraId="45F1F60A" w14:textId="77777777">
        <w:trPr>
          <w:cantSplit/>
        </w:trPr>
        <w:tc>
          <w:tcPr>
            <w:tcW w:w="311" w:type="pct"/>
            <w:hideMark/>
          </w:tcPr>
          <w:p w14:paraId="45F1F607" w14:textId="77777777" w:rsidR="004B6D1F" w:rsidRDefault="00E220D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1486" w:type="pct"/>
            <w:hideMark/>
          </w:tcPr>
          <w:p w14:paraId="45F1F608" w14:textId="77777777" w:rsidR="004B6D1F" w:rsidRDefault="00E220D1">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Administratīvo izmaksu monetārs novērtējums</w:t>
            </w:r>
          </w:p>
        </w:tc>
        <w:tc>
          <w:tcPr>
            <w:tcW w:w="3203" w:type="pct"/>
            <w:hideMark/>
          </w:tcPr>
          <w:p w14:paraId="45F1F609" w14:textId="77777777" w:rsidR="004B6D1F" w:rsidRDefault="00E220D1">
            <w:pPr>
              <w:pStyle w:val="tv213"/>
              <w:spacing w:before="0" w:beforeAutospacing="0" w:after="0" w:afterAutospacing="0"/>
              <w:contextualSpacing/>
              <w:jc w:val="both"/>
              <w:rPr>
                <w:bCs/>
                <w:color w:val="000000" w:themeColor="text1"/>
              </w:rPr>
            </w:pPr>
            <w:r>
              <w:rPr>
                <w:color w:val="000000" w:themeColor="text1"/>
              </w:rPr>
              <w:t>Projekts šo jomu neskar.</w:t>
            </w:r>
          </w:p>
        </w:tc>
      </w:tr>
      <w:tr w:rsidR="004B6D1F" w14:paraId="45F1F60E" w14:textId="77777777">
        <w:trPr>
          <w:cantSplit/>
        </w:trPr>
        <w:tc>
          <w:tcPr>
            <w:tcW w:w="311" w:type="pct"/>
            <w:hideMark/>
          </w:tcPr>
          <w:p w14:paraId="45F1F60B" w14:textId="77777777" w:rsidR="004B6D1F" w:rsidRDefault="00E220D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1486" w:type="pct"/>
            <w:hideMark/>
          </w:tcPr>
          <w:p w14:paraId="45F1F60C" w14:textId="77777777" w:rsidR="004B6D1F" w:rsidRDefault="00E220D1">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Atbilstības izmaksu monetārs novērtējums</w:t>
            </w:r>
          </w:p>
        </w:tc>
        <w:tc>
          <w:tcPr>
            <w:tcW w:w="3203" w:type="pct"/>
            <w:hideMark/>
          </w:tcPr>
          <w:p w14:paraId="45F1F60D" w14:textId="77777777" w:rsidR="004B6D1F" w:rsidRDefault="00E220D1">
            <w:pPr>
              <w:spacing w:after="0" w:line="240" w:lineRule="auto"/>
              <w:contextualSpacing/>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lv-LV"/>
              </w:rPr>
              <w:t>Projekts šo jomu neskar.</w:t>
            </w:r>
          </w:p>
        </w:tc>
      </w:tr>
      <w:tr w:rsidR="004B6D1F" w14:paraId="45F1F612" w14:textId="77777777">
        <w:trPr>
          <w:cantSplit/>
        </w:trPr>
        <w:tc>
          <w:tcPr>
            <w:tcW w:w="311" w:type="pct"/>
            <w:hideMark/>
          </w:tcPr>
          <w:p w14:paraId="45F1F60F" w14:textId="77777777" w:rsidR="004B6D1F" w:rsidRDefault="00E220D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1486" w:type="pct"/>
            <w:hideMark/>
          </w:tcPr>
          <w:p w14:paraId="45F1F610" w14:textId="77777777" w:rsidR="004B6D1F" w:rsidRDefault="00E220D1">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Cita </w:t>
            </w:r>
            <w:r>
              <w:rPr>
                <w:rFonts w:ascii="Times New Roman" w:hAnsi="Times New Roman"/>
                <w:color w:val="000000" w:themeColor="text1"/>
                <w:sz w:val="24"/>
                <w:szCs w:val="24"/>
              </w:rPr>
              <w:t>informācija</w:t>
            </w:r>
          </w:p>
        </w:tc>
        <w:tc>
          <w:tcPr>
            <w:tcW w:w="3203" w:type="pct"/>
            <w:hideMark/>
          </w:tcPr>
          <w:p w14:paraId="45F1F611" w14:textId="77777777" w:rsidR="004B6D1F" w:rsidRDefault="00E220D1">
            <w:pPr>
              <w:spacing w:after="0" w:line="240" w:lineRule="auto"/>
              <w:contextualSpacing/>
              <w:jc w:val="both"/>
              <w:rPr>
                <w:rFonts w:ascii="Times New Roman" w:hAnsi="Times New Roman"/>
                <w:color w:val="000000" w:themeColor="text1"/>
                <w:sz w:val="24"/>
                <w:szCs w:val="24"/>
              </w:rPr>
            </w:pPr>
            <w:r>
              <w:rPr>
                <w:rFonts w:ascii="Times New Roman" w:eastAsia="Times New Roman" w:hAnsi="Times New Roman"/>
                <w:iCs/>
                <w:color w:val="000000" w:themeColor="text1"/>
                <w:sz w:val="24"/>
                <w:szCs w:val="24"/>
                <w:lang w:eastAsia="lv-LV"/>
              </w:rPr>
              <w:t>Nav</w:t>
            </w:r>
          </w:p>
        </w:tc>
      </w:tr>
    </w:tbl>
    <w:p w14:paraId="45F1F613" w14:textId="77777777" w:rsidR="004B6D1F" w:rsidRDefault="004B6D1F">
      <w:pPr>
        <w:pStyle w:val="Title"/>
        <w:contextualSpacing/>
        <w:jc w:val="both"/>
        <w:rPr>
          <w:color w:val="000000" w:themeColor="text1"/>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061"/>
      </w:tblGrid>
      <w:tr w:rsidR="004B6D1F" w14:paraId="45F1F615" w14:textId="77777777">
        <w:trPr>
          <w:cantSplit/>
        </w:trPr>
        <w:tc>
          <w:tcPr>
            <w:tcW w:w="9061" w:type="dxa"/>
            <w:tcBorders>
              <w:top w:val="single" w:sz="4" w:space="0" w:color="auto"/>
              <w:left w:val="single" w:sz="4" w:space="0" w:color="auto"/>
              <w:bottom w:val="single" w:sz="4" w:space="0" w:color="auto"/>
              <w:right w:val="single" w:sz="4" w:space="0" w:color="auto"/>
            </w:tcBorders>
            <w:vAlign w:val="center"/>
            <w:hideMark/>
          </w:tcPr>
          <w:p w14:paraId="45F1F614" w14:textId="77777777" w:rsidR="004B6D1F" w:rsidRDefault="00E220D1">
            <w:pPr>
              <w:spacing w:after="0" w:line="240" w:lineRule="auto"/>
              <w:jc w:val="center"/>
              <w:rPr>
                <w:rFonts w:ascii="Times New Roman" w:hAnsi="Times New Roman"/>
                <w:b/>
                <w:bCs/>
                <w:color w:val="000000" w:themeColor="text1"/>
                <w:sz w:val="24"/>
                <w:szCs w:val="24"/>
              </w:rPr>
            </w:pPr>
            <w:bookmarkStart w:id="4" w:name="_Hlk14093798"/>
            <w:r>
              <w:rPr>
                <w:rFonts w:ascii="Times New Roman" w:hAnsi="Times New Roman"/>
                <w:b/>
                <w:bCs/>
                <w:color w:val="000000" w:themeColor="text1"/>
                <w:sz w:val="24"/>
                <w:szCs w:val="24"/>
              </w:rPr>
              <w:t>III. Tiesību akta projekta ietekme uz valsts budžetu un pašvaldību budžetiem</w:t>
            </w:r>
          </w:p>
        </w:tc>
      </w:tr>
      <w:tr w:rsidR="004B6D1F" w14:paraId="45F1F617" w14:textId="77777777">
        <w:trPr>
          <w:cantSplit/>
        </w:trPr>
        <w:tc>
          <w:tcPr>
            <w:tcW w:w="9061" w:type="dxa"/>
            <w:tcBorders>
              <w:top w:val="single" w:sz="4" w:space="0" w:color="auto"/>
              <w:left w:val="single" w:sz="4" w:space="0" w:color="auto"/>
              <w:bottom w:val="single" w:sz="4" w:space="0" w:color="auto"/>
              <w:right w:val="single" w:sz="4" w:space="0" w:color="auto"/>
            </w:tcBorders>
            <w:vAlign w:val="center"/>
          </w:tcPr>
          <w:p w14:paraId="45F1F616" w14:textId="77777777" w:rsidR="004B6D1F" w:rsidRDefault="00E220D1">
            <w:pPr>
              <w:spacing w:after="0" w:line="240" w:lineRule="auto"/>
              <w:jc w:val="center"/>
              <w:rPr>
                <w:rFonts w:ascii="Times New Roman" w:hAnsi="Times New Roman"/>
                <w:b/>
                <w:bCs/>
                <w:color w:val="000000" w:themeColor="text1"/>
                <w:sz w:val="24"/>
                <w:szCs w:val="24"/>
              </w:rPr>
            </w:pPr>
            <w:r>
              <w:rPr>
                <w:rFonts w:ascii="Times New Roman" w:eastAsia="Times New Roman" w:hAnsi="Times New Roman"/>
                <w:color w:val="000000" w:themeColor="text1"/>
                <w:sz w:val="24"/>
                <w:szCs w:val="24"/>
                <w:lang w:eastAsia="lv-LV"/>
              </w:rPr>
              <w:t>Projekts šo jomu neskar</w:t>
            </w:r>
          </w:p>
        </w:tc>
      </w:tr>
      <w:bookmarkEnd w:id="4"/>
    </w:tbl>
    <w:p w14:paraId="45F1F618" w14:textId="77777777" w:rsidR="004B6D1F" w:rsidRDefault="004B6D1F">
      <w:pPr>
        <w:spacing w:after="0" w:line="240" w:lineRule="auto"/>
        <w:rPr>
          <w:rFonts w:ascii="Times New Roman" w:hAnsi="Times New Roman"/>
          <w:color w:val="000000" w:themeColor="text1"/>
          <w:sz w:val="24"/>
          <w:szCs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4"/>
        <w:gridCol w:w="2709"/>
        <w:gridCol w:w="5802"/>
      </w:tblGrid>
      <w:tr w:rsidR="004B6D1F" w14:paraId="45F1F61A" w14:textId="77777777">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F1F619" w14:textId="77777777" w:rsidR="004B6D1F" w:rsidRDefault="00E220D1">
            <w:pPr>
              <w:spacing w:after="0" w:line="240" w:lineRule="auto"/>
              <w:jc w:val="center"/>
              <w:rPr>
                <w:rFonts w:ascii="Times New Roman" w:hAnsi="Times New Roman"/>
                <w:b/>
                <w:bCs/>
                <w:color w:val="000000" w:themeColor="text1"/>
                <w:sz w:val="24"/>
                <w:szCs w:val="24"/>
              </w:rPr>
            </w:pPr>
            <w:bookmarkStart w:id="5" w:name="_Hlk14089848"/>
            <w:r>
              <w:rPr>
                <w:rFonts w:ascii="Times New Roman" w:hAnsi="Times New Roman"/>
                <w:b/>
                <w:bCs/>
                <w:color w:val="000000" w:themeColor="text1"/>
                <w:sz w:val="24"/>
                <w:szCs w:val="24"/>
              </w:rPr>
              <w:t>IV. Tiesību akta projekta ietekme uz spēkā esošo tiesību normu sistēmu</w:t>
            </w:r>
          </w:p>
        </w:tc>
      </w:tr>
      <w:tr w:rsidR="004B6D1F" w14:paraId="45F1F61E"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5F1F61B" w14:textId="77777777" w:rsidR="004B6D1F" w:rsidRDefault="00E220D1">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1496" w:type="pct"/>
            <w:tcBorders>
              <w:top w:val="outset" w:sz="6" w:space="0" w:color="414142"/>
              <w:left w:val="outset" w:sz="6" w:space="0" w:color="414142"/>
              <w:bottom w:val="outset" w:sz="6" w:space="0" w:color="414142"/>
              <w:right w:val="outset" w:sz="6" w:space="0" w:color="414142"/>
            </w:tcBorders>
            <w:shd w:val="clear" w:color="auto" w:fill="FFFFFF"/>
            <w:hideMark/>
          </w:tcPr>
          <w:p w14:paraId="45F1F61C" w14:textId="77777777" w:rsidR="004B6D1F" w:rsidRDefault="00E220D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Saistītie tiesību aktu projekti</w:t>
            </w:r>
          </w:p>
        </w:tc>
        <w:tc>
          <w:tcPr>
            <w:tcW w:w="3204" w:type="pct"/>
            <w:tcBorders>
              <w:top w:val="outset" w:sz="6" w:space="0" w:color="414142"/>
              <w:left w:val="outset" w:sz="6" w:space="0" w:color="414142"/>
              <w:bottom w:val="outset" w:sz="6" w:space="0" w:color="414142"/>
              <w:right w:val="outset" w:sz="6" w:space="0" w:color="414142"/>
            </w:tcBorders>
            <w:shd w:val="clear" w:color="auto" w:fill="FFFFFF"/>
          </w:tcPr>
          <w:p w14:paraId="45F1F61D" w14:textId="77777777" w:rsidR="004B6D1F" w:rsidRDefault="00E220D1">
            <w:pPr>
              <w:tabs>
                <w:tab w:val="left" w:pos="209"/>
              </w:tabs>
              <w:spacing w:after="0" w:line="240" w:lineRule="auto"/>
              <w:jc w:val="both"/>
              <w:outlineLvl w:val="3"/>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lv-LV"/>
              </w:rPr>
              <w:t xml:space="preserve">Projekts šo jomu </w:t>
            </w:r>
            <w:r>
              <w:rPr>
                <w:rFonts w:ascii="Times New Roman" w:eastAsia="Times New Roman" w:hAnsi="Times New Roman"/>
                <w:color w:val="000000" w:themeColor="text1"/>
                <w:sz w:val="24"/>
                <w:szCs w:val="24"/>
                <w:lang w:eastAsia="lv-LV"/>
              </w:rPr>
              <w:t>neskar.</w:t>
            </w:r>
          </w:p>
        </w:tc>
      </w:tr>
      <w:tr w:rsidR="004B6D1F" w14:paraId="45F1F622" w14:textId="7777777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5F1F61F" w14:textId="77777777" w:rsidR="004B6D1F" w:rsidRDefault="00E220D1">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1496" w:type="pct"/>
            <w:tcBorders>
              <w:top w:val="outset" w:sz="6" w:space="0" w:color="414142"/>
              <w:left w:val="outset" w:sz="6" w:space="0" w:color="414142"/>
              <w:bottom w:val="outset" w:sz="6" w:space="0" w:color="414142"/>
              <w:right w:val="outset" w:sz="6" w:space="0" w:color="414142"/>
            </w:tcBorders>
            <w:shd w:val="clear" w:color="auto" w:fill="FFFFFF"/>
            <w:hideMark/>
          </w:tcPr>
          <w:p w14:paraId="45F1F620" w14:textId="77777777" w:rsidR="004B6D1F" w:rsidRDefault="00E220D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Atbildīgā institūcija</w:t>
            </w:r>
          </w:p>
        </w:tc>
        <w:tc>
          <w:tcPr>
            <w:tcW w:w="3204" w:type="pct"/>
            <w:tcBorders>
              <w:top w:val="outset" w:sz="6" w:space="0" w:color="414142"/>
              <w:left w:val="outset" w:sz="6" w:space="0" w:color="414142"/>
              <w:bottom w:val="outset" w:sz="6" w:space="0" w:color="414142"/>
              <w:right w:val="outset" w:sz="6" w:space="0" w:color="414142"/>
            </w:tcBorders>
            <w:shd w:val="clear" w:color="auto" w:fill="FFFFFF"/>
            <w:hideMark/>
          </w:tcPr>
          <w:p w14:paraId="45F1F621" w14:textId="77777777" w:rsidR="004B6D1F" w:rsidRDefault="00E220D1">
            <w:pPr>
              <w:spacing w:after="0" w:line="240" w:lineRule="auto"/>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lv-LV"/>
              </w:rPr>
              <w:t>Projekts šo jomu neskar.</w:t>
            </w:r>
          </w:p>
        </w:tc>
      </w:tr>
      <w:tr w:rsidR="004B6D1F" w14:paraId="45F1F626" w14:textId="77777777">
        <w:trPr>
          <w:trHeight w:val="375"/>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5F1F623" w14:textId="77777777" w:rsidR="004B6D1F" w:rsidRDefault="00E220D1">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3.</w:t>
            </w:r>
          </w:p>
        </w:tc>
        <w:tc>
          <w:tcPr>
            <w:tcW w:w="1496" w:type="pct"/>
            <w:tcBorders>
              <w:top w:val="outset" w:sz="6" w:space="0" w:color="414142"/>
              <w:left w:val="outset" w:sz="6" w:space="0" w:color="414142"/>
              <w:bottom w:val="outset" w:sz="6" w:space="0" w:color="414142"/>
              <w:right w:val="outset" w:sz="6" w:space="0" w:color="414142"/>
            </w:tcBorders>
            <w:shd w:val="clear" w:color="auto" w:fill="FFFFFF"/>
            <w:hideMark/>
          </w:tcPr>
          <w:p w14:paraId="45F1F624" w14:textId="77777777" w:rsidR="004B6D1F" w:rsidRDefault="00E220D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Cita informācija</w:t>
            </w:r>
          </w:p>
        </w:tc>
        <w:tc>
          <w:tcPr>
            <w:tcW w:w="3204" w:type="pct"/>
            <w:tcBorders>
              <w:top w:val="outset" w:sz="6" w:space="0" w:color="414142"/>
              <w:left w:val="outset" w:sz="6" w:space="0" w:color="414142"/>
              <w:bottom w:val="outset" w:sz="6" w:space="0" w:color="414142"/>
              <w:right w:val="outset" w:sz="6" w:space="0" w:color="414142"/>
            </w:tcBorders>
            <w:shd w:val="clear" w:color="auto" w:fill="FFFFFF"/>
            <w:hideMark/>
          </w:tcPr>
          <w:p w14:paraId="45F1F625" w14:textId="0FA8EEDD" w:rsidR="004B6D1F" w:rsidRDefault="00E220D1" w:rsidP="00E220D1">
            <w:pPr>
              <w:tabs>
                <w:tab w:val="left" w:pos="209"/>
              </w:tabs>
              <w:spacing w:after="0" w:line="240" w:lineRule="auto"/>
              <w:jc w:val="both"/>
              <w:outlineLvl w:val="3"/>
              <w:rPr>
                <w:rFonts w:ascii="Times New Roman" w:hAnsi="Times New Roman"/>
                <w:color w:val="000000" w:themeColor="text1"/>
                <w:sz w:val="24"/>
                <w:szCs w:val="24"/>
              </w:rPr>
            </w:pPr>
            <w:r>
              <w:rPr>
                <w:rFonts w:ascii="Times New Roman" w:hAnsi="Times New Roman"/>
                <w:color w:val="000000" w:themeColor="text1"/>
                <w:sz w:val="24"/>
                <w:szCs w:val="24"/>
              </w:rPr>
              <w:t>Nav</w:t>
            </w:r>
            <w:bookmarkStart w:id="6" w:name="_GoBack"/>
            <w:bookmarkEnd w:id="6"/>
          </w:p>
        </w:tc>
      </w:tr>
      <w:bookmarkEnd w:id="5"/>
    </w:tbl>
    <w:p w14:paraId="45F1F627" w14:textId="77777777" w:rsidR="004B6D1F" w:rsidRDefault="004B6D1F">
      <w:pPr>
        <w:spacing w:after="0" w:line="240" w:lineRule="auto"/>
        <w:contextualSpacing/>
        <w:rPr>
          <w:rFonts w:ascii="Times New Roman" w:hAnsi="Times New Roman"/>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4B6D1F" w14:paraId="45F1F629" w14:textId="77777777">
        <w:trPr>
          <w:cantSplit/>
        </w:trPr>
        <w:tc>
          <w:tcPr>
            <w:tcW w:w="5000" w:type="pct"/>
            <w:vAlign w:val="center"/>
            <w:hideMark/>
          </w:tcPr>
          <w:p w14:paraId="45F1F628" w14:textId="77777777" w:rsidR="004B6D1F" w:rsidRDefault="00E220D1">
            <w:pPr>
              <w:spacing w:after="0" w:line="240" w:lineRule="auto"/>
              <w:contextual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V. Tiesību akta projekta atbilstība Latvijas Republikas starptautiskajām saistībām</w:t>
            </w:r>
          </w:p>
        </w:tc>
      </w:tr>
      <w:tr w:rsidR="004B6D1F" w14:paraId="45F1F62B" w14:textId="77777777">
        <w:trPr>
          <w:cantSplit/>
        </w:trPr>
        <w:tc>
          <w:tcPr>
            <w:tcW w:w="5000" w:type="pct"/>
            <w:vAlign w:val="center"/>
          </w:tcPr>
          <w:p w14:paraId="45F1F62A" w14:textId="77777777" w:rsidR="004B6D1F" w:rsidRDefault="00E220D1">
            <w:pPr>
              <w:spacing w:after="0" w:line="240" w:lineRule="auto"/>
              <w:contextualSpacing/>
              <w:jc w:val="center"/>
              <w:rPr>
                <w:rFonts w:ascii="Times New Roman" w:hAnsi="Times New Roman"/>
                <w:bCs/>
                <w:color w:val="000000" w:themeColor="text1"/>
                <w:sz w:val="24"/>
                <w:szCs w:val="24"/>
              </w:rPr>
            </w:pPr>
            <w:r>
              <w:rPr>
                <w:rFonts w:ascii="Times New Roman" w:hAnsi="Times New Roman"/>
                <w:color w:val="000000" w:themeColor="text1"/>
                <w:sz w:val="24"/>
                <w:szCs w:val="24"/>
              </w:rPr>
              <w:t>Projekts</w:t>
            </w:r>
            <w:r>
              <w:rPr>
                <w:rFonts w:ascii="Times New Roman" w:hAnsi="Times New Roman"/>
                <w:bCs/>
                <w:color w:val="000000" w:themeColor="text1"/>
                <w:sz w:val="24"/>
                <w:szCs w:val="24"/>
              </w:rPr>
              <w:t xml:space="preserve"> šo jomu neskar</w:t>
            </w:r>
          </w:p>
        </w:tc>
      </w:tr>
    </w:tbl>
    <w:p w14:paraId="45F1F62C" w14:textId="77777777" w:rsidR="004B6D1F" w:rsidRDefault="004B6D1F">
      <w:pPr>
        <w:spacing w:after="0" w:line="240" w:lineRule="auto"/>
        <w:rPr>
          <w:rFonts w:ascii="Times New Roman" w:eastAsia="Times New Roman" w:hAnsi="Times New Roman"/>
          <w:iCs/>
          <w:color w:val="000000" w:themeColor="text1"/>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40"/>
        <w:gridCol w:w="1508"/>
        <w:gridCol w:w="7313"/>
      </w:tblGrid>
      <w:tr w:rsidR="004B6D1F" w14:paraId="45F1F62F" w14:textId="77777777">
        <w:trPr>
          <w:cantSplit/>
        </w:trPr>
        <w:tc>
          <w:tcPr>
            <w:tcW w:w="5000" w:type="pct"/>
            <w:gridSpan w:val="3"/>
            <w:vAlign w:val="center"/>
            <w:hideMark/>
          </w:tcPr>
          <w:p w14:paraId="45F1F62D" w14:textId="77777777" w:rsidR="004B6D1F" w:rsidRDefault="00E220D1">
            <w:pPr>
              <w:spacing w:after="0" w:line="240" w:lineRule="auto"/>
              <w:contextual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VI. Sabiedrības </w:t>
            </w:r>
            <w:r>
              <w:rPr>
                <w:rFonts w:ascii="Times New Roman" w:hAnsi="Times New Roman"/>
                <w:b/>
                <w:bCs/>
                <w:color w:val="000000" w:themeColor="text1"/>
                <w:sz w:val="24"/>
                <w:szCs w:val="24"/>
              </w:rPr>
              <w:t>līdzdalība un komunikācijas aktivitātes</w:t>
            </w:r>
          </w:p>
          <w:p w14:paraId="45F1F62E" w14:textId="77777777" w:rsidR="004B6D1F" w:rsidRDefault="004B6D1F">
            <w:pPr>
              <w:rPr>
                <w:rFonts w:ascii="Times New Roman" w:hAnsi="Times New Roman"/>
                <w:color w:val="000000" w:themeColor="text1"/>
                <w:sz w:val="24"/>
                <w:szCs w:val="24"/>
              </w:rPr>
            </w:pPr>
          </w:p>
        </w:tc>
      </w:tr>
      <w:tr w:rsidR="004B6D1F" w14:paraId="45F1F633" w14:textId="77777777">
        <w:trPr>
          <w:cantSplit/>
        </w:trPr>
        <w:tc>
          <w:tcPr>
            <w:tcW w:w="132" w:type="pct"/>
            <w:hideMark/>
          </w:tcPr>
          <w:p w14:paraId="45F1F630" w14:textId="77777777" w:rsidR="004B6D1F" w:rsidRDefault="00E220D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882" w:type="pct"/>
            <w:hideMark/>
          </w:tcPr>
          <w:p w14:paraId="45F1F631" w14:textId="77777777" w:rsidR="004B6D1F" w:rsidRDefault="00E220D1">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Plānotās sabiedrības līdzdalības un komunikācijas aktivitātes saistībā ar   projektu</w:t>
            </w:r>
          </w:p>
        </w:tc>
        <w:tc>
          <w:tcPr>
            <w:tcW w:w="3986" w:type="pct"/>
            <w:hideMark/>
          </w:tcPr>
          <w:p w14:paraId="45F1F632" w14:textId="77777777" w:rsidR="004B6D1F" w:rsidRDefault="00E220D1">
            <w:pPr>
              <w:spacing w:after="0" w:line="240" w:lineRule="auto"/>
              <w:ind w:firstLine="201"/>
              <w:contextualSpacing/>
              <w:jc w:val="both"/>
              <w:rPr>
                <w:rFonts w:ascii="Times New Roman" w:eastAsia="Times New Roman" w:hAnsi="Times New Roman"/>
                <w:color w:val="000000" w:themeColor="text1"/>
                <w:sz w:val="24"/>
                <w:szCs w:val="24"/>
                <w:lang w:eastAsia="lv-LV"/>
              </w:rPr>
            </w:pPr>
            <w:r>
              <w:rPr>
                <w:rFonts w:ascii="Times New Roman" w:hAnsi="Times New Roman"/>
                <w:color w:val="000000" w:themeColor="text1"/>
                <w:sz w:val="24"/>
                <w:szCs w:val="24"/>
              </w:rPr>
              <w:t xml:space="preserve">Paziņojums par līdzdalības iespējām Noteikumu projekta izstrādes procesā 2020. gada 12. maijā ievietots Ekonomikas </w:t>
            </w:r>
            <w:r>
              <w:rPr>
                <w:rFonts w:ascii="Times New Roman" w:hAnsi="Times New Roman"/>
                <w:color w:val="000000" w:themeColor="text1"/>
                <w:sz w:val="24"/>
                <w:szCs w:val="24"/>
              </w:rPr>
              <w:t>ministrijas tīmekļvietnē.</w:t>
            </w:r>
          </w:p>
        </w:tc>
      </w:tr>
      <w:tr w:rsidR="004B6D1F" w14:paraId="45F1F639" w14:textId="77777777">
        <w:trPr>
          <w:cantSplit/>
        </w:trPr>
        <w:tc>
          <w:tcPr>
            <w:tcW w:w="132" w:type="pct"/>
            <w:hideMark/>
          </w:tcPr>
          <w:p w14:paraId="45F1F634" w14:textId="77777777" w:rsidR="004B6D1F" w:rsidRDefault="00E220D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882" w:type="pct"/>
            <w:hideMark/>
          </w:tcPr>
          <w:p w14:paraId="45F1F635" w14:textId="77777777" w:rsidR="004B6D1F" w:rsidRDefault="00E220D1">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Sabiedrības līdzdalība projekta izstrādē</w:t>
            </w:r>
          </w:p>
        </w:tc>
        <w:tc>
          <w:tcPr>
            <w:tcW w:w="3986" w:type="pct"/>
            <w:hideMark/>
          </w:tcPr>
          <w:p w14:paraId="45F1F636" w14:textId="77777777" w:rsidR="004B6D1F" w:rsidRDefault="00E220D1">
            <w:pPr>
              <w:spacing w:after="0" w:line="240" w:lineRule="auto"/>
              <w:ind w:firstLine="201"/>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Sabiedrībai tika nodrošināta iespēja iepazīties ar Noteikumu projektu Ekonomikas ministrijas tīmekļvietnē sadaļā “Sabiedrības līdzdalība” un izteikt par to viedokli līdz 2020. gada 26. </w:t>
            </w:r>
            <w:r>
              <w:rPr>
                <w:rFonts w:ascii="Times New Roman" w:hAnsi="Times New Roman"/>
                <w:color w:val="000000" w:themeColor="text1"/>
                <w:sz w:val="24"/>
                <w:szCs w:val="24"/>
              </w:rPr>
              <w:t>maijam:</w:t>
            </w:r>
          </w:p>
          <w:p w14:paraId="45F1F637" w14:textId="77777777" w:rsidR="004B6D1F" w:rsidRDefault="00E220D1">
            <w:pPr>
              <w:jc w:val="both"/>
              <w:rPr>
                <w:rStyle w:val="Hyperlink"/>
                <w:rFonts w:ascii="Times New Roman" w:hAnsi="Times New Roman"/>
                <w:color w:val="000000" w:themeColor="text1"/>
                <w:sz w:val="24"/>
                <w:szCs w:val="24"/>
              </w:rPr>
            </w:pPr>
            <w:hyperlink r:id="rId11" w:history="1">
              <w:r>
                <w:rPr>
                  <w:rStyle w:val="Hyperlink"/>
                  <w:rFonts w:ascii="Times New Roman" w:hAnsi="Times New Roman"/>
                  <w:color w:val="000000" w:themeColor="text1"/>
                  <w:sz w:val="24"/>
                  <w:szCs w:val="24"/>
                </w:rPr>
                <w:t>https://em.gov.lv/lv/Ministrija/sabiedribas_lidzdaliba/diskusiju_dokumenti/</w:t>
              </w:r>
            </w:hyperlink>
          </w:p>
          <w:p w14:paraId="45F1F638" w14:textId="77777777" w:rsidR="004B6D1F" w:rsidRDefault="00E220D1">
            <w:pPr>
              <w:ind w:firstLine="205"/>
              <w:jc w:val="both"/>
              <w:rPr>
                <w:rFonts w:ascii="Times New Roman" w:hAnsi="Times New Roman"/>
                <w:color w:val="000000" w:themeColor="text1"/>
                <w:sz w:val="24"/>
                <w:szCs w:val="24"/>
              </w:rPr>
            </w:pPr>
            <w:r>
              <w:rPr>
                <w:rFonts w:ascii="Times New Roman" w:hAnsi="Times New Roman"/>
                <w:color w:val="000000" w:themeColor="text1"/>
                <w:sz w:val="24"/>
                <w:szCs w:val="24"/>
              </w:rPr>
              <w:t>Arī Ministru kabineta mājaslapā sadaļā “Ministru kabineta diskusiju dokumenti” t</w:t>
            </w:r>
            <w:r>
              <w:rPr>
                <w:rFonts w:ascii="Times New Roman" w:hAnsi="Times New Roman"/>
                <w:color w:val="000000" w:themeColor="text1"/>
                <w:sz w:val="24"/>
                <w:szCs w:val="24"/>
              </w:rPr>
              <w:t xml:space="preserve">ika nodrošināta iespēja iepazīties ar Noteikumu projektu:    </w:t>
            </w:r>
            <w:hyperlink r:id="rId12" w:history="1">
              <w:r>
                <w:rPr>
                  <w:rStyle w:val="Hyperlink"/>
                  <w:rFonts w:ascii="Times New Roman" w:hAnsi="Times New Roman"/>
                  <w:color w:val="000000" w:themeColor="text1"/>
                  <w:sz w:val="24"/>
                  <w:szCs w:val="24"/>
                </w:rPr>
                <w:t>https://www.mk.gov.lv/content/ministru-kabineta-diskusiju-dokumenti</w:t>
              </w:r>
            </w:hyperlink>
            <w:r>
              <w:rPr>
                <w:rFonts w:ascii="Times New Roman" w:hAnsi="Times New Roman"/>
                <w:color w:val="000000" w:themeColor="text1"/>
                <w:sz w:val="24"/>
                <w:szCs w:val="24"/>
              </w:rPr>
              <w:t xml:space="preserve"> </w:t>
            </w:r>
          </w:p>
        </w:tc>
      </w:tr>
      <w:tr w:rsidR="004B6D1F" w14:paraId="45F1F63E" w14:textId="77777777">
        <w:trPr>
          <w:cantSplit/>
        </w:trPr>
        <w:tc>
          <w:tcPr>
            <w:tcW w:w="132" w:type="pct"/>
            <w:hideMark/>
          </w:tcPr>
          <w:p w14:paraId="45F1F63A" w14:textId="77777777" w:rsidR="004B6D1F" w:rsidRDefault="00E220D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882" w:type="pct"/>
            <w:hideMark/>
          </w:tcPr>
          <w:p w14:paraId="45F1F63B" w14:textId="77777777" w:rsidR="004B6D1F" w:rsidRDefault="00E220D1">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Sabiedrības līdzdalības </w:t>
            </w:r>
            <w:r>
              <w:rPr>
                <w:rFonts w:ascii="Times New Roman" w:hAnsi="Times New Roman"/>
                <w:color w:val="000000" w:themeColor="text1"/>
                <w:sz w:val="24"/>
                <w:szCs w:val="24"/>
              </w:rPr>
              <w:t>rezultāti</w:t>
            </w:r>
          </w:p>
        </w:tc>
        <w:tc>
          <w:tcPr>
            <w:tcW w:w="3986" w:type="pct"/>
            <w:hideMark/>
          </w:tcPr>
          <w:p w14:paraId="45F1F63C" w14:textId="77777777" w:rsidR="004B6D1F" w:rsidRDefault="00E220D1">
            <w:pPr>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14:paraId="45F1F63D" w14:textId="77777777" w:rsidR="004B6D1F" w:rsidRDefault="00E220D1">
            <w:pPr>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Priekšlikumi netika saņemti.</w:t>
            </w:r>
          </w:p>
        </w:tc>
      </w:tr>
      <w:tr w:rsidR="004B6D1F" w14:paraId="45F1F642" w14:textId="77777777">
        <w:trPr>
          <w:cantSplit/>
        </w:trPr>
        <w:tc>
          <w:tcPr>
            <w:tcW w:w="132" w:type="pct"/>
            <w:hideMark/>
          </w:tcPr>
          <w:p w14:paraId="45F1F63F" w14:textId="77777777" w:rsidR="004B6D1F" w:rsidRDefault="00E220D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882" w:type="pct"/>
            <w:hideMark/>
          </w:tcPr>
          <w:p w14:paraId="45F1F640" w14:textId="77777777" w:rsidR="004B6D1F" w:rsidRDefault="00E220D1">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Cita informācija</w:t>
            </w:r>
          </w:p>
        </w:tc>
        <w:tc>
          <w:tcPr>
            <w:tcW w:w="3986" w:type="pct"/>
            <w:hideMark/>
          </w:tcPr>
          <w:p w14:paraId="45F1F641" w14:textId="77777777" w:rsidR="004B6D1F" w:rsidRDefault="00E220D1">
            <w:pPr>
              <w:spacing w:after="0" w:line="240" w:lineRule="auto"/>
              <w:contextualSpacing/>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lv-LV"/>
              </w:rPr>
              <w:t>Nav</w:t>
            </w:r>
          </w:p>
        </w:tc>
      </w:tr>
    </w:tbl>
    <w:p w14:paraId="45F1F643" w14:textId="77777777" w:rsidR="004B6D1F" w:rsidRDefault="004B6D1F">
      <w:pPr>
        <w:pStyle w:val="Title"/>
        <w:contextualSpacing/>
        <w:jc w:val="both"/>
        <w:rPr>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91"/>
        <w:gridCol w:w="5806"/>
      </w:tblGrid>
      <w:tr w:rsidR="004B6D1F" w14:paraId="45F1F646" w14:textId="77777777">
        <w:trPr>
          <w:cantSplit/>
          <w:trHeight w:val="96"/>
        </w:trPr>
        <w:tc>
          <w:tcPr>
            <w:tcW w:w="5000" w:type="pct"/>
            <w:gridSpan w:val="3"/>
            <w:vAlign w:val="center"/>
            <w:hideMark/>
          </w:tcPr>
          <w:p w14:paraId="45F1F644" w14:textId="77777777" w:rsidR="004B6D1F" w:rsidRDefault="00E220D1">
            <w:pPr>
              <w:spacing w:after="0" w:line="240" w:lineRule="auto"/>
              <w:contextualSpacing/>
              <w:jc w:val="center"/>
              <w:rPr>
                <w:rFonts w:ascii="Times New Roman" w:hAnsi="Times New Roman"/>
                <w:color w:val="000000" w:themeColor="text1"/>
                <w:sz w:val="24"/>
                <w:szCs w:val="24"/>
              </w:rPr>
            </w:pPr>
            <w:r>
              <w:rPr>
                <w:rFonts w:ascii="Times New Roman" w:hAnsi="Times New Roman"/>
                <w:b/>
                <w:bCs/>
                <w:color w:val="000000" w:themeColor="text1"/>
                <w:sz w:val="24"/>
                <w:szCs w:val="24"/>
              </w:rPr>
              <w:t>VII. Tiesību akta projekta izpildes nodrošināšana un tās ietekme uz institūcijām</w:t>
            </w:r>
          </w:p>
          <w:p w14:paraId="45F1F645" w14:textId="77777777" w:rsidR="004B6D1F" w:rsidRDefault="004B6D1F">
            <w:pPr>
              <w:rPr>
                <w:rFonts w:ascii="Times New Roman" w:hAnsi="Times New Roman"/>
                <w:color w:val="000000" w:themeColor="text1"/>
                <w:sz w:val="24"/>
                <w:szCs w:val="24"/>
              </w:rPr>
            </w:pPr>
          </w:p>
        </w:tc>
      </w:tr>
      <w:tr w:rsidR="004B6D1F" w14:paraId="45F1F64B" w14:textId="77777777">
        <w:trPr>
          <w:cantSplit/>
          <w:trHeight w:val="730"/>
        </w:trPr>
        <w:tc>
          <w:tcPr>
            <w:tcW w:w="311" w:type="pct"/>
            <w:hideMark/>
          </w:tcPr>
          <w:p w14:paraId="45F1F647" w14:textId="77777777" w:rsidR="004B6D1F" w:rsidRDefault="00E220D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1485" w:type="pct"/>
            <w:hideMark/>
          </w:tcPr>
          <w:p w14:paraId="45F1F648" w14:textId="77777777" w:rsidR="004B6D1F" w:rsidRDefault="00E220D1">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Projekta izpildē iesaistītās institūcijas</w:t>
            </w:r>
          </w:p>
        </w:tc>
        <w:tc>
          <w:tcPr>
            <w:tcW w:w="3203" w:type="pct"/>
            <w:hideMark/>
          </w:tcPr>
          <w:p w14:paraId="45F1F649" w14:textId="77777777" w:rsidR="004B6D1F" w:rsidRDefault="00E220D1">
            <w:pPr>
              <w:spacing w:after="0" w:line="240" w:lineRule="auto"/>
              <w:contextualSpacing/>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Ekonomikas ministrija, BVKB</w:t>
            </w:r>
          </w:p>
          <w:p w14:paraId="45F1F64A" w14:textId="77777777" w:rsidR="004B6D1F" w:rsidRDefault="004B6D1F">
            <w:pPr>
              <w:rPr>
                <w:rFonts w:ascii="Times New Roman" w:hAnsi="Times New Roman"/>
                <w:color w:val="000000" w:themeColor="text1"/>
                <w:sz w:val="24"/>
                <w:szCs w:val="24"/>
              </w:rPr>
            </w:pPr>
          </w:p>
        </w:tc>
      </w:tr>
      <w:tr w:rsidR="004B6D1F" w14:paraId="45F1F650" w14:textId="77777777">
        <w:trPr>
          <w:cantSplit/>
        </w:trPr>
        <w:tc>
          <w:tcPr>
            <w:tcW w:w="311" w:type="pct"/>
            <w:hideMark/>
          </w:tcPr>
          <w:p w14:paraId="45F1F64C" w14:textId="77777777" w:rsidR="004B6D1F" w:rsidRDefault="00E220D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1485" w:type="pct"/>
            <w:hideMark/>
          </w:tcPr>
          <w:p w14:paraId="45F1F64D" w14:textId="77777777" w:rsidR="004B6D1F" w:rsidRDefault="00E220D1">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Projekta izpildes </w:t>
            </w:r>
            <w:r>
              <w:rPr>
                <w:rFonts w:ascii="Times New Roman" w:hAnsi="Times New Roman"/>
                <w:color w:val="000000" w:themeColor="text1"/>
                <w:sz w:val="24"/>
                <w:szCs w:val="24"/>
              </w:rPr>
              <w:t>ietekme uz pārvaldes funkcijām un institucionālo struktūru.</w:t>
            </w:r>
            <w:r>
              <w:rPr>
                <w:rFonts w:ascii="Times New Roman" w:hAnsi="Times New Roman"/>
                <w:color w:val="000000" w:themeColor="text1"/>
                <w:sz w:val="24"/>
                <w:szCs w:val="24"/>
              </w:rPr>
              <w:br/>
              <w:t>Jaunu institūciju izveide, esošu institūciju likvidācija vai reorganizācija, to ietekme uz institūcijas cilvēkresursiem</w:t>
            </w:r>
          </w:p>
        </w:tc>
        <w:tc>
          <w:tcPr>
            <w:tcW w:w="3203" w:type="pct"/>
            <w:hideMark/>
          </w:tcPr>
          <w:p w14:paraId="45F1F64E" w14:textId="77777777" w:rsidR="004B6D1F" w:rsidRDefault="00E220D1">
            <w:pPr>
              <w:spacing w:after="0" w:line="240" w:lineRule="auto"/>
              <w:ind w:firstLine="251"/>
              <w:contextualSpacing/>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 xml:space="preserve">Noteikumu projekts neparedz jaunu institūciju izveidi vai esošu institūciju </w:t>
            </w:r>
            <w:r>
              <w:rPr>
                <w:rFonts w:ascii="Times New Roman" w:eastAsia="Times New Roman" w:hAnsi="Times New Roman"/>
                <w:color w:val="000000" w:themeColor="text1"/>
                <w:sz w:val="24"/>
                <w:szCs w:val="24"/>
                <w:lang w:eastAsia="lv-LV"/>
              </w:rPr>
              <w:t>likvidāciju.</w:t>
            </w:r>
          </w:p>
          <w:p w14:paraId="45F1F64F" w14:textId="77777777" w:rsidR="004B6D1F" w:rsidRDefault="004B6D1F">
            <w:pPr>
              <w:spacing w:after="0" w:line="240" w:lineRule="auto"/>
              <w:ind w:firstLine="251"/>
              <w:contextualSpacing/>
              <w:jc w:val="both"/>
              <w:rPr>
                <w:rFonts w:ascii="Times New Roman" w:eastAsia="Times New Roman" w:hAnsi="Times New Roman"/>
                <w:color w:val="000000" w:themeColor="text1"/>
                <w:sz w:val="24"/>
                <w:szCs w:val="24"/>
                <w:lang w:eastAsia="lv-LV"/>
              </w:rPr>
            </w:pPr>
          </w:p>
        </w:tc>
      </w:tr>
      <w:tr w:rsidR="004B6D1F" w14:paraId="45F1F654" w14:textId="77777777">
        <w:trPr>
          <w:cantSplit/>
        </w:trPr>
        <w:tc>
          <w:tcPr>
            <w:tcW w:w="311" w:type="pct"/>
            <w:hideMark/>
          </w:tcPr>
          <w:p w14:paraId="45F1F651" w14:textId="77777777" w:rsidR="004B6D1F" w:rsidRDefault="00E220D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1485" w:type="pct"/>
            <w:hideMark/>
          </w:tcPr>
          <w:p w14:paraId="45F1F652" w14:textId="77777777" w:rsidR="004B6D1F" w:rsidRDefault="00E220D1">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Cita informācija</w:t>
            </w:r>
          </w:p>
        </w:tc>
        <w:tc>
          <w:tcPr>
            <w:tcW w:w="3203" w:type="pct"/>
            <w:hideMark/>
          </w:tcPr>
          <w:p w14:paraId="45F1F653" w14:textId="77777777" w:rsidR="004B6D1F" w:rsidRDefault="00E220D1">
            <w:pPr>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Nav</w:t>
            </w:r>
          </w:p>
        </w:tc>
      </w:tr>
    </w:tbl>
    <w:p w14:paraId="45F1F655" w14:textId="77777777" w:rsidR="004B6D1F" w:rsidRDefault="004B6D1F">
      <w:pPr>
        <w:shd w:val="clear" w:color="auto" w:fill="FFFFFF"/>
        <w:spacing w:after="0" w:line="240" w:lineRule="auto"/>
        <w:contextualSpacing/>
        <w:rPr>
          <w:rFonts w:ascii="Times New Roman" w:eastAsia="Times New Roman" w:hAnsi="Times New Roman"/>
          <w:color w:val="000000" w:themeColor="text1"/>
          <w:sz w:val="24"/>
          <w:szCs w:val="24"/>
          <w:lang w:eastAsia="lv-LV"/>
        </w:rPr>
      </w:pPr>
    </w:p>
    <w:p w14:paraId="45F1F656" w14:textId="77777777" w:rsidR="004B6D1F" w:rsidRDefault="00E220D1">
      <w:pPr>
        <w:tabs>
          <w:tab w:val="left" w:pos="7938"/>
        </w:tabs>
        <w:spacing w:after="0" w:line="240" w:lineRule="auto"/>
        <w:contextualSpacing/>
        <w:rPr>
          <w:rFonts w:ascii="Times New Roman" w:hAnsi="Times New Roman"/>
          <w:color w:val="000000" w:themeColor="text1"/>
          <w:sz w:val="28"/>
          <w:szCs w:val="28"/>
        </w:rPr>
      </w:pPr>
      <w:r>
        <w:rPr>
          <w:rFonts w:ascii="Times New Roman" w:hAnsi="Times New Roman"/>
          <w:color w:val="000000" w:themeColor="text1"/>
          <w:sz w:val="28"/>
          <w:szCs w:val="28"/>
        </w:rPr>
        <w:t xml:space="preserve">Ekonomikas ministrs                                                                         </w:t>
      </w:r>
      <w:r>
        <w:rPr>
          <w:rFonts w:ascii="Times New Roman" w:hAnsi="Times New Roman"/>
          <w:bCs/>
          <w:color w:val="000000" w:themeColor="text1"/>
          <w:sz w:val="28"/>
          <w:szCs w:val="28"/>
        </w:rPr>
        <w:t>J.Vitenbergs</w:t>
      </w:r>
      <w:r>
        <w:rPr>
          <w:rFonts w:ascii="Times New Roman" w:hAnsi="Times New Roman"/>
          <w:color w:val="000000" w:themeColor="text1"/>
          <w:sz w:val="28"/>
          <w:szCs w:val="28"/>
        </w:rPr>
        <w:tab/>
      </w:r>
    </w:p>
    <w:p w14:paraId="45F1F657" w14:textId="77777777" w:rsidR="004B6D1F" w:rsidRDefault="004B6D1F">
      <w:pPr>
        <w:tabs>
          <w:tab w:val="left" w:pos="7938"/>
        </w:tabs>
        <w:spacing w:after="0" w:line="240" w:lineRule="auto"/>
        <w:contextualSpacing/>
        <w:rPr>
          <w:rFonts w:ascii="Times New Roman" w:hAnsi="Times New Roman"/>
          <w:color w:val="000000" w:themeColor="text1"/>
          <w:sz w:val="28"/>
          <w:szCs w:val="28"/>
        </w:rPr>
      </w:pPr>
    </w:p>
    <w:p w14:paraId="45F1F658" w14:textId="77777777" w:rsidR="004B6D1F" w:rsidRDefault="00E220D1">
      <w:pPr>
        <w:tabs>
          <w:tab w:val="left" w:pos="7938"/>
        </w:tabs>
        <w:spacing w:after="0" w:line="240" w:lineRule="auto"/>
        <w:contextualSpacing/>
        <w:rPr>
          <w:rFonts w:ascii="Times New Roman" w:hAnsi="Times New Roman"/>
          <w:color w:val="000000" w:themeColor="text1"/>
          <w:sz w:val="28"/>
          <w:szCs w:val="28"/>
        </w:rPr>
      </w:pPr>
      <w:r>
        <w:rPr>
          <w:rFonts w:ascii="Times New Roman" w:hAnsi="Times New Roman"/>
          <w:color w:val="000000" w:themeColor="text1"/>
          <w:sz w:val="28"/>
          <w:szCs w:val="28"/>
        </w:rPr>
        <w:t>Vīza:</w:t>
      </w:r>
    </w:p>
    <w:p w14:paraId="45F1F659" w14:textId="77777777" w:rsidR="004B6D1F" w:rsidRDefault="00E220D1">
      <w:pPr>
        <w:tabs>
          <w:tab w:val="left" w:pos="7938"/>
        </w:tabs>
        <w:spacing w:after="0" w:line="240" w:lineRule="auto"/>
        <w:contextualSpacing/>
        <w:rPr>
          <w:rFonts w:ascii="Times New Roman" w:hAnsi="Times New Roman"/>
          <w:sz w:val="28"/>
          <w:szCs w:val="28"/>
        </w:rPr>
      </w:pPr>
      <w:r>
        <w:rPr>
          <w:rFonts w:ascii="Times New Roman" w:hAnsi="Times New Roman"/>
          <w:sz w:val="28"/>
          <w:szCs w:val="28"/>
        </w:rPr>
        <w:t>Valsts sekretārs                                                                                  E.Valantis</w:t>
      </w:r>
    </w:p>
    <w:p w14:paraId="45F1F65A" w14:textId="77777777" w:rsidR="004B6D1F" w:rsidRDefault="004B6D1F">
      <w:pPr>
        <w:tabs>
          <w:tab w:val="left" w:pos="6237"/>
        </w:tabs>
        <w:spacing w:after="0" w:line="240" w:lineRule="auto"/>
        <w:contextualSpacing/>
        <w:rPr>
          <w:rFonts w:ascii="Times New Roman" w:hAnsi="Times New Roman"/>
          <w:color w:val="000000" w:themeColor="text1"/>
          <w:sz w:val="20"/>
          <w:szCs w:val="20"/>
        </w:rPr>
      </w:pPr>
    </w:p>
    <w:p w14:paraId="45F1F65B" w14:textId="77777777" w:rsidR="004B6D1F" w:rsidRDefault="004B6D1F">
      <w:pPr>
        <w:tabs>
          <w:tab w:val="left" w:pos="6237"/>
        </w:tabs>
        <w:spacing w:after="0" w:line="240" w:lineRule="auto"/>
        <w:contextualSpacing/>
        <w:rPr>
          <w:rFonts w:ascii="Times New Roman" w:hAnsi="Times New Roman"/>
          <w:color w:val="000000" w:themeColor="text1"/>
          <w:sz w:val="20"/>
          <w:szCs w:val="20"/>
        </w:rPr>
      </w:pPr>
    </w:p>
    <w:p w14:paraId="45F1F65C" w14:textId="77777777" w:rsidR="004B6D1F" w:rsidRDefault="004B6D1F">
      <w:pPr>
        <w:tabs>
          <w:tab w:val="left" w:pos="6237"/>
        </w:tabs>
        <w:spacing w:after="0" w:line="240" w:lineRule="auto"/>
        <w:contextualSpacing/>
        <w:rPr>
          <w:rFonts w:ascii="Times New Roman" w:hAnsi="Times New Roman"/>
          <w:color w:val="000000" w:themeColor="text1"/>
          <w:sz w:val="20"/>
          <w:szCs w:val="20"/>
        </w:rPr>
      </w:pPr>
    </w:p>
    <w:p w14:paraId="45F1F65D" w14:textId="77777777" w:rsidR="004B6D1F" w:rsidRDefault="004B6D1F">
      <w:pPr>
        <w:spacing w:after="0" w:line="240" w:lineRule="auto"/>
        <w:jc w:val="both"/>
        <w:rPr>
          <w:rFonts w:ascii="Times New Roman" w:eastAsia="Times New Roman" w:hAnsi="Times New Roman"/>
          <w:bCs/>
          <w:color w:val="000000" w:themeColor="text1"/>
          <w:sz w:val="16"/>
          <w:szCs w:val="16"/>
          <w:lang w:eastAsia="lv-LV"/>
        </w:rPr>
      </w:pPr>
    </w:p>
    <w:p w14:paraId="45F1F65E" w14:textId="77777777" w:rsidR="004B6D1F" w:rsidRDefault="00E220D1">
      <w:pPr>
        <w:spacing w:after="0" w:line="240" w:lineRule="auto"/>
        <w:jc w:val="both"/>
        <w:rPr>
          <w:rFonts w:ascii="Times New Roman" w:eastAsia="Times New Roman" w:hAnsi="Times New Roman"/>
          <w:color w:val="000000" w:themeColor="text1"/>
          <w:sz w:val="20"/>
          <w:szCs w:val="20"/>
          <w:lang w:eastAsia="lv-LV"/>
        </w:rPr>
      </w:pPr>
      <w:r>
        <w:rPr>
          <w:rFonts w:ascii="Times New Roman" w:eastAsia="Times New Roman" w:hAnsi="Times New Roman"/>
          <w:color w:val="000000" w:themeColor="text1"/>
          <w:sz w:val="20"/>
          <w:szCs w:val="20"/>
          <w:lang w:eastAsia="lv-LV"/>
        </w:rPr>
        <w:t>Liepiņa, 67013095</w:t>
      </w:r>
    </w:p>
    <w:p w14:paraId="45F1F65F" w14:textId="77777777" w:rsidR="004B6D1F" w:rsidRDefault="00E220D1">
      <w:pPr>
        <w:spacing w:after="0" w:line="240" w:lineRule="auto"/>
        <w:jc w:val="both"/>
        <w:rPr>
          <w:rFonts w:ascii="Times New Roman" w:eastAsia="Times New Roman" w:hAnsi="Times New Roman"/>
          <w:color w:val="000000" w:themeColor="text1"/>
          <w:sz w:val="20"/>
          <w:szCs w:val="20"/>
          <w:lang w:eastAsia="lv-LV"/>
        </w:rPr>
      </w:pPr>
      <w:r>
        <w:rPr>
          <w:rFonts w:ascii="Times New Roman" w:eastAsia="Times New Roman" w:hAnsi="Times New Roman"/>
          <w:color w:val="000000" w:themeColor="text1"/>
          <w:sz w:val="20"/>
          <w:szCs w:val="20"/>
          <w:lang w:eastAsia="lv-LV"/>
        </w:rPr>
        <w:t>Kristine.Liepina@em.gov.lv</w:t>
      </w:r>
    </w:p>
    <w:p w14:paraId="45F1F660" w14:textId="77777777" w:rsidR="004B6D1F" w:rsidRDefault="004B6D1F">
      <w:pPr>
        <w:tabs>
          <w:tab w:val="left" w:pos="6237"/>
        </w:tabs>
        <w:spacing w:after="0" w:line="240" w:lineRule="auto"/>
        <w:contextualSpacing/>
        <w:rPr>
          <w:rFonts w:ascii="Times New Roman" w:hAnsi="Times New Roman"/>
          <w:color w:val="000000" w:themeColor="text1"/>
          <w:sz w:val="20"/>
          <w:szCs w:val="20"/>
        </w:rPr>
      </w:pPr>
    </w:p>
    <w:p w14:paraId="45F1F661" w14:textId="77777777" w:rsidR="004B6D1F" w:rsidRDefault="004B6D1F">
      <w:pPr>
        <w:tabs>
          <w:tab w:val="left" w:pos="1340"/>
        </w:tabs>
        <w:rPr>
          <w:color w:val="000000" w:themeColor="text1"/>
        </w:rPr>
      </w:pPr>
    </w:p>
    <w:p w14:paraId="45F1F662" w14:textId="77777777" w:rsidR="004B6D1F" w:rsidRDefault="004B6D1F">
      <w:pPr>
        <w:tabs>
          <w:tab w:val="left" w:pos="1340"/>
        </w:tabs>
        <w:rPr>
          <w:color w:val="000000" w:themeColor="text1"/>
        </w:rPr>
      </w:pPr>
    </w:p>
    <w:p w14:paraId="45F1F663" w14:textId="77777777" w:rsidR="004B6D1F" w:rsidRDefault="004B6D1F"/>
    <w:p w14:paraId="45F1F664" w14:textId="77777777" w:rsidR="004B6D1F" w:rsidRDefault="004B6D1F"/>
    <w:p w14:paraId="45F1F665" w14:textId="77777777" w:rsidR="004B6D1F" w:rsidRDefault="004B6D1F"/>
    <w:p w14:paraId="45F1F666" w14:textId="77777777" w:rsidR="004B6D1F" w:rsidRDefault="004B6D1F"/>
    <w:p w14:paraId="45F1F667" w14:textId="77777777" w:rsidR="004B6D1F" w:rsidRDefault="004B6D1F"/>
    <w:p w14:paraId="45F1F668" w14:textId="77777777" w:rsidR="004B6D1F" w:rsidRDefault="004B6D1F"/>
    <w:p w14:paraId="45F1F669" w14:textId="77777777" w:rsidR="004B6D1F" w:rsidRDefault="004B6D1F"/>
    <w:p w14:paraId="45F1F66A" w14:textId="77777777" w:rsidR="004B6D1F" w:rsidRDefault="004B6D1F"/>
    <w:p w14:paraId="45F1F66B" w14:textId="77777777" w:rsidR="004B6D1F" w:rsidRDefault="004B6D1F"/>
    <w:p w14:paraId="45F1F66C" w14:textId="77777777" w:rsidR="004B6D1F" w:rsidRDefault="004B6D1F"/>
    <w:p w14:paraId="45F1F66D" w14:textId="77777777" w:rsidR="004B6D1F" w:rsidRDefault="004B6D1F"/>
    <w:p w14:paraId="45F1F66E" w14:textId="77777777" w:rsidR="004B6D1F" w:rsidRDefault="004B6D1F"/>
    <w:p w14:paraId="45F1F66F" w14:textId="77777777" w:rsidR="004B6D1F" w:rsidRDefault="004B6D1F"/>
    <w:p w14:paraId="45F1F670" w14:textId="77777777" w:rsidR="004B6D1F" w:rsidRDefault="004B6D1F"/>
    <w:p w14:paraId="45F1F671" w14:textId="77777777" w:rsidR="004B6D1F" w:rsidRDefault="004B6D1F"/>
    <w:p w14:paraId="45F1F672" w14:textId="77777777" w:rsidR="004B6D1F" w:rsidRDefault="004B6D1F"/>
    <w:p w14:paraId="45F1F673" w14:textId="77777777" w:rsidR="004B6D1F" w:rsidRDefault="004B6D1F"/>
    <w:p w14:paraId="45F1F674" w14:textId="77777777" w:rsidR="004B6D1F" w:rsidRDefault="004B6D1F"/>
    <w:p w14:paraId="45F1F675" w14:textId="77777777" w:rsidR="004B6D1F" w:rsidRDefault="004B6D1F"/>
    <w:p w14:paraId="45F1F676" w14:textId="77777777" w:rsidR="004B6D1F" w:rsidRDefault="004B6D1F"/>
    <w:p w14:paraId="45F1F677" w14:textId="77777777" w:rsidR="004B6D1F" w:rsidRDefault="004B6D1F"/>
    <w:p w14:paraId="45F1F678" w14:textId="77777777" w:rsidR="004B6D1F" w:rsidRDefault="00E220D1">
      <w:pPr>
        <w:tabs>
          <w:tab w:val="left" w:pos="1390"/>
        </w:tabs>
      </w:pPr>
      <w:r>
        <w:tab/>
      </w:r>
    </w:p>
    <w:sectPr w:rsidR="004B6D1F">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1F67B" w14:textId="77777777" w:rsidR="004B6D1F" w:rsidRDefault="00E220D1">
      <w:pPr>
        <w:spacing w:after="0" w:line="240" w:lineRule="auto"/>
      </w:pPr>
      <w:r>
        <w:separator/>
      </w:r>
    </w:p>
  </w:endnote>
  <w:endnote w:type="continuationSeparator" w:id="0">
    <w:p w14:paraId="45F1F67C" w14:textId="77777777" w:rsidR="004B6D1F" w:rsidRDefault="00E2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1F67E" w14:textId="77777777" w:rsidR="004B6D1F" w:rsidRDefault="00E220D1">
    <w:pPr>
      <w:pStyle w:val="Footer"/>
      <w:jc w:val="both"/>
      <w:rPr>
        <w:rFonts w:ascii="Times New Roman" w:hAnsi="Times New Roman"/>
        <w:sz w:val="24"/>
        <w:szCs w:val="20"/>
      </w:rPr>
    </w:pPr>
    <w:r>
      <w:rPr>
        <w:rFonts w:ascii="Times New Roman" w:hAnsi="Times New Roman"/>
        <w:sz w:val="24"/>
        <w:szCs w:val="20"/>
      </w:rPr>
      <w:t>EMAnot_09082021_MK631groz</w:t>
    </w:r>
  </w:p>
  <w:p w14:paraId="45F1F67F" w14:textId="77777777" w:rsidR="004B6D1F" w:rsidRDefault="004B6D1F">
    <w:pPr>
      <w:pStyle w:val="Footer"/>
      <w:jc w:val="both"/>
      <w:rPr>
        <w:rFonts w:ascii="Times New Roman" w:hAnsi="Times New Roman"/>
        <w:sz w:val="24"/>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1F680" w14:textId="77777777" w:rsidR="004B6D1F" w:rsidRDefault="00E220D1">
    <w:pPr>
      <w:pStyle w:val="Footer"/>
      <w:jc w:val="both"/>
      <w:rPr>
        <w:rFonts w:ascii="Times New Roman" w:hAnsi="Times New Roman"/>
        <w:sz w:val="24"/>
        <w:szCs w:val="20"/>
      </w:rPr>
    </w:pPr>
    <w:r>
      <w:rPr>
        <w:rFonts w:ascii="Times New Roman" w:hAnsi="Times New Roman"/>
        <w:sz w:val="24"/>
        <w:szCs w:val="20"/>
      </w:rPr>
      <w:t>EMAnot_09082021_MK631groz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1F679" w14:textId="77777777" w:rsidR="004B6D1F" w:rsidRDefault="00E220D1">
      <w:pPr>
        <w:spacing w:after="0" w:line="240" w:lineRule="auto"/>
      </w:pPr>
      <w:r>
        <w:separator/>
      </w:r>
    </w:p>
  </w:footnote>
  <w:footnote w:type="continuationSeparator" w:id="0">
    <w:p w14:paraId="45F1F67A" w14:textId="77777777" w:rsidR="004B6D1F" w:rsidRDefault="00E2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1F67D" w14:textId="77777777" w:rsidR="004B6D1F" w:rsidRDefault="00E220D1">
    <w:pPr>
      <w:pStyle w:val="Header"/>
      <w:jc w:val="center"/>
      <w:rPr>
        <w:rFonts w:ascii="Times New Roman" w:hAnsi="Times New Roman"/>
        <w:sz w:val="24"/>
        <w:szCs w:val="20"/>
      </w:rPr>
    </w:pPr>
    <w:r>
      <w:rPr>
        <w:rFonts w:ascii="Times New Roman" w:hAnsi="Times New Roman"/>
        <w:sz w:val="24"/>
        <w:szCs w:val="20"/>
      </w:rPr>
      <w:fldChar w:fldCharType="begin"/>
    </w:r>
    <w:r>
      <w:rPr>
        <w:rFonts w:ascii="Times New Roman" w:hAnsi="Times New Roman"/>
        <w:sz w:val="24"/>
        <w:szCs w:val="20"/>
      </w:rPr>
      <w:instrText xml:space="preserve"> PAGE   \* MERGEFORMAT </w:instrText>
    </w:r>
    <w:r>
      <w:rPr>
        <w:rFonts w:ascii="Times New Roman" w:hAnsi="Times New Roman"/>
        <w:sz w:val="24"/>
        <w:szCs w:val="20"/>
      </w:rPr>
      <w:fldChar w:fldCharType="separate"/>
    </w:r>
    <w:r>
      <w:rPr>
        <w:rFonts w:ascii="Times New Roman" w:hAnsi="Times New Roman"/>
        <w:noProof/>
        <w:sz w:val="24"/>
        <w:szCs w:val="20"/>
      </w:rPr>
      <w:t>3</w:t>
    </w:r>
    <w:r>
      <w:rPr>
        <w:rFonts w:ascii="Times New Roman" w:hAnsi="Times New Roman"/>
        <w:noProof/>
        <w:sz w:val="24"/>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5468F"/>
    <w:multiLevelType w:val="hybridMultilevel"/>
    <w:tmpl w:val="3AE4C6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1">
    <w:nsid w:val="02952FA6"/>
    <w:multiLevelType w:val="hybridMultilevel"/>
    <w:tmpl w:val="684A7FB6"/>
    <w:lvl w:ilvl="0" w:tplc="A2AC1204">
      <w:start w:val="1"/>
      <w:numFmt w:val="decimal"/>
      <w:lvlText w:val="%1."/>
      <w:lvlJc w:val="left"/>
      <w:pPr>
        <w:ind w:left="808" w:hanging="360"/>
      </w:pPr>
    </w:lvl>
    <w:lvl w:ilvl="1" w:tplc="925674FA" w:tentative="1">
      <w:start w:val="1"/>
      <w:numFmt w:val="lowerLetter"/>
      <w:lvlText w:val="%2."/>
      <w:lvlJc w:val="left"/>
      <w:pPr>
        <w:ind w:left="1528" w:hanging="360"/>
      </w:pPr>
    </w:lvl>
    <w:lvl w:ilvl="2" w:tplc="09E281F8" w:tentative="1">
      <w:start w:val="1"/>
      <w:numFmt w:val="lowerRoman"/>
      <w:lvlText w:val="%3."/>
      <w:lvlJc w:val="right"/>
      <w:pPr>
        <w:ind w:left="2248" w:hanging="180"/>
      </w:pPr>
    </w:lvl>
    <w:lvl w:ilvl="3" w:tplc="73F62820" w:tentative="1">
      <w:start w:val="1"/>
      <w:numFmt w:val="decimal"/>
      <w:lvlText w:val="%4."/>
      <w:lvlJc w:val="left"/>
      <w:pPr>
        <w:ind w:left="2968" w:hanging="360"/>
      </w:pPr>
    </w:lvl>
    <w:lvl w:ilvl="4" w:tplc="BABAE098" w:tentative="1">
      <w:start w:val="1"/>
      <w:numFmt w:val="lowerLetter"/>
      <w:lvlText w:val="%5."/>
      <w:lvlJc w:val="left"/>
      <w:pPr>
        <w:ind w:left="3688" w:hanging="360"/>
      </w:pPr>
    </w:lvl>
    <w:lvl w:ilvl="5" w:tplc="DB1A21F2" w:tentative="1">
      <w:start w:val="1"/>
      <w:numFmt w:val="lowerRoman"/>
      <w:lvlText w:val="%6."/>
      <w:lvlJc w:val="right"/>
      <w:pPr>
        <w:ind w:left="4408" w:hanging="180"/>
      </w:pPr>
    </w:lvl>
    <w:lvl w:ilvl="6" w:tplc="BC409966" w:tentative="1">
      <w:start w:val="1"/>
      <w:numFmt w:val="decimal"/>
      <w:lvlText w:val="%7."/>
      <w:lvlJc w:val="left"/>
      <w:pPr>
        <w:ind w:left="5128" w:hanging="360"/>
      </w:pPr>
    </w:lvl>
    <w:lvl w:ilvl="7" w:tplc="844CE614" w:tentative="1">
      <w:start w:val="1"/>
      <w:numFmt w:val="lowerLetter"/>
      <w:lvlText w:val="%8."/>
      <w:lvlJc w:val="left"/>
      <w:pPr>
        <w:ind w:left="5848" w:hanging="360"/>
      </w:pPr>
    </w:lvl>
    <w:lvl w:ilvl="8" w:tplc="0B586F7A" w:tentative="1">
      <w:start w:val="1"/>
      <w:numFmt w:val="lowerRoman"/>
      <w:lvlText w:val="%9."/>
      <w:lvlJc w:val="right"/>
      <w:pPr>
        <w:ind w:left="6568" w:hanging="180"/>
      </w:pPr>
    </w:lvl>
  </w:abstractNum>
  <w:abstractNum w:abstractNumId="2" w15:restartNumberingAfterBreak="0">
    <w:nsid w:val="066500F7"/>
    <w:multiLevelType w:val="hybridMultilevel"/>
    <w:tmpl w:val="41AA94D0"/>
    <w:lvl w:ilvl="0" w:tplc="1B60B858">
      <w:start w:val="1"/>
      <w:numFmt w:val="bullet"/>
      <w:lvlText w:val=""/>
      <w:lvlJc w:val="left"/>
      <w:pPr>
        <w:ind w:left="1077" w:hanging="360"/>
      </w:pPr>
      <w:rPr>
        <w:rFonts w:ascii="Symbol" w:hAnsi="Symbol" w:hint="default"/>
      </w:rPr>
    </w:lvl>
    <w:lvl w:ilvl="1" w:tplc="04260003">
      <w:start w:val="1"/>
      <w:numFmt w:val="bullet"/>
      <w:lvlText w:val="o"/>
      <w:lvlJc w:val="left"/>
      <w:pPr>
        <w:ind w:left="1797" w:hanging="360"/>
      </w:pPr>
      <w:rPr>
        <w:rFonts w:ascii="Courier New" w:hAnsi="Courier New" w:cs="Courier New" w:hint="default"/>
      </w:rPr>
    </w:lvl>
    <w:lvl w:ilvl="2" w:tplc="04260005">
      <w:start w:val="1"/>
      <w:numFmt w:val="bullet"/>
      <w:lvlText w:val=""/>
      <w:lvlJc w:val="left"/>
      <w:pPr>
        <w:ind w:left="2517" w:hanging="360"/>
      </w:pPr>
      <w:rPr>
        <w:rFonts w:ascii="Wingdings" w:hAnsi="Wingdings" w:cs="Wingdings" w:hint="default"/>
      </w:rPr>
    </w:lvl>
    <w:lvl w:ilvl="3" w:tplc="04260001">
      <w:start w:val="1"/>
      <w:numFmt w:val="bullet"/>
      <w:lvlText w:val=""/>
      <w:lvlJc w:val="left"/>
      <w:pPr>
        <w:ind w:left="3237" w:hanging="360"/>
      </w:pPr>
      <w:rPr>
        <w:rFonts w:ascii="Symbol" w:hAnsi="Symbol" w:cs="Symbol" w:hint="default"/>
      </w:rPr>
    </w:lvl>
    <w:lvl w:ilvl="4" w:tplc="04260003">
      <w:start w:val="1"/>
      <w:numFmt w:val="bullet"/>
      <w:lvlText w:val="o"/>
      <w:lvlJc w:val="left"/>
      <w:pPr>
        <w:ind w:left="3957" w:hanging="360"/>
      </w:pPr>
      <w:rPr>
        <w:rFonts w:ascii="Courier New" w:hAnsi="Courier New" w:cs="Courier New" w:hint="default"/>
      </w:rPr>
    </w:lvl>
    <w:lvl w:ilvl="5" w:tplc="04260005">
      <w:start w:val="1"/>
      <w:numFmt w:val="bullet"/>
      <w:lvlText w:val=""/>
      <w:lvlJc w:val="left"/>
      <w:pPr>
        <w:ind w:left="4677" w:hanging="360"/>
      </w:pPr>
      <w:rPr>
        <w:rFonts w:ascii="Wingdings" w:hAnsi="Wingdings" w:cs="Wingdings" w:hint="default"/>
      </w:rPr>
    </w:lvl>
    <w:lvl w:ilvl="6" w:tplc="04260001">
      <w:start w:val="1"/>
      <w:numFmt w:val="bullet"/>
      <w:lvlText w:val=""/>
      <w:lvlJc w:val="left"/>
      <w:pPr>
        <w:ind w:left="5397" w:hanging="360"/>
      </w:pPr>
      <w:rPr>
        <w:rFonts w:ascii="Symbol" w:hAnsi="Symbol" w:cs="Symbol" w:hint="default"/>
      </w:rPr>
    </w:lvl>
    <w:lvl w:ilvl="7" w:tplc="04260003">
      <w:start w:val="1"/>
      <w:numFmt w:val="bullet"/>
      <w:lvlText w:val="o"/>
      <w:lvlJc w:val="left"/>
      <w:pPr>
        <w:ind w:left="6117" w:hanging="360"/>
      </w:pPr>
      <w:rPr>
        <w:rFonts w:ascii="Courier New" w:hAnsi="Courier New" w:cs="Courier New" w:hint="default"/>
      </w:rPr>
    </w:lvl>
    <w:lvl w:ilvl="8" w:tplc="04260005">
      <w:start w:val="1"/>
      <w:numFmt w:val="bullet"/>
      <w:lvlText w:val=""/>
      <w:lvlJc w:val="left"/>
      <w:pPr>
        <w:ind w:left="6837" w:hanging="360"/>
      </w:pPr>
      <w:rPr>
        <w:rFonts w:ascii="Wingdings" w:hAnsi="Wingdings" w:cs="Wingdings" w:hint="default"/>
      </w:rPr>
    </w:lvl>
  </w:abstractNum>
  <w:abstractNum w:abstractNumId="3" w15:restartNumberingAfterBreak="0">
    <w:nsid w:val="157611E2"/>
    <w:multiLevelType w:val="hybridMultilevel"/>
    <w:tmpl w:val="3D347BF8"/>
    <w:lvl w:ilvl="0" w:tplc="0C208A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1">
    <w:nsid w:val="1EBF2CFA"/>
    <w:multiLevelType w:val="hybridMultilevel"/>
    <w:tmpl w:val="CF101FB8"/>
    <w:lvl w:ilvl="0" w:tplc="F0408F18">
      <w:start w:val="1"/>
      <w:numFmt w:val="decimal"/>
      <w:lvlText w:val="%1."/>
      <w:lvlJc w:val="left"/>
      <w:pPr>
        <w:ind w:left="720" w:hanging="360"/>
      </w:pPr>
      <w:rPr>
        <w:rFonts w:hint="default"/>
      </w:rPr>
    </w:lvl>
    <w:lvl w:ilvl="1" w:tplc="F468F89E" w:tentative="1">
      <w:start w:val="1"/>
      <w:numFmt w:val="lowerLetter"/>
      <w:lvlText w:val="%2."/>
      <w:lvlJc w:val="left"/>
      <w:pPr>
        <w:ind w:left="1440" w:hanging="360"/>
      </w:pPr>
    </w:lvl>
    <w:lvl w:ilvl="2" w:tplc="926A5A10" w:tentative="1">
      <w:start w:val="1"/>
      <w:numFmt w:val="lowerRoman"/>
      <w:lvlText w:val="%3."/>
      <w:lvlJc w:val="right"/>
      <w:pPr>
        <w:ind w:left="2160" w:hanging="180"/>
      </w:pPr>
    </w:lvl>
    <w:lvl w:ilvl="3" w:tplc="B2BAF7B0" w:tentative="1">
      <w:start w:val="1"/>
      <w:numFmt w:val="decimal"/>
      <w:lvlText w:val="%4."/>
      <w:lvlJc w:val="left"/>
      <w:pPr>
        <w:ind w:left="2880" w:hanging="360"/>
      </w:pPr>
    </w:lvl>
    <w:lvl w:ilvl="4" w:tplc="AFB67688" w:tentative="1">
      <w:start w:val="1"/>
      <w:numFmt w:val="lowerLetter"/>
      <w:lvlText w:val="%5."/>
      <w:lvlJc w:val="left"/>
      <w:pPr>
        <w:ind w:left="3600" w:hanging="360"/>
      </w:pPr>
    </w:lvl>
    <w:lvl w:ilvl="5" w:tplc="9FE4781C" w:tentative="1">
      <w:start w:val="1"/>
      <w:numFmt w:val="lowerRoman"/>
      <w:lvlText w:val="%6."/>
      <w:lvlJc w:val="right"/>
      <w:pPr>
        <w:ind w:left="4320" w:hanging="180"/>
      </w:pPr>
    </w:lvl>
    <w:lvl w:ilvl="6" w:tplc="3F26E5AA" w:tentative="1">
      <w:start w:val="1"/>
      <w:numFmt w:val="decimal"/>
      <w:lvlText w:val="%7."/>
      <w:lvlJc w:val="left"/>
      <w:pPr>
        <w:ind w:left="5040" w:hanging="360"/>
      </w:pPr>
    </w:lvl>
    <w:lvl w:ilvl="7" w:tplc="59BAACA2" w:tentative="1">
      <w:start w:val="1"/>
      <w:numFmt w:val="lowerLetter"/>
      <w:lvlText w:val="%8."/>
      <w:lvlJc w:val="left"/>
      <w:pPr>
        <w:ind w:left="5760" w:hanging="360"/>
      </w:pPr>
    </w:lvl>
    <w:lvl w:ilvl="8" w:tplc="62E6799A" w:tentative="1">
      <w:start w:val="1"/>
      <w:numFmt w:val="lowerRoman"/>
      <w:lvlText w:val="%9."/>
      <w:lvlJc w:val="right"/>
      <w:pPr>
        <w:ind w:left="6480" w:hanging="180"/>
      </w:pPr>
    </w:lvl>
  </w:abstractNum>
  <w:abstractNum w:abstractNumId="5" w15:restartNumberingAfterBreak="0">
    <w:nsid w:val="37A745CD"/>
    <w:multiLevelType w:val="hybridMultilevel"/>
    <w:tmpl w:val="F1B8A3C4"/>
    <w:lvl w:ilvl="0" w:tplc="D16CD460">
      <w:start w:val="1"/>
      <w:numFmt w:val="decimal"/>
      <w:lvlText w:val="%1."/>
      <w:lvlJc w:val="left"/>
      <w:pPr>
        <w:ind w:left="709" w:hanging="360"/>
      </w:pPr>
      <w:rPr>
        <w:rFonts w:hint="default"/>
      </w:rPr>
    </w:lvl>
    <w:lvl w:ilvl="1" w:tplc="04260019" w:tentative="1">
      <w:start w:val="1"/>
      <w:numFmt w:val="lowerLetter"/>
      <w:lvlText w:val="%2."/>
      <w:lvlJc w:val="left"/>
      <w:pPr>
        <w:ind w:left="1429" w:hanging="360"/>
      </w:pPr>
    </w:lvl>
    <w:lvl w:ilvl="2" w:tplc="0426001B" w:tentative="1">
      <w:start w:val="1"/>
      <w:numFmt w:val="lowerRoman"/>
      <w:lvlText w:val="%3."/>
      <w:lvlJc w:val="right"/>
      <w:pPr>
        <w:ind w:left="2149" w:hanging="180"/>
      </w:pPr>
    </w:lvl>
    <w:lvl w:ilvl="3" w:tplc="0426000F" w:tentative="1">
      <w:start w:val="1"/>
      <w:numFmt w:val="decimal"/>
      <w:lvlText w:val="%4."/>
      <w:lvlJc w:val="left"/>
      <w:pPr>
        <w:ind w:left="2869" w:hanging="360"/>
      </w:pPr>
    </w:lvl>
    <w:lvl w:ilvl="4" w:tplc="04260019" w:tentative="1">
      <w:start w:val="1"/>
      <w:numFmt w:val="lowerLetter"/>
      <w:lvlText w:val="%5."/>
      <w:lvlJc w:val="left"/>
      <w:pPr>
        <w:ind w:left="3589" w:hanging="360"/>
      </w:pPr>
    </w:lvl>
    <w:lvl w:ilvl="5" w:tplc="0426001B" w:tentative="1">
      <w:start w:val="1"/>
      <w:numFmt w:val="lowerRoman"/>
      <w:lvlText w:val="%6."/>
      <w:lvlJc w:val="right"/>
      <w:pPr>
        <w:ind w:left="4309" w:hanging="180"/>
      </w:pPr>
    </w:lvl>
    <w:lvl w:ilvl="6" w:tplc="0426000F" w:tentative="1">
      <w:start w:val="1"/>
      <w:numFmt w:val="decimal"/>
      <w:lvlText w:val="%7."/>
      <w:lvlJc w:val="left"/>
      <w:pPr>
        <w:ind w:left="5029" w:hanging="360"/>
      </w:pPr>
    </w:lvl>
    <w:lvl w:ilvl="7" w:tplc="04260019" w:tentative="1">
      <w:start w:val="1"/>
      <w:numFmt w:val="lowerLetter"/>
      <w:lvlText w:val="%8."/>
      <w:lvlJc w:val="left"/>
      <w:pPr>
        <w:ind w:left="5749" w:hanging="360"/>
      </w:pPr>
    </w:lvl>
    <w:lvl w:ilvl="8" w:tplc="0426001B" w:tentative="1">
      <w:start w:val="1"/>
      <w:numFmt w:val="lowerRoman"/>
      <w:lvlText w:val="%9."/>
      <w:lvlJc w:val="right"/>
      <w:pPr>
        <w:ind w:left="6469" w:hanging="180"/>
      </w:pPr>
    </w:lvl>
  </w:abstractNum>
  <w:abstractNum w:abstractNumId="6" w15:restartNumberingAfterBreak="0">
    <w:nsid w:val="3871768E"/>
    <w:multiLevelType w:val="hybridMultilevel"/>
    <w:tmpl w:val="14A416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A917A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7A4787"/>
    <w:multiLevelType w:val="hybridMultilevel"/>
    <w:tmpl w:val="9A7AC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5051C5"/>
    <w:multiLevelType w:val="hybridMultilevel"/>
    <w:tmpl w:val="574C788C"/>
    <w:lvl w:ilvl="0" w:tplc="AEB00E3C">
      <w:start w:val="1"/>
      <w:numFmt w:val="lowerLetter"/>
      <w:lvlText w:val="%1)"/>
      <w:lvlJc w:val="left"/>
      <w:pPr>
        <w:ind w:left="611" w:hanging="360"/>
      </w:pPr>
      <w:rPr>
        <w:rFonts w:eastAsia="Times New Roman" w:hint="default"/>
      </w:rPr>
    </w:lvl>
    <w:lvl w:ilvl="1" w:tplc="04260019" w:tentative="1">
      <w:start w:val="1"/>
      <w:numFmt w:val="lowerLetter"/>
      <w:lvlText w:val="%2."/>
      <w:lvlJc w:val="left"/>
      <w:pPr>
        <w:ind w:left="1331" w:hanging="360"/>
      </w:pPr>
    </w:lvl>
    <w:lvl w:ilvl="2" w:tplc="0426001B" w:tentative="1">
      <w:start w:val="1"/>
      <w:numFmt w:val="lowerRoman"/>
      <w:lvlText w:val="%3."/>
      <w:lvlJc w:val="right"/>
      <w:pPr>
        <w:ind w:left="2051" w:hanging="180"/>
      </w:pPr>
    </w:lvl>
    <w:lvl w:ilvl="3" w:tplc="0426000F" w:tentative="1">
      <w:start w:val="1"/>
      <w:numFmt w:val="decimal"/>
      <w:lvlText w:val="%4."/>
      <w:lvlJc w:val="left"/>
      <w:pPr>
        <w:ind w:left="2771" w:hanging="360"/>
      </w:pPr>
    </w:lvl>
    <w:lvl w:ilvl="4" w:tplc="04260019" w:tentative="1">
      <w:start w:val="1"/>
      <w:numFmt w:val="lowerLetter"/>
      <w:lvlText w:val="%5."/>
      <w:lvlJc w:val="left"/>
      <w:pPr>
        <w:ind w:left="3491" w:hanging="360"/>
      </w:pPr>
    </w:lvl>
    <w:lvl w:ilvl="5" w:tplc="0426001B" w:tentative="1">
      <w:start w:val="1"/>
      <w:numFmt w:val="lowerRoman"/>
      <w:lvlText w:val="%6."/>
      <w:lvlJc w:val="right"/>
      <w:pPr>
        <w:ind w:left="4211" w:hanging="180"/>
      </w:pPr>
    </w:lvl>
    <w:lvl w:ilvl="6" w:tplc="0426000F" w:tentative="1">
      <w:start w:val="1"/>
      <w:numFmt w:val="decimal"/>
      <w:lvlText w:val="%7."/>
      <w:lvlJc w:val="left"/>
      <w:pPr>
        <w:ind w:left="4931" w:hanging="360"/>
      </w:pPr>
    </w:lvl>
    <w:lvl w:ilvl="7" w:tplc="04260019" w:tentative="1">
      <w:start w:val="1"/>
      <w:numFmt w:val="lowerLetter"/>
      <w:lvlText w:val="%8."/>
      <w:lvlJc w:val="left"/>
      <w:pPr>
        <w:ind w:left="5651" w:hanging="360"/>
      </w:pPr>
    </w:lvl>
    <w:lvl w:ilvl="8" w:tplc="0426001B" w:tentative="1">
      <w:start w:val="1"/>
      <w:numFmt w:val="lowerRoman"/>
      <w:lvlText w:val="%9."/>
      <w:lvlJc w:val="right"/>
      <w:pPr>
        <w:ind w:left="6371" w:hanging="180"/>
      </w:pPr>
    </w:lvl>
  </w:abstractNum>
  <w:abstractNum w:abstractNumId="10" w15:restartNumberingAfterBreak="1">
    <w:nsid w:val="5A3F7A07"/>
    <w:multiLevelType w:val="hybridMultilevel"/>
    <w:tmpl w:val="A552BFFA"/>
    <w:lvl w:ilvl="0" w:tplc="01B4C60A">
      <w:start w:val="1"/>
      <w:numFmt w:val="decimal"/>
      <w:lvlText w:val="%1."/>
      <w:lvlJc w:val="left"/>
      <w:pPr>
        <w:ind w:left="720" w:hanging="360"/>
      </w:pPr>
      <w:rPr>
        <w:rFonts w:hint="default"/>
      </w:rPr>
    </w:lvl>
    <w:lvl w:ilvl="1" w:tplc="19D2EBA8" w:tentative="1">
      <w:start w:val="1"/>
      <w:numFmt w:val="lowerLetter"/>
      <w:lvlText w:val="%2."/>
      <w:lvlJc w:val="left"/>
      <w:pPr>
        <w:ind w:left="1440" w:hanging="360"/>
      </w:pPr>
    </w:lvl>
    <w:lvl w:ilvl="2" w:tplc="1EC6F7E4" w:tentative="1">
      <w:start w:val="1"/>
      <w:numFmt w:val="lowerRoman"/>
      <w:lvlText w:val="%3."/>
      <w:lvlJc w:val="right"/>
      <w:pPr>
        <w:ind w:left="2160" w:hanging="180"/>
      </w:pPr>
    </w:lvl>
    <w:lvl w:ilvl="3" w:tplc="9D1EF840" w:tentative="1">
      <w:start w:val="1"/>
      <w:numFmt w:val="decimal"/>
      <w:lvlText w:val="%4."/>
      <w:lvlJc w:val="left"/>
      <w:pPr>
        <w:ind w:left="2880" w:hanging="360"/>
      </w:pPr>
    </w:lvl>
    <w:lvl w:ilvl="4" w:tplc="4E688020" w:tentative="1">
      <w:start w:val="1"/>
      <w:numFmt w:val="lowerLetter"/>
      <w:lvlText w:val="%5."/>
      <w:lvlJc w:val="left"/>
      <w:pPr>
        <w:ind w:left="3600" w:hanging="360"/>
      </w:pPr>
    </w:lvl>
    <w:lvl w:ilvl="5" w:tplc="B44EADAA" w:tentative="1">
      <w:start w:val="1"/>
      <w:numFmt w:val="lowerRoman"/>
      <w:lvlText w:val="%6."/>
      <w:lvlJc w:val="right"/>
      <w:pPr>
        <w:ind w:left="4320" w:hanging="180"/>
      </w:pPr>
    </w:lvl>
    <w:lvl w:ilvl="6" w:tplc="F52C46BE" w:tentative="1">
      <w:start w:val="1"/>
      <w:numFmt w:val="decimal"/>
      <w:lvlText w:val="%7."/>
      <w:lvlJc w:val="left"/>
      <w:pPr>
        <w:ind w:left="5040" w:hanging="360"/>
      </w:pPr>
    </w:lvl>
    <w:lvl w:ilvl="7" w:tplc="4AECD4DA" w:tentative="1">
      <w:start w:val="1"/>
      <w:numFmt w:val="lowerLetter"/>
      <w:lvlText w:val="%8."/>
      <w:lvlJc w:val="left"/>
      <w:pPr>
        <w:ind w:left="5760" w:hanging="360"/>
      </w:pPr>
    </w:lvl>
    <w:lvl w:ilvl="8" w:tplc="40A6ACEC" w:tentative="1">
      <w:start w:val="1"/>
      <w:numFmt w:val="lowerRoman"/>
      <w:lvlText w:val="%9."/>
      <w:lvlJc w:val="right"/>
      <w:pPr>
        <w:ind w:left="6480" w:hanging="180"/>
      </w:pPr>
    </w:lvl>
  </w:abstractNum>
  <w:abstractNum w:abstractNumId="11" w15:restartNumberingAfterBreak="0">
    <w:nsid w:val="6AB26A40"/>
    <w:multiLevelType w:val="hybridMultilevel"/>
    <w:tmpl w:val="574C788C"/>
    <w:lvl w:ilvl="0" w:tplc="AEB00E3C">
      <w:start w:val="1"/>
      <w:numFmt w:val="lowerLetter"/>
      <w:lvlText w:val="%1)"/>
      <w:lvlJc w:val="left"/>
      <w:pPr>
        <w:ind w:left="611" w:hanging="360"/>
      </w:pPr>
      <w:rPr>
        <w:rFonts w:eastAsia="Times New Roman" w:hint="default"/>
      </w:rPr>
    </w:lvl>
    <w:lvl w:ilvl="1" w:tplc="04260019" w:tentative="1">
      <w:start w:val="1"/>
      <w:numFmt w:val="lowerLetter"/>
      <w:lvlText w:val="%2."/>
      <w:lvlJc w:val="left"/>
      <w:pPr>
        <w:ind w:left="1331" w:hanging="360"/>
      </w:pPr>
    </w:lvl>
    <w:lvl w:ilvl="2" w:tplc="0426001B" w:tentative="1">
      <w:start w:val="1"/>
      <w:numFmt w:val="lowerRoman"/>
      <w:lvlText w:val="%3."/>
      <w:lvlJc w:val="right"/>
      <w:pPr>
        <w:ind w:left="2051" w:hanging="180"/>
      </w:pPr>
    </w:lvl>
    <w:lvl w:ilvl="3" w:tplc="0426000F" w:tentative="1">
      <w:start w:val="1"/>
      <w:numFmt w:val="decimal"/>
      <w:lvlText w:val="%4."/>
      <w:lvlJc w:val="left"/>
      <w:pPr>
        <w:ind w:left="2771" w:hanging="360"/>
      </w:pPr>
    </w:lvl>
    <w:lvl w:ilvl="4" w:tplc="04260019" w:tentative="1">
      <w:start w:val="1"/>
      <w:numFmt w:val="lowerLetter"/>
      <w:lvlText w:val="%5."/>
      <w:lvlJc w:val="left"/>
      <w:pPr>
        <w:ind w:left="3491" w:hanging="360"/>
      </w:pPr>
    </w:lvl>
    <w:lvl w:ilvl="5" w:tplc="0426001B" w:tentative="1">
      <w:start w:val="1"/>
      <w:numFmt w:val="lowerRoman"/>
      <w:lvlText w:val="%6."/>
      <w:lvlJc w:val="right"/>
      <w:pPr>
        <w:ind w:left="4211" w:hanging="180"/>
      </w:pPr>
    </w:lvl>
    <w:lvl w:ilvl="6" w:tplc="0426000F" w:tentative="1">
      <w:start w:val="1"/>
      <w:numFmt w:val="decimal"/>
      <w:lvlText w:val="%7."/>
      <w:lvlJc w:val="left"/>
      <w:pPr>
        <w:ind w:left="4931" w:hanging="360"/>
      </w:pPr>
    </w:lvl>
    <w:lvl w:ilvl="7" w:tplc="04260019" w:tentative="1">
      <w:start w:val="1"/>
      <w:numFmt w:val="lowerLetter"/>
      <w:lvlText w:val="%8."/>
      <w:lvlJc w:val="left"/>
      <w:pPr>
        <w:ind w:left="5651" w:hanging="360"/>
      </w:pPr>
    </w:lvl>
    <w:lvl w:ilvl="8" w:tplc="0426001B" w:tentative="1">
      <w:start w:val="1"/>
      <w:numFmt w:val="lowerRoman"/>
      <w:lvlText w:val="%9."/>
      <w:lvlJc w:val="right"/>
      <w:pPr>
        <w:ind w:left="6371" w:hanging="180"/>
      </w:pPr>
    </w:lvl>
  </w:abstractNum>
  <w:abstractNum w:abstractNumId="12" w15:restartNumberingAfterBreak="1">
    <w:nsid w:val="78E004AC"/>
    <w:multiLevelType w:val="hybridMultilevel"/>
    <w:tmpl w:val="860270DE"/>
    <w:lvl w:ilvl="0" w:tplc="0409000F">
      <w:start w:val="1"/>
      <w:numFmt w:val="decimal"/>
      <w:lvlText w:val="%1."/>
      <w:lvlJc w:val="left"/>
      <w:pPr>
        <w:ind w:left="1069" w:hanging="360"/>
      </w:pPr>
    </w:lvl>
    <w:lvl w:ilvl="1" w:tplc="925674FA" w:tentative="1">
      <w:start w:val="1"/>
      <w:numFmt w:val="lowerLetter"/>
      <w:lvlText w:val="%2."/>
      <w:lvlJc w:val="left"/>
      <w:pPr>
        <w:ind w:left="1789" w:hanging="360"/>
      </w:pPr>
    </w:lvl>
    <w:lvl w:ilvl="2" w:tplc="09E281F8" w:tentative="1">
      <w:start w:val="1"/>
      <w:numFmt w:val="lowerRoman"/>
      <w:lvlText w:val="%3."/>
      <w:lvlJc w:val="right"/>
      <w:pPr>
        <w:ind w:left="2509" w:hanging="180"/>
      </w:pPr>
    </w:lvl>
    <w:lvl w:ilvl="3" w:tplc="73F62820" w:tentative="1">
      <w:start w:val="1"/>
      <w:numFmt w:val="decimal"/>
      <w:lvlText w:val="%4."/>
      <w:lvlJc w:val="left"/>
      <w:pPr>
        <w:ind w:left="3229" w:hanging="360"/>
      </w:pPr>
    </w:lvl>
    <w:lvl w:ilvl="4" w:tplc="BABAE098" w:tentative="1">
      <w:start w:val="1"/>
      <w:numFmt w:val="lowerLetter"/>
      <w:lvlText w:val="%5."/>
      <w:lvlJc w:val="left"/>
      <w:pPr>
        <w:ind w:left="3949" w:hanging="360"/>
      </w:pPr>
    </w:lvl>
    <w:lvl w:ilvl="5" w:tplc="DB1A21F2" w:tentative="1">
      <w:start w:val="1"/>
      <w:numFmt w:val="lowerRoman"/>
      <w:lvlText w:val="%6."/>
      <w:lvlJc w:val="right"/>
      <w:pPr>
        <w:ind w:left="4669" w:hanging="180"/>
      </w:pPr>
    </w:lvl>
    <w:lvl w:ilvl="6" w:tplc="BC409966" w:tentative="1">
      <w:start w:val="1"/>
      <w:numFmt w:val="decimal"/>
      <w:lvlText w:val="%7."/>
      <w:lvlJc w:val="left"/>
      <w:pPr>
        <w:ind w:left="5389" w:hanging="360"/>
      </w:pPr>
    </w:lvl>
    <w:lvl w:ilvl="7" w:tplc="844CE614" w:tentative="1">
      <w:start w:val="1"/>
      <w:numFmt w:val="lowerLetter"/>
      <w:lvlText w:val="%8."/>
      <w:lvlJc w:val="left"/>
      <w:pPr>
        <w:ind w:left="6109" w:hanging="360"/>
      </w:pPr>
    </w:lvl>
    <w:lvl w:ilvl="8" w:tplc="0B586F7A" w:tentative="1">
      <w:start w:val="1"/>
      <w:numFmt w:val="lowerRoman"/>
      <w:lvlText w:val="%9."/>
      <w:lvlJc w:val="right"/>
      <w:pPr>
        <w:ind w:left="6829" w:hanging="180"/>
      </w:pPr>
    </w:lvl>
  </w:abstractNum>
  <w:abstractNum w:abstractNumId="13" w15:restartNumberingAfterBreak="0">
    <w:nsid w:val="7BD03EA8"/>
    <w:multiLevelType w:val="hybridMultilevel"/>
    <w:tmpl w:val="08A2A7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E137AAE"/>
    <w:multiLevelType w:val="hybridMultilevel"/>
    <w:tmpl w:val="9344418E"/>
    <w:lvl w:ilvl="0" w:tplc="31C4811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0"/>
  </w:num>
  <w:num w:numId="2">
    <w:abstractNumId w:val="4"/>
  </w:num>
  <w:num w:numId="3">
    <w:abstractNumId w:val="12"/>
  </w:num>
  <w:num w:numId="4">
    <w:abstractNumId w:val="1"/>
  </w:num>
  <w:num w:numId="5">
    <w:abstractNumId w:val="0"/>
  </w:num>
  <w:num w:numId="6">
    <w:abstractNumId w:val="6"/>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5"/>
  </w:num>
  <w:num w:numId="10">
    <w:abstractNumId w:val="13"/>
  </w:num>
  <w:num w:numId="11">
    <w:abstractNumId w:val="14"/>
  </w:num>
  <w:num w:numId="12">
    <w:abstractNumId w:val="11"/>
  </w:num>
  <w:num w:numId="13">
    <w:abstractNumId w:val="8"/>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D1F"/>
    <w:rsid w:val="004B6D1F"/>
    <w:rsid w:val="00E220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F1F5B2"/>
  <w15:docId w15:val="{2E1FE1C3-5CE9-4347-A3C4-93783729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style>
  <w:style w:type="character" w:styleId="Hyperlink">
    <w:name w:val="Hyperlink"/>
    <w:uiPriority w:val="99"/>
    <w:unhideWhenUsed/>
    <w:rPr>
      <w:color w:val="0000FF"/>
      <w:u w:val="single"/>
    </w:rPr>
  </w:style>
  <w:style w:type="paragraph" w:customStyle="1" w:styleId="tvhtml">
    <w:name w:val="tv_html"/>
    <w:basedOn w:val="Normal"/>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pPr>
      <w:tabs>
        <w:tab w:val="center" w:pos="4153"/>
        <w:tab w:val="right" w:pos="83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uiPriority w:val="99"/>
    <w:semiHidden/>
    <w:rPr>
      <w:color w:val="808080"/>
    </w:rPr>
  </w:style>
  <w:style w:type="character" w:styleId="FollowedHyperlink">
    <w:name w:val="FollowedHyperlink"/>
    <w:uiPriority w:val="99"/>
    <w:semiHidden/>
    <w:unhideWhenUsed/>
    <w:rPr>
      <w:color w:val="954F72"/>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customStyle="1" w:styleId="Char">
    <w:name w:val="Char"/>
    <w:basedOn w:val="Normal"/>
    <w:pPr>
      <w:spacing w:line="240" w:lineRule="exact"/>
    </w:pPr>
    <w:rPr>
      <w:rFonts w:ascii="Tahoma" w:eastAsia="Times New Roman" w:hAnsi="Tahoma"/>
      <w:sz w:val="20"/>
      <w:szCs w:val="20"/>
      <w:lang w:val="en-US"/>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pPr>
      <w:ind w:left="720"/>
      <w:contextualSpacing/>
    </w:p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sz w:val="20"/>
      <w:szCs w:val="2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rPr>
      <w:sz w:val="20"/>
      <w:szCs w:val="20"/>
    </w:rPr>
  </w:style>
  <w:style w:type="character" w:styleId="FootnoteReference">
    <w:name w:val="footnote reference"/>
    <w:uiPriority w:val="99"/>
    <w:semiHidden/>
    <w:unhideWhenUsed/>
    <w:rPr>
      <w:vertAlign w:val="superscript"/>
    </w:rPr>
  </w:style>
  <w:style w:type="character" w:customStyle="1" w:styleId="UnresolvedMention1">
    <w:name w:val="Unresolved Mention1"/>
    <w:uiPriority w:val="99"/>
    <w:semiHidden/>
    <w:unhideWhenUsed/>
    <w:rPr>
      <w:color w:val="808080"/>
      <w:shd w:val="clear" w:color="auto" w:fill="E6E6E6"/>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tv213">
    <w:name w:val="tv213"/>
    <w:basedOn w:val="Normal"/>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sz w:val="22"/>
      <w:szCs w:val="22"/>
      <w:lang w:eastAsia="en-US"/>
    </w:rPr>
  </w:style>
  <w:style w:type="paragraph" w:styleId="Title">
    <w:name w:val="Title"/>
    <w:basedOn w:val="Normal"/>
    <w:link w:val="TitleChar"/>
    <w:qFormat/>
    <w:pPr>
      <w:spacing w:after="0" w:line="240" w:lineRule="auto"/>
      <w:jc w:val="center"/>
    </w:pPr>
    <w:rPr>
      <w:rFonts w:ascii="Times New Roman" w:eastAsia="Times New Roman" w:hAnsi="Times New Roman"/>
      <w:sz w:val="28"/>
      <w:szCs w:val="20"/>
    </w:rPr>
  </w:style>
  <w:style w:type="character" w:customStyle="1" w:styleId="TitleChar">
    <w:name w:val="Title Char"/>
    <w:basedOn w:val="DefaultParagraphFont"/>
    <w:link w:val="Title"/>
    <w:rPr>
      <w:rFonts w:ascii="Times New Roman" w:eastAsia="Times New Roman" w:hAnsi="Times New Roman"/>
      <w:sz w:val="28"/>
      <w:lang w:eastAsia="en-US"/>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Pr>
      <w:sz w:val="22"/>
      <w:szCs w:val="22"/>
      <w:lang w:eastAsia="en-US"/>
    </w:rPr>
  </w:style>
  <w:style w:type="character" w:customStyle="1" w:styleId="spelle">
    <w:name w:val="spelle"/>
    <w:basedOn w:val="DefaultParagraphFont"/>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9200144">
      <w:bodyDiv w:val="1"/>
      <w:marLeft w:val="0"/>
      <w:marRight w:val="0"/>
      <w:marTop w:val="0"/>
      <w:marBottom w:val="0"/>
      <w:divBdr>
        <w:top w:val="none" w:sz="0" w:space="0" w:color="auto"/>
        <w:left w:val="none" w:sz="0" w:space="0" w:color="auto"/>
        <w:bottom w:val="none" w:sz="0" w:space="0" w:color="auto"/>
        <w:right w:val="none" w:sz="0" w:space="0" w:color="auto"/>
      </w:divBdr>
    </w:div>
    <w:div w:id="1330325130">
      <w:bodyDiv w:val="1"/>
      <w:marLeft w:val="0"/>
      <w:marRight w:val="0"/>
      <w:marTop w:val="0"/>
      <w:marBottom w:val="0"/>
      <w:divBdr>
        <w:top w:val="none" w:sz="0" w:space="0" w:color="auto"/>
        <w:left w:val="none" w:sz="0" w:space="0" w:color="auto"/>
        <w:bottom w:val="none" w:sz="0" w:space="0" w:color="auto"/>
        <w:right w:val="none" w:sz="0" w:space="0" w:color="auto"/>
      </w:divBdr>
    </w:div>
    <w:div w:id="1869637335">
      <w:bodyDiv w:val="1"/>
      <w:marLeft w:val="0"/>
      <w:marRight w:val="0"/>
      <w:marTop w:val="0"/>
      <w:marBottom w:val="0"/>
      <w:divBdr>
        <w:top w:val="none" w:sz="0" w:space="0" w:color="auto"/>
        <w:left w:val="none" w:sz="0" w:space="0" w:color="auto"/>
        <w:bottom w:val="none" w:sz="0" w:space="0" w:color="auto"/>
        <w:right w:val="none" w:sz="0" w:space="0" w:color="auto"/>
      </w:divBdr>
      <w:divsChild>
        <w:div w:id="339967268">
          <w:marLeft w:val="0"/>
          <w:marRight w:val="0"/>
          <w:marTop w:val="0"/>
          <w:marBottom w:val="0"/>
          <w:divBdr>
            <w:top w:val="none" w:sz="0" w:space="0" w:color="auto"/>
            <w:left w:val="none" w:sz="0" w:space="0" w:color="auto"/>
            <w:bottom w:val="none" w:sz="0" w:space="0" w:color="auto"/>
            <w:right w:val="none" w:sz="0" w:space="0" w:color="auto"/>
          </w:divBdr>
        </w:div>
        <w:div w:id="2022584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9081-noteikumi-par-ogludenrazu-meklesanu-izpeti-un-ieguv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k.gov.lv/content/ministru-kabineta-diskusiju-dokument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gov.lv/lv/Ministrija/sabiedribas_lidzdaliba/diskusiju_dokument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221385-juras-vides-aizsardzibas-un-parvaldibas-likums" TargetMode="External"/><Relationship Id="rId4" Type="http://schemas.openxmlformats.org/officeDocument/2006/relationships/settings" Target="settings.xml"/><Relationship Id="rId9" Type="http://schemas.openxmlformats.org/officeDocument/2006/relationships/hyperlink" Target="https://likumi.lv/ta/id/221385-juras-vides-aizsardzibas-un-parvaldibas-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E9F8E-C051-4BB1-9C89-FCC6BBBA5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6</Pages>
  <Words>1409</Words>
  <Characters>10470</Characters>
  <Application>Microsoft Office Word</Application>
  <DocSecurity>0</DocSecurity>
  <Lines>87</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2017. gada 7. februāra noteikumos Nr. 78 “Dabasgāzes tirdzniecības un lietošanas noteikumi”” sākotnējās ietekmes novērtējuma ziņojums (anotācija)</vt:lpstr>
      <vt:lpstr>Ministru kabineta noteikumu projekta “Grozījumi Ministru kabineta 2017. gada 7. februāra noteikumos Nr. 78 “Dabasgāzes tirdzniecības un lietošanas noteikumi”” sākotnējās ietekmes novērtējuma ziņojums (anotācija)</vt:lpstr>
    </vt:vector>
  </TitlesOfParts>
  <Company>Ekonomikas Ministrija</Company>
  <LinksUpToDate>false</LinksUpToDate>
  <CharactersWithSpaces>11856</CharactersWithSpaces>
  <SharedDoc>false</SharedDoc>
  <HLinks>
    <vt:vector size="6" baseType="variant">
      <vt:variant>
        <vt:i4>3997805</vt:i4>
      </vt:variant>
      <vt:variant>
        <vt:i4>0</vt:i4>
      </vt:variant>
      <vt:variant>
        <vt:i4>0</vt:i4>
      </vt:variant>
      <vt:variant>
        <vt:i4>5</vt:i4>
      </vt:variant>
      <vt:variant>
        <vt:lpwstr>https://em.gov.lv/lv/par_ministriju/sabiedribas_lidzdaliba/diskusiju_dokumenti/energijas_tirgus_un_infrastruktura/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2017. gada 7. februāra noteikumos Nr. 78 “Dabasgāzes tirdzniecības un lietošanas noteikumi”” sākotnējās ietekmes novērtējuma ziņojums (anotācija)</dc:title>
  <dc:subject>Anotācija</dc:subject>
  <dc:creator>Ance.Ansone@em.gov.lv</dc:creator>
  <cp:keywords/>
  <dc:description>67013001, Ance.Ansone@em.gov.lv</dc:description>
  <cp:lastModifiedBy>Līga Rozentāle</cp:lastModifiedBy>
  <cp:revision>43</cp:revision>
  <cp:lastPrinted>2019-09-16T05:19:00Z</cp:lastPrinted>
  <dcterms:created xsi:type="dcterms:W3CDTF">2020-11-23T13:18:00Z</dcterms:created>
  <dcterms:modified xsi:type="dcterms:W3CDTF">2021-08-09T13:24:00Z</dcterms:modified>
</cp:coreProperties>
</file>